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Términos de Servicio</w:t>
      </w:r>
    </w:p>
    <w:p>
      <w:pPr>
        <w:spacing w:after="100"/>
        <w:jc w:val="center"/>
      </w:pPr>
      <w:r>
        <w:rPr>
          <w:i/>
          <w:iCs/>
        </w:rPr>
        <w:t xml:space="preserve">[NOMBRE DEL PRODUCTO/CRM] — un servicio de [NOMBRE DE LA EMPRESA / RAZÓN SOCIAL]</w:t>
      </w:r>
    </w:p>
    <w:p>
      <w:pPr>
        <w:spacing w:after="200"/>
        <w:jc w:val="center"/>
      </w:pPr>
      <w:r>
        <w:rPr>
          <w:i/>
          <w:iCs/>
          <w:sz w:val="20"/>
          <w:szCs w:val="20"/>
        </w:rPr>
        <w:t xml:space="preserve">Última actualización: [FECHA]</w:t>
      </w:r>
    </w:p>
    <w:p>
      <w:pPr>
        <w:pBdr>
          <w:top w:val="single" w:color="E0A800" w:sz="6"/>
          <w:bottom w:val="single" w:color="E0A800" w:sz="6"/>
          <w:left w:val="single" w:color="E0A800" w:sz="6"/>
          <w:right w:val="single" w:color="E0A800" w:sz="6"/>
        </w:pBdr>
        <w:shd w:fill="FFF3CD" w:val="clear"/>
        <w:spacing w:after="300" w:before="200"/>
      </w:pPr>
      <w:r>
        <w:rPr>
          <w:b/>
          <w:bCs/>
        </w:rPr>
        <w:t xml:space="preserve">AVISO IMPORTANTE — BORRADOR DE TRABAJO</w:t>
      </w:r>
      <w:r>
        <w:br/>
        <w:t xml:space="preserve">  Este documento es un punto de partida para discusión y NO constituye asesoría legal. Fue preparado por un asistente de IA a partir de la práctica general de SaaS y de una revisión de la Ley No. 172-13 sobre Protección de Datos Personales de República Dominicana, pero no sustituye la revisión de un abogado licenciado en el país antes de usarse con clientes reales. Los textos entre corchetes [ASÍ] deben completarse o confirmarse antes de publicar el documento.</w:t>
      </w:r>
    </w:p>
    <w:p>
      <w:pPr>
        <w:pStyle w:val="Heading1"/>
        <w:spacing w:after="150" w:before="300"/>
      </w:pPr>
      <w:r>
        <w:t xml:space="preserve">1. Aceptación de los términos</w:t>
      </w:r>
    </w:p>
    <w:p>
      <w:pPr>
        <w:spacing w:after="150"/>
      </w:pPr>
      <w:r>
        <w:t xml:space="preserve">Al registrarse, acceder o utilizar [NOMBRE DEL PRODUCTO] (el "Servicio"), la persona o entidad que se registra (la "Agencia", el "Cliente" o "usted") acepta estos Términos de Servicio (los "Términos") en su totalidad. Si no está de acuerdo con estos Términos, no debe utilizar el Servicio.</w:t>
      </w:r>
    </w:p>
    <w:p>
      <w:pPr>
        <w:spacing w:after="150"/>
      </w:pPr>
      <w:r>
        <w:t xml:space="preserve">Estos Términos se celebran entre el Cliente y [NOMBRE DE LA EMPRESA], sociedad constituida conforme a las leyes de la República Dominicana, con domicilio en [DIRECCIÓN] (el "Proveedor", "nosotros").</w:t>
      </w:r>
    </w:p>
    <w:p>
      <w:pPr>
        <w:pStyle w:val="Heading1"/>
        <w:spacing w:after="150" w:before="300"/>
      </w:pPr>
      <w:r>
        <w:t xml:space="preserve">2. Descripción del Servicio</w:t>
      </w:r>
    </w:p>
    <w:p>
      <w:pPr>
        <w:spacing w:after="150"/>
      </w:pPr>
      <w:r>
        <w:t xml:space="preserve">El Servicio es una plataforma de gestión de relaciones con clientes (CRM) especializada en el sector inmobiliario, que permite a la Agencia gestionar contactos, propiedades, negociaciones (pipeline de ventas/alquileres), actividades de seguimiento, y comunicarse con sus propios clientes y leads a través de canales de mensajería conectados (incluyendo, sin limitarse a, WhatsApp Business a través de proveedores autorizados como Twilio, Instagram y Facebook Messenger).</w:t>
      </w:r>
    </w:p>
    <w:p>
      <w:pPr>
        <w:spacing w:after="150"/>
      </w:pPr>
      <w:r>
        <w:t xml:space="preserve">El Servicio se ofrece bajo un modelo de suscripción (Software as a Service / SaaS), organizado en planes descritos en [ANEXO DE PLANES Y PRECIOS] o en el sitio web del Proveedor.</w:t>
      </w:r>
    </w:p>
    <w:p>
      <w:pPr>
        <w:pStyle w:val="Heading1"/>
        <w:spacing w:after="150" w:before="300"/>
      </w:pPr>
      <w:r>
        <w:t xml:space="preserve">3. Cuentas y responsabilidades del Cliente</w:t>
      </w:r>
    </w:p>
    <w:p>
      <w:pPr>
        <w:pStyle w:val="Heading2"/>
        <w:spacing w:after="100" w:before="200"/>
      </w:pPr>
      <w:r>
        <w:t xml:space="preserve">3.1 Registro</w:t>
      </w:r>
    </w:p>
    <w:p>
      <w:pPr>
        <w:spacing w:after="150"/>
      </w:pPr>
      <w:r>
        <w:t xml:space="preserve">Para usar el Servicio, la Agencia debe crear una cuenta proporcionando información veraz, completa y actualizada. La Agencia es responsable de mantener la confidencialidad de las credenciales de acceso de todos sus usuarios (agentes) y de toda actividad que ocurra bajo su cuenta.</w:t>
      </w:r>
    </w:p>
    <w:p>
      <w:pPr>
        <w:pStyle w:val="Heading2"/>
        <w:spacing w:after="100" w:before="200"/>
      </w:pPr>
      <w:r>
        <w:t xml:space="preserve">3.2 Usuarios y roles</w:t>
      </w:r>
    </w:p>
    <w:p>
      <w:pPr>
        <w:spacing w:after="150"/>
      </w:pPr>
      <w:r>
        <w:t xml:space="preserve">La Agencia puede invitar a sus agentes a la plataforma bajo el plan contratado. La Agencia es responsable de gestionar los permisos y roles de sus propios usuarios, y de revocar el acceso a agentes que dejen de estar autorizados.</w:t>
      </w:r>
    </w:p>
    <w:p>
      <w:pPr>
        <w:pStyle w:val="Heading2"/>
        <w:spacing w:after="100" w:before="200"/>
      </w:pPr>
      <w:r>
        <w:t xml:space="preserve">3.3 Datos de terceros ingresados por la Agencia</w:t>
      </w:r>
    </w:p>
    <w:p>
      <w:pPr>
        <w:spacing w:after="150"/>
      </w:pPr>
      <w:r>
        <w:t xml:space="preserve">La Agencia reconoce que, al usar el Servicio, ingresará datos personales de sus propios clientes, leads y contactos (nombres, teléfonos, correos, y en general datos personales según los define la Ley No. 172-13). La Agencia declara que cuenta con la base legal y, cuando corresponda, el consentimiento necesario de dichos titulares para que el Proveedor trate esos datos en su nombre, exclusivamente para prestar el Servicio. La Agencia actúa como responsable del tratamiento de esos datos frente a sus propios clientes; el Proveedor actúa como encargado del tratamiento en los términos descritos en la Política de Privacidad.</w:t>
      </w:r>
    </w:p>
    <w:p>
      <w:pPr>
        <w:pStyle w:val="Heading1"/>
        <w:spacing w:after="150" w:before="300"/>
      </w:pPr>
      <w:r>
        <w:t xml:space="preserve">4. Uso aceptable</w:t>
      </w:r>
    </w:p>
    <w:p>
      <w:pPr>
        <w:spacing w:after="150"/>
      </w:pPr>
      <w:r>
        <w:t xml:space="preserve">El Cliente se compromete a no utilizar el Servicio para:</w:t>
      </w:r>
    </w:p>
    <w:p>
      <w:pPr>
        <w:pStyle w:val="ListParagraph"/>
        <w:numPr>
          <w:ilvl w:val="0"/>
          <w:numId w:val="2"/>
        </w:numPr>
        <w:spacing w:after="80"/>
      </w:pPr>
      <w:r>
        <w:t xml:space="preserve">Enviar mensajes masivos no solicitados (spam) a través de WhatsApp, Instagram o Facebook, ni de ninguna otra forma que viole las políticas comerciales de Meta Platforms, Inc.</w:t>
      </w:r>
    </w:p>
    <w:p>
      <w:pPr>
        <w:pStyle w:val="ListParagraph"/>
        <w:numPr>
          <w:ilvl w:val="0"/>
          <w:numId w:val="2"/>
        </w:numPr>
        <w:spacing w:after="80"/>
      </w:pPr>
      <w:r>
        <w:t xml:space="preserve">Contactar a personas que no hayan dado su consentimiento u opt-in para recibir comunicaciones de la Agencia.</w:t>
      </w:r>
    </w:p>
    <w:p>
      <w:pPr>
        <w:pStyle w:val="ListParagraph"/>
        <w:numPr>
          <w:ilvl w:val="0"/>
          <w:numId w:val="2"/>
        </w:numPr>
        <w:spacing w:after="80"/>
      </w:pPr>
      <w:r>
        <w:t xml:space="preserve">Cargar contenido ilegal, fraudulento, difamatorio o que infrinja derechos de propiedad intelectual de terceros.</w:t>
      </w:r>
    </w:p>
    <w:p>
      <w:pPr>
        <w:pStyle w:val="ListParagraph"/>
        <w:numPr>
          <w:ilvl w:val="0"/>
          <w:numId w:val="2"/>
        </w:numPr>
        <w:spacing w:after="80"/>
      </w:pPr>
      <w:r>
        <w:t xml:space="preserve">Intentar vulnerar la seguridad de la plataforma, incluyendo intentos de acceder a datos de otras agencias/tenants.</w:t>
      </w:r>
    </w:p>
    <w:p>
      <w:pPr>
        <w:pStyle w:val="ListParagraph"/>
        <w:numPr>
          <w:ilvl w:val="0"/>
          <w:numId w:val="2"/>
        </w:numPr>
        <w:spacing w:after="80"/>
      </w:pPr>
      <w:r>
        <w:t xml:space="preserve">Revender o sublicenciar el acceso al Servicio sin autorización expresa por escrito del Proveedor.</w:t>
      </w:r>
    </w:p>
    <w:p>
      <w:pPr>
        <w:spacing w:after="150"/>
      </w:pPr>
      <w:r>
        <w:t xml:space="preserve">El incumplimiento de esta sección puede resultar en la suspensión o terminación inmediata de la cuenta, especialmente cuando ponga en riesgo el número de WhatsApp del Proveedor o de otras Agencias ante Meta o el proveedor de mensajería.</w:t>
      </w:r>
    </w:p>
    <w:p>
      <w:pPr>
        <w:pStyle w:val="Heading1"/>
        <w:spacing w:after="150" w:before="300"/>
      </w:pPr>
      <w:r>
        <w:t xml:space="preserve">5. Planes, precios y facturación</w:t>
      </w:r>
    </w:p>
    <w:p>
      <w:pPr>
        <w:spacing w:after="150"/>
      </w:pPr>
      <w:r>
        <w:t xml:space="preserve">Los precios vigentes de cada plan se detallan en [ANEXO DE PLANES Y PRECIOS]. Salvo que se indique lo contrario:</w:t>
      </w:r>
    </w:p>
    <w:p>
      <w:pPr>
        <w:pStyle w:val="ListParagraph"/>
        <w:numPr>
          <w:ilvl w:val="0"/>
          <w:numId w:val="2"/>
        </w:numPr>
        <w:spacing w:after="80"/>
      </w:pPr>
      <w:r>
        <w:t xml:space="preserve">La suscripción se renueva automáticamente al final de cada período de facturación (mensual o anual, según el plan elegido).</w:t>
      </w:r>
    </w:p>
    <w:p>
      <w:pPr>
        <w:pStyle w:val="ListParagraph"/>
        <w:numPr>
          <w:ilvl w:val="0"/>
          <w:numId w:val="2"/>
        </w:numPr>
        <w:spacing w:after="80"/>
      </w:pPr>
      <w:r>
        <w:t xml:space="preserve">Los pagos se procesan a través de [PROVEEDOR DE PAGOS, ej. Stripe]; el Proveedor no almacena directamente los datos completos de tarjetas de pago.</w:t>
      </w:r>
    </w:p>
    <w:p>
      <w:pPr>
        <w:pStyle w:val="ListParagraph"/>
        <w:numPr>
          <w:ilvl w:val="0"/>
          <w:numId w:val="2"/>
        </w:numPr>
        <w:spacing w:after="80"/>
      </w:pPr>
      <w:r>
        <w:t xml:space="preserve">El Cliente puede cancelar su suscripción en cualquier momento desde la configuración de su cuenta; la cancelación surte efecto al final del período ya pagado, sin reembolsos parciales salvo que la ley aplicable disponga lo contrario.</w:t>
      </w:r>
    </w:p>
    <w:p>
      <w:pPr>
        <w:pStyle w:val="ListParagraph"/>
        <w:numPr>
          <w:ilvl w:val="0"/>
          <w:numId w:val="2"/>
        </w:numPr>
        <w:spacing w:after="80"/>
      </w:pPr>
      <w:r>
        <w:t xml:space="preserve">Costos variables asociados a mensajería (plantillas de WhatsApp fuera de planes incluidos) se facturan según lo descrito en [ANEXO DE PLANES Y PRECIOS].</w:t>
      </w:r>
    </w:p>
    <w:p>
      <w:pPr>
        <w:spacing w:after="150"/>
      </w:pPr>
      <w:r>
        <w:t xml:space="preserve">El Proveedor se reserva el derecho de modificar los precios de los planes, notificando al Cliente con al menos [30] días de anticipación antes de que el cambio aplique a su siguiente ciclo de facturación.</w:t>
      </w:r>
    </w:p>
    <w:p>
      <w:pPr>
        <w:pStyle w:val="Heading1"/>
        <w:spacing w:after="150" w:before="300"/>
      </w:pPr>
      <w:r>
        <w:t xml:space="preserve">6. Propiedad intelectual</w:t>
      </w:r>
    </w:p>
    <w:p>
      <w:pPr>
        <w:spacing w:after="150"/>
      </w:pPr>
      <w:r>
        <w:t xml:space="preserve">El Servicio, su código, diseño, marca y contenido (excluyendo los datos que el Cliente ingrese) son propiedad del Proveedor o de sus licenciantes. Estos Términos no transfieren ninguna propiedad intelectual al Cliente, salvo el derecho limitado, no exclusivo e intransferible de usar el Servicio conforme a estos Términos.</w:t>
      </w:r>
    </w:p>
    <w:p>
      <w:pPr>
        <w:spacing w:after="150"/>
      </w:pPr>
      <w:r>
        <w:t xml:space="preserve">El Cliente conserva la propiedad de los datos que ingresa al Servicio (contactos, propiedades, negociaciones, mensajes). El Proveedor no reclama propiedad sobre esos datos y los utiliza únicamente para prestar el Servicio, conforme a la Política de Privacidad.</w:t>
      </w:r>
    </w:p>
    <w:p>
      <w:pPr>
        <w:pStyle w:val="Heading1"/>
        <w:spacing w:after="150" w:before="300"/>
      </w:pPr>
      <w:r>
        <w:t xml:space="preserve">7. Disponibilidad del Servicio</w:t>
      </w:r>
    </w:p>
    <w:p>
      <w:pPr>
        <w:spacing w:after="150"/>
      </w:pPr>
      <w:r>
        <w:t xml:space="preserve">El Proveedor hará esfuerzos razonables para mantener el Servicio disponible, pero no garantiza disponibilidad ininterrumpida. El Servicio depende de terceros (incluyendo, sin limitarse a, Supabase, Twilio/Meta, y proveedores de hosting) cuya disponibilidad está fuera del control directo del Proveedor. [En una fase posterior del negocio, esta sección puede ampliarse con un Acuerdo de Nivel de Servicio (SLA) formal para planes superiores.]</w:t>
      </w:r>
    </w:p>
    <w:p>
      <w:pPr>
        <w:pStyle w:val="Heading1"/>
        <w:spacing w:after="150" w:before="300"/>
      </w:pPr>
      <w:r>
        <w:t xml:space="preserve">8. Limitación de responsabilidad</w:t>
      </w:r>
    </w:p>
    <w:p>
      <w:pPr>
        <w:spacing w:after="150"/>
      </w:pPr>
      <w:r>
        <w:t xml:space="preserve">En la máxima medida permitida por la ley dominicana, el Proveedor no será responsable por daños indirectos, incidentales, especiales o consecuentes derivados del uso o la imposibilidad de usar el Servicio, incluyendo la pérdida de negociaciones, leads o ingresos, salvo en casos de dolo o culpa grave del Proveedor.</w:t>
      </w:r>
    </w:p>
    <w:p>
      <w:pPr>
        <w:spacing w:after="150"/>
      </w:pPr>
      <w:r>
        <w:t xml:space="preserve">La responsabilidad total del Proveedor frente al Cliente, por cualquier reclamo relacionado con el Servicio, no excederá el monto pagado por el Cliente en los [tres (3)] meses anteriores al hecho que originó el reclamo.</w:t>
      </w:r>
    </w:p>
    <w:p>
      <w:pPr>
        <w:pStyle w:val="Heading1"/>
        <w:spacing w:after="150" w:before="300"/>
      </w:pPr>
      <w:r>
        <w:t xml:space="preserve">9. Terminación</w:t>
      </w:r>
    </w:p>
    <w:p>
      <w:pPr>
        <w:spacing w:after="150"/>
      </w:pPr>
      <w:r>
        <w:t xml:space="preserve">Cualquiera de las partes puede terminar esta relación en cualquier momento, sujeto a las condiciones de facturación de la sección 5. El Proveedor puede suspender o terminar la cuenta del Cliente de forma inmediata en caso de incumplimiento grave de la sección 4 (Uso aceptable) o de falta de pago no subsanada dentro de [15] días de notificado.</w:t>
      </w:r>
    </w:p>
    <w:p>
      <w:pPr>
        <w:spacing w:after="150"/>
      </w:pPr>
      <w:r>
        <w:t xml:space="preserve">Al terminar la relación, el Cliente podrá solicitar la exportación de sus datos dentro de un plazo de [30] días; transcurrido ese plazo, el Proveedor podrá eliminar los datos de la Agencia conforme a la Política de Privacidad.</w:t>
      </w:r>
    </w:p>
    <w:p>
      <w:pPr>
        <w:pStyle w:val="Heading1"/>
        <w:spacing w:after="150" w:before="300"/>
      </w:pPr>
      <w:r>
        <w:t xml:space="preserve">10. Modificaciones a estos Términos</w:t>
      </w:r>
    </w:p>
    <w:p>
      <w:pPr>
        <w:spacing w:after="150"/>
      </w:pPr>
      <w:r>
        <w:t xml:space="preserve">El Proveedor puede modificar estos Términos en cualquier momento. Los cambios sustanciales se notificarán al Cliente con al menos [15] días de anticipación por correo electrónico o dentro de la plataforma. El uso continuado del Servicio después de la fecha de vigencia del cambio constituye aceptación de los nuevos Términos.</w:t>
      </w:r>
    </w:p>
    <w:p>
      <w:pPr>
        <w:pStyle w:val="Heading1"/>
        <w:spacing w:after="150" w:before="300"/>
      </w:pPr>
      <w:r>
        <w:t xml:space="preserve">11. Ley aplicable y jurisdicción</w:t>
      </w:r>
    </w:p>
    <w:p>
      <w:pPr>
        <w:spacing w:after="150"/>
      </w:pPr>
      <w:r>
        <w:t xml:space="preserve">Estos Términos se rigen por las leyes de la República Dominicana. Cualquier controversia derivada de estos Términos se someterá a los tribunales competentes de [CIUDAD/PROVINCIA, ej. Santo Domingo o San Juan de la Maguana], sin perjuicio de los derechos irrenunciables que la ley reconozca al Cliente.</w:t>
      </w:r>
    </w:p>
    <w:p>
      <w:pPr>
        <w:pStyle w:val="Heading1"/>
        <w:spacing w:after="150" w:before="300"/>
      </w:pPr>
      <w:r>
        <w:t xml:space="preserve">12. Contacto</w:t>
      </w:r>
    </w:p>
    <w:p>
      <w:pPr>
        <w:spacing w:after="150"/>
      </w:pPr>
      <w:r>
        <w:t xml:space="preserve">Para preguntas sobre estos Términos, puede escribir a [EMAIL DE CONTACTO] o [DIRECCIÓN FÍSICA].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2026-07-10T09:57:10.285Z</dcterms:created>
  <dcterms:modified xsi:type="dcterms:W3CDTF">2026-07-10T09:57:10.299Z</dcterms:modified>
</cp:coreProperties>
</file>

<file path=docProps/custom.xml><?xml version="1.0" encoding="utf-8"?>
<Properties xmlns="http://schemas.openxmlformats.org/officeDocument/2006/custom-properties" xmlns:vt="http://schemas.openxmlformats.org/officeDocument/2006/docPropsVTypes"/>
</file>