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3B24" w14:textId="54E5E040" w:rsidR="009206C9" w:rsidRDefault="009206C9"/>
    <w:p w14:paraId="11D8E0AD" w14:textId="48301621" w:rsidR="00A97D14" w:rsidRDefault="00A97D14"/>
    <w:p w14:paraId="77CDBC30" w14:textId="2AB9733A" w:rsidR="00A97D14" w:rsidRDefault="00A97D14"/>
    <w:p w14:paraId="2786403A" w14:textId="645AC7D6" w:rsidR="00A97D14" w:rsidRDefault="00A97D14"/>
    <w:p w14:paraId="38F22DA6" w14:textId="0B4C6661" w:rsidR="00AA239D" w:rsidRDefault="00AA239D" w:rsidP="00A97D14">
      <w:pPr>
        <w:pStyle w:val="Heading1"/>
        <w:pBdr>
          <w:top w:val="thinThickSmallGap" w:sz="24" w:space="0" w:color="auto"/>
        </w:pBdr>
        <w:jc w:val="center"/>
        <w:rPr>
          <w:lang w:val="es-CO"/>
        </w:rPr>
      </w:pPr>
      <w:bookmarkStart w:id="0" w:name="_Toc492108275"/>
      <w:bookmarkStart w:id="1" w:name="_Toc26272838"/>
      <w:r>
        <w:rPr>
          <w:lang w:val="es-CO"/>
        </w:rPr>
        <w:t>BUS EMPRESARIAL</w:t>
      </w:r>
    </w:p>
    <w:p w14:paraId="081CE27E" w14:textId="6C658EC5" w:rsidR="00A97D14" w:rsidRPr="00B6692A" w:rsidRDefault="00E55F4E" w:rsidP="00A97D14">
      <w:pPr>
        <w:pStyle w:val="Heading1"/>
        <w:pBdr>
          <w:top w:val="thinThickSmallGap" w:sz="24" w:space="0" w:color="auto"/>
        </w:pBdr>
        <w:jc w:val="center"/>
        <w:rPr>
          <w:lang w:val="es-CO"/>
        </w:rPr>
      </w:pPr>
      <w:r>
        <w:rPr>
          <w:lang w:val="es-CO"/>
        </w:rPr>
        <w:t>Co</w:t>
      </w:r>
      <w:r w:rsidR="00B46C5D">
        <w:rPr>
          <w:lang w:val="es-CO"/>
        </w:rPr>
        <w:t>nfiguraci</w:t>
      </w:r>
      <w:r w:rsidR="00AA239D">
        <w:rPr>
          <w:lang w:val="es-CO"/>
        </w:rPr>
        <w:t>ó</w:t>
      </w:r>
      <w:r w:rsidR="00B46C5D">
        <w:rPr>
          <w:lang w:val="es-CO"/>
        </w:rPr>
        <w:t xml:space="preserve">n </w:t>
      </w:r>
      <w:r w:rsidR="00AA239D">
        <w:rPr>
          <w:lang w:val="es-CO"/>
        </w:rPr>
        <w:t xml:space="preserve">Pipelines para compilacion servicios con Ant. </w:t>
      </w:r>
      <w:bookmarkEnd w:id="0"/>
      <w:bookmarkEnd w:id="1"/>
    </w:p>
    <w:p w14:paraId="09B1439F" w14:textId="707BED4C" w:rsidR="00A97D14" w:rsidRPr="00A97D14" w:rsidRDefault="00A97D14">
      <w:pPr>
        <w:rPr>
          <w:lang w:val="es-CO"/>
        </w:rPr>
      </w:pPr>
    </w:p>
    <w:p w14:paraId="5D4B61D6" w14:textId="4320E9B7" w:rsidR="00A97D14" w:rsidRDefault="00A97D14"/>
    <w:p w14:paraId="60B2E2ED" w14:textId="49B888F2" w:rsidR="00A97D14" w:rsidRDefault="00A97D14"/>
    <w:p w14:paraId="476A8681" w14:textId="5CB6CD7E" w:rsidR="00A97D14" w:rsidRDefault="00A97D14"/>
    <w:p w14:paraId="6BF63150" w14:textId="77777777" w:rsidR="00A97D14" w:rsidRDefault="00A97D14"/>
    <w:p w14:paraId="6D6D136A" w14:textId="77777777" w:rsidR="00A97D14" w:rsidRPr="00A97D14" w:rsidRDefault="00A97D14">
      <w:pPr>
        <w:rPr>
          <w:lang w:val="es-CO"/>
        </w:rPr>
      </w:pPr>
    </w:p>
    <w:p w14:paraId="547F646F" w14:textId="77777777" w:rsidR="00A97D14" w:rsidRPr="006E3C4B" w:rsidRDefault="00A97D14" w:rsidP="00A97D14">
      <w:pPr>
        <w:pStyle w:val="Heading2"/>
        <w:rPr>
          <w:rStyle w:val="Heading2Char"/>
          <w:b/>
          <w:bCs/>
          <w:sz w:val="48"/>
          <w:szCs w:val="48"/>
          <w:lang w:val="es-CO"/>
        </w:rPr>
      </w:pPr>
      <w:bookmarkStart w:id="2" w:name="_Toc492108276"/>
      <w:bookmarkStart w:id="3" w:name="_Toc26272839"/>
      <w:r w:rsidRPr="006E3C4B">
        <w:rPr>
          <w:rStyle w:val="Heading2Char"/>
          <w:b/>
          <w:bCs/>
          <w:sz w:val="48"/>
          <w:szCs w:val="48"/>
          <w:lang w:val="es-CO"/>
        </w:rPr>
        <w:t>Resumen</w:t>
      </w:r>
      <w:bookmarkEnd w:id="2"/>
      <w:bookmarkEnd w:id="3"/>
    </w:p>
    <w:p w14:paraId="2D89CCF1" w14:textId="77777777" w:rsidR="00A97D14" w:rsidRDefault="00A97D14" w:rsidP="00A97D14">
      <w:pPr>
        <w:jc w:val="both"/>
        <w:rPr>
          <w:lang w:val="es-CO"/>
        </w:rPr>
      </w:pPr>
    </w:p>
    <w:p w14:paraId="3F1E9DD4" w14:textId="6EBFC7BC" w:rsidR="009730C6" w:rsidRDefault="00D41F43" w:rsidP="00A97D14">
      <w:pPr>
        <w:jc w:val="both"/>
        <w:rPr>
          <w:lang w:val="es-CO"/>
        </w:rPr>
      </w:pPr>
      <w:r>
        <w:rPr>
          <w:lang w:val="es-CO"/>
        </w:rPr>
        <w:t>Este documento tiene la información correspondiente a la configuración de Tareas, variables y pipelines para compilar servicios java con Ant</w:t>
      </w:r>
      <w:r w:rsidR="006E3C4B">
        <w:rPr>
          <w:lang w:val="es-CO"/>
        </w:rPr>
        <w:t>.</w:t>
      </w:r>
    </w:p>
    <w:p w14:paraId="596A14B3" w14:textId="55A8EBEC" w:rsidR="006E3C4B" w:rsidRDefault="006E3C4B" w:rsidP="00A97D14">
      <w:pPr>
        <w:jc w:val="both"/>
        <w:rPr>
          <w:lang w:val="es-CO"/>
        </w:rPr>
      </w:pPr>
    </w:p>
    <w:p w14:paraId="4C6F8EDB" w14:textId="77777777" w:rsidR="006E3C4B" w:rsidRDefault="006E3C4B" w:rsidP="00A97D14">
      <w:pPr>
        <w:jc w:val="both"/>
        <w:rPr>
          <w:lang w:val="es-CO"/>
        </w:rPr>
      </w:pPr>
    </w:p>
    <w:p w14:paraId="6B1E89EA" w14:textId="53A916F3" w:rsidR="001524F9" w:rsidRDefault="001524F9">
      <w:pPr>
        <w:rPr>
          <w:lang w:val="es-CO"/>
        </w:rPr>
      </w:pPr>
    </w:p>
    <w:sdt>
      <w:sdtPr>
        <w:id w:val="652720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7AE3D8" w14:textId="71990FE8" w:rsidR="006E3C4B" w:rsidRPr="006E3C4B" w:rsidRDefault="006E3C4B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40"/>
              <w:lang w:val="es-CO" w:eastAsia="es-CO"/>
            </w:rPr>
          </w:pPr>
          <w:r w:rsidRPr="006E3C4B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40"/>
              <w:lang w:val="es-CO" w:eastAsia="es-CO"/>
            </w:rPr>
            <w:t>Tabla de Contenido</w:t>
          </w:r>
        </w:p>
        <w:p w14:paraId="79A1FF0F" w14:textId="3E34779F" w:rsidR="00E37EBD" w:rsidRDefault="006E3C4B">
          <w:pPr>
            <w:pStyle w:val="TOC1"/>
            <w:tabs>
              <w:tab w:val="right" w:leader="dot" w:pos="8828"/>
            </w:tabs>
            <w:rPr>
              <w:rFonts w:cstheme="minorBidi"/>
              <w:noProof/>
            </w:rPr>
          </w:pP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fldChar w:fldCharType="begin"/>
          </w: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instrText xml:space="preserve"> TOC \o "1-3" \h \z \u </w:instrText>
          </w: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fldChar w:fldCharType="separate"/>
          </w:r>
          <w:hyperlink w:anchor="_Toc26272838" w:history="1">
            <w:r w:rsidR="00E37EBD" w:rsidRPr="007816C4">
              <w:rPr>
                <w:rStyle w:val="Hyperlink"/>
                <w:noProof/>
                <w:lang w:val="es-CO" w:bidi="en-US"/>
              </w:rPr>
              <w:t>Configuracion de ANT en servidor de compilación para aplicaciones JAVA</w:t>
            </w:r>
            <w:r w:rsidR="00E37EBD">
              <w:rPr>
                <w:noProof/>
                <w:webHidden/>
              </w:rPr>
              <w:tab/>
            </w:r>
            <w:r w:rsidR="00E37EBD">
              <w:rPr>
                <w:noProof/>
                <w:webHidden/>
              </w:rPr>
              <w:fldChar w:fldCharType="begin"/>
            </w:r>
            <w:r w:rsidR="00E37EBD">
              <w:rPr>
                <w:noProof/>
                <w:webHidden/>
              </w:rPr>
              <w:instrText xml:space="preserve"> PAGEREF _Toc26272838 \h </w:instrText>
            </w:r>
            <w:r w:rsidR="00E37EBD">
              <w:rPr>
                <w:noProof/>
                <w:webHidden/>
              </w:rPr>
            </w:r>
            <w:r w:rsidR="00E37EBD">
              <w:rPr>
                <w:noProof/>
                <w:webHidden/>
              </w:rPr>
              <w:fldChar w:fldCharType="separate"/>
            </w:r>
            <w:r w:rsidR="00E37EBD">
              <w:rPr>
                <w:noProof/>
                <w:webHidden/>
              </w:rPr>
              <w:t>1</w:t>
            </w:r>
            <w:r w:rsidR="00E37EBD">
              <w:rPr>
                <w:noProof/>
                <w:webHidden/>
              </w:rPr>
              <w:fldChar w:fldCharType="end"/>
            </w:r>
          </w:hyperlink>
        </w:p>
        <w:p w14:paraId="56C2EC8A" w14:textId="74905E09" w:rsidR="00E37EBD" w:rsidRDefault="00B64FD5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272839" w:history="1"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Resumen</w:t>
            </w:r>
            <w:r w:rsidR="00E37EBD">
              <w:rPr>
                <w:noProof/>
                <w:webHidden/>
              </w:rPr>
              <w:tab/>
            </w:r>
            <w:r w:rsidR="00E37EBD">
              <w:rPr>
                <w:noProof/>
                <w:webHidden/>
              </w:rPr>
              <w:fldChar w:fldCharType="begin"/>
            </w:r>
            <w:r w:rsidR="00E37EBD">
              <w:rPr>
                <w:noProof/>
                <w:webHidden/>
              </w:rPr>
              <w:instrText xml:space="preserve"> PAGEREF _Toc26272839 \h </w:instrText>
            </w:r>
            <w:r w:rsidR="00E37EBD">
              <w:rPr>
                <w:noProof/>
                <w:webHidden/>
              </w:rPr>
            </w:r>
            <w:r w:rsidR="00E37EBD">
              <w:rPr>
                <w:noProof/>
                <w:webHidden/>
              </w:rPr>
              <w:fldChar w:fldCharType="separate"/>
            </w:r>
            <w:r w:rsidR="00E37EBD">
              <w:rPr>
                <w:noProof/>
                <w:webHidden/>
              </w:rPr>
              <w:t>1</w:t>
            </w:r>
            <w:r w:rsidR="00E37EBD">
              <w:rPr>
                <w:noProof/>
                <w:webHidden/>
              </w:rPr>
              <w:fldChar w:fldCharType="end"/>
            </w:r>
          </w:hyperlink>
        </w:p>
        <w:p w14:paraId="0EF96159" w14:textId="70A007BC" w:rsidR="00E37EBD" w:rsidRDefault="00B64FD5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26272840" w:history="1"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1.</w:t>
            </w:r>
            <w:r w:rsidR="00E37EBD">
              <w:rPr>
                <w:rFonts w:cstheme="minorBidi"/>
                <w:noProof/>
              </w:rPr>
              <w:tab/>
            </w:r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Pre-requisitos.</w:t>
            </w:r>
            <w:r w:rsidR="00E37EBD">
              <w:rPr>
                <w:noProof/>
                <w:webHidden/>
              </w:rPr>
              <w:tab/>
            </w:r>
            <w:r w:rsidR="00E37EBD">
              <w:rPr>
                <w:noProof/>
                <w:webHidden/>
              </w:rPr>
              <w:fldChar w:fldCharType="begin"/>
            </w:r>
            <w:r w:rsidR="00E37EBD">
              <w:rPr>
                <w:noProof/>
                <w:webHidden/>
              </w:rPr>
              <w:instrText xml:space="preserve"> PAGEREF _Toc26272840 \h </w:instrText>
            </w:r>
            <w:r w:rsidR="00E37EBD">
              <w:rPr>
                <w:noProof/>
                <w:webHidden/>
              </w:rPr>
            </w:r>
            <w:r w:rsidR="00E37EBD">
              <w:rPr>
                <w:noProof/>
                <w:webHidden/>
              </w:rPr>
              <w:fldChar w:fldCharType="separate"/>
            </w:r>
            <w:r w:rsidR="00E37EBD">
              <w:rPr>
                <w:noProof/>
                <w:webHidden/>
              </w:rPr>
              <w:t>1</w:t>
            </w:r>
            <w:r w:rsidR="00E37EBD">
              <w:rPr>
                <w:noProof/>
                <w:webHidden/>
              </w:rPr>
              <w:fldChar w:fldCharType="end"/>
            </w:r>
          </w:hyperlink>
        </w:p>
        <w:p w14:paraId="10184670" w14:textId="477DA421" w:rsidR="00E37EBD" w:rsidRDefault="00B64FD5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26272841" w:history="1"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2.</w:t>
            </w:r>
            <w:r w:rsidR="00E37EBD">
              <w:rPr>
                <w:rFonts w:cstheme="minorBidi"/>
                <w:noProof/>
              </w:rPr>
              <w:tab/>
            </w:r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Instalación de Apache Ant.</w:t>
            </w:r>
            <w:r w:rsidR="00E37EBD">
              <w:rPr>
                <w:noProof/>
                <w:webHidden/>
              </w:rPr>
              <w:tab/>
            </w:r>
            <w:r w:rsidR="00E37EBD">
              <w:rPr>
                <w:noProof/>
                <w:webHidden/>
              </w:rPr>
              <w:fldChar w:fldCharType="begin"/>
            </w:r>
            <w:r w:rsidR="00E37EBD">
              <w:rPr>
                <w:noProof/>
                <w:webHidden/>
              </w:rPr>
              <w:instrText xml:space="preserve"> PAGEREF _Toc26272841 \h </w:instrText>
            </w:r>
            <w:r w:rsidR="00E37EBD">
              <w:rPr>
                <w:noProof/>
                <w:webHidden/>
              </w:rPr>
            </w:r>
            <w:r w:rsidR="00E37EBD">
              <w:rPr>
                <w:noProof/>
                <w:webHidden/>
              </w:rPr>
              <w:fldChar w:fldCharType="separate"/>
            </w:r>
            <w:r w:rsidR="00E37EBD">
              <w:rPr>
                <w:noProof/>
                <w:webHidden/>
              </w:rPr>
              <w:t>2</w:t>
            </w:r>
            <w:r w:rsidR="00E37EBD">
              <w:rPr>
                <w:noProof/>
                <w:webHidden/>
              </w:rPr>
              <w:fldChar w:fldCharType="end"/>
            </w:r>
          </w:hyperlink>
        </w:p>
        <w:p w14:paraId="0E52E585" w14:textId="2E83CB0F" w:rsidR="00E37EBD" w:rsidRDefault="00B64FD5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26272842" w:history="1"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3.</w:t>
            </w:r>
            <w:r w:rsidR="00E37EBD">
              <w:rPr>
                <w:rFonts w:cstheme="minorBidi"/>
                <w:noProof/>
              </w:rPr>
              <w:tab/>
            </w:r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Registro variables del sistema.</w:t>
            </w:r>
            <w:r w:rsidR="00E37EBD">
              <w:rPr>
                <w:noProof/>
                <w:webHidden/>
              </w:rPr>
              <w:tab/>
            </w:r>
            <w:r w:rsidR="00E37EBD">
              <w:rPr>
                <w:noProof/>
                <w:webHidden/>
              </w:rPr>
              <w:fldChar w:fldCharType="begin"/>
            </w:r>
            <w:r w:rsidR="00E37EBD">
              <w:rPr>
                <w:noProof/>
                <w:webHidden/>
              </w:rPr>
              <w:instrText xml:space="preserve"> PAGEREF _Toc26272842 \h </w:instrText>
            </w:r>
            <w:r w:rsidR="00E37EBD">
              <w:rPr>
                <w:noProof/>
                <w:webHidden/>
              </w:rPr>
            </w:r>
            <w:r w:rsidR="00E37EBD">
              <w:rPr>
                <w:noProof/>
                <w:webHidden/>
              </w:rPr>
              <w:fldChar w:fldCharType="separate"/>
            </w:r>
            <w:r w:rsidR="00E37EBD">
              <w:rPr>
                <w:noProof/>
                <w:webHidden/>
              </w:rPr>
              <w:t>3</w:t>
            </w:r>
            <w:r w:rsidR="00E37EBD">
              <w:rPr>
                <w:noProof/>
                <w:webHidden/>
              </w:rPr>
              <w:fldChar w:fldCharType="end"/>
            </w:r>
          </w:hyperlink>
        </w:p>
        <w:p w14:paraId="1D3BE6F3" w14:textId="102CD83E" w:rsidR="00E37EBD" w:rsidRDefault="00B64FD5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26272843" w:history="1"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4.</w:t>
            </w:r>
            <w:r w:rsidR="00E37EBD">
              <w:rPr>
                <w:rFonts w:cstheme="minorBidi"/>
                <w:noProof/>
              </w:rPr>
              <w:tab/>
            </w:r>
            <w:r w:rsidR="00E37EBD" w:rsidRPr="007816C4">
              <w:rPr>
                <w:rStyle w:val="Hyperlink"/>
                <w:b/>
                <w:bCs/>
                <w:noProof/>
                <w:lang w:val="es-CO"/>
              </w:rPr>
              <w:t>Validar Disponibilidad.</w:t>
            </w:r>
            <w:r w:rsidR="00E37EBD">
              <w:rPr>
                <w:noProof/>
                <w:webHidden/>
              </w:rPr>
              <w:tab/>
            </w:r>
            <w:r w:rsidR="00E37EBD">
              <w:rPr>
                <w:noProof/>
                <w:webHidden/>
              </w:rPr>
              <w:fldChar w:fldCharType="begin"/>
            </w:r>
            <w:r w:rsidR="00E37EBD">
              <w:rPr>
                <w:noProof/>
                <w:webHidden/>
              </w:rPr>
              <w:instrText xml:space="preserve"> PAGEREF _Toc26272843 \h </w:instrText>
            </w:r>
            <w:r w:rsidR="00E37EBD">
              <w:rPr>
                <w:noProof/>
                <w:webHidden/>
              </w:rPr>
            </w:r>
            <w:r w:rsidR="00E37EBD">
              <w:rPr>
                <w:noProof/>
                <w:webHidden/>
              </w:rPr>
              <w:fldChar w:fldCharType="separate"/>
            </w:r>
            <w:r w:rsidR="00E37EBD">
              <w:rPr>
                <w:noProof/>
                <w:webHidden/>
              </w:rPr>
              <w:t>5</w:t>
            </w:r>
            <w:r w:rsidR="00E37EBD">
              <w:rPr>
                <w:noProof/>
                <w:webHidden/>
              </w:rPr>
              <w:fldChar w:fldCharType="end"/>
            </w:r>
          </w:hyperlink>
        </w:p>
        <w:p w14:paraId="2983BF6B" w14:textId="1E17C4A2" w:rsidR="006E3C4B" w:rsidRDefault="006E3C4B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</w:pP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fldChar w:fldCharType="end"/>
          </w:r>
        </w:p>
      </w:sdtContent>
    </w:sdt>
    <w:p w14:paraId="18E24365" w14:textId="5602F545" w:rsidR="00A97D14" w:rsidRDefault="00A97D14">
      <w:pPr>
        <w:rPr>
          <w:lang w:val="es-CO"/>
        </w:rPr>
      </w:pPr>
    </w:p>
    <w:p w14:paraId="6790088F" w14:textId="55B0DA1B" w:rsidR="00EC0763" w:rsidRPr="00C41D2F" w:rsidRDefault="00E55F4E" w:rsidP="001A16F0">
      <w:pPr>
        <w:pStyle w:val="Heading2"/>
        <w:spacing w:before="200" w:line="259" w:lineRule="auto"/>
        <w:ind w:left="360"/>
        <w:jc w:val="both"/>
        <w:rPr>
          <w:rStyle w:val="Heading2Char"/>
          <w:b/>
          <w:bCs/>
          <w:sz w:val="28"/>
          <w:szCs w:val="28"/>
          <w:lang w:val="es-CO"/>
        </w:rPr>
      </w:pPr>
      <w:bookmarkStart w:id="4" w:name="_Toc492108277"/>
      <w:bookmarkStart w:id="5" w:name="_Toc26272840"/>
      <w:r w:rsidRPr="00C41D2F">
        <w:rPr>
          <w:rStyle w:val="Heading2Char"/>
          <w:b/>
          <w:bCs/>
          <w:sz w:val="28"/>
          <w:szCs w:val="28"/>
          <w:lang w:val="es-CO"/>
        </w:rPr>
        <w:t>Pre-requisitos</w:t>
      </w:r>
      <w:r w:rsidR="00EC0763" w:rsidRPr="00C41D2F">
        <w:rPr>
          <w:rStyle w:val="Heading2Char"/>
          <w:b/>
          <w:bCs/>
          <w:sz w:val="28"/>
          <w:szCs w:val="28"/>
          <w:lang w:val="es-CO"/>
        </w:rPr>
        <w:t>.</w:t>
      </w:r>
      <w:bookmarkEnd w:id="4"/>
      <w:bookmarkEnd w:id="5"/>
    </w:p>
    <w:p w14:paraId="4A882D42" w14:textId="44F7649A" w:rsidR="00EC0763" w:rsidRDefault="00EC0763">
      <w:pPr>
        <w:rPr>
          <w:lang w:val="es-CO"/>
        </w:rPr>
      </w:pPr>
    </w:p>
    <w:p w14:paraId="7FA71BB7" w14:textId="63A0A08F" w:rsidR="000B057C" w:rsidRPr="000B057C" w:rsidRDefault="000B057C" w:rsidP="000B057C">
      <w:pPr>
        <w:pStyle w:val="ListParagraph"/>
        <w:numPr>
          <w:ilvl w:val="0"/>
          <w:numId w:val="22"/>
        </w:numPr>
      </w:pPr>
      <w:r w:rsidRPr="000B057C">
        <w:t xml:space="preserve">Cola de agentes </w:t>
      </w:r>
      <w:r w:rsidR="00030B87">
        <w:t xml:space="preserve">configurada </w:t>
      </w:r>
      <w:r w:rsidRPr="000B057C">
        <w:t>con agentes para compilación que tengan Ant y Suite Oracle</w:t>
      </w:r>
      <w:r w:rsidR="00030B87">
        <w:t xml:space="preserve"> instalados</w:t>
      </w:r>
      <w:r w:rsidRPr="000B057C">
        <w:t xml:space="preserve">. Para ver detalles de esa configuración, revisar la guía: </w:t>
      </w:r>
      <w:r w:rsidRPr="000B057C">
        <w:rPr>
          <w:b/>
          <w:bCs/>
        </w:rPr>
        <w:t>Configurar  ANT y Suite Oracle en Servidores de compilacion.docx</w:t>
      </w:r>
      <w:r>
        <w:t>.</w:t>
      </w:r>
    </w:p>
    <w:p w14:paraId="3848B4AA" w14:textId="6897A1D8" w:rsidR="00B97F23" w:rsidRDefault="000B057C" w:rsidP="001A16F0">
      <w:pPr>
        <w:rPr>
          <w:lang w:val="es-ES"/>
        </w:rPr>
      </w:pPr>
      <w:r>
        <w:rPr>
          <w:lang w:val="es-CO"/>
        </w:rPr>
        <w:lastRenderedPageBreak/>
        <w:br/>
      </w:r>
    </w:p>
    <w:p w14:paraId="399ED519" w14:textId="77777777" w:rsidR="001524F9" w:rsidRDefault="001524F9" w:rsidP="001524F9">
      <w:pPr>
        <w:rPr>
          <w:lang w:val="es-ES"/>
        </w:rPr>
      </w:pPr>
    </w:p>
    <w:p w14:paraId="18B165A7" w14:textId="2F6580F4" w:rsidR="001524F9" w:rsidRDefault="001524F9" w:rsidP="001524F9">
      <w:pPr>
        <w:ind w:left="360"/>
        <w:rPr>
          <w:lang w:val="es-ES"/>
        </w:rPr>
      </w:pPr>
    </w:p>
    <w:p w14:paraId="5BC0F26C" w14:textId="67C27C4A" w:rsidR="00CF2F07" w:rsidRPr="00C41D2F" w:rsidRDefault="001A16F0" w:rsidP="009D3397">
      <w:pPr>
        <w:pStyle w:val="Heading2"/>
        <w:numPr>
          <w:ilvl w:val="0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bookmarkStart w:id="6" w:name="_Toc26272841"/>
      <w:r w:rsidRPr="00C41D2F">
        <w:rPr>
          <w:rStyle w:val="Heading2Char"/>
          <w:b/>
          <w:bCs/>
          <w:sz w:val="28"/>
          <w:szCs w:val="28"/>
          <w:lang w:val="es-CO"/>
        </w:rPr>
        <w:t>Grupos de tareas</w:t>
      </w:r>
      <w:r w:rsidR="00CF2F07" w:rsidRPr="00C41D2F">
        <w:rPr>
          <w:rStyle w:val="Heading2Char"/>
          <w:b/>
          <w:bCs/>
          <w:sz w:val="28"/>
          <w:szCs w:val="28"/>
          <w:lang w:val="es-CO"/>
        </w:rPr>
        <w:t>.</w:t>
      </w:r>
      <w:bookmarkEnd w:id="6"/>
    </w:p>
    <w:p w14:paraId="6410EF6C" w14:textId="77777777" w:rsidR="00E55F4E" w:rsidRDefault="00E55F4E" w:rsidP="001524F9">
      <w:pPr>
        <w:ind w:left="360"/>
        <w:rPr>
          <w:lang w:val="es-ES"/>
        </w:rPr>
      </w:pPr>
    </w:p>
    <w:p w14:paraId="4BCB479B" w14:textId="77777777" w:rsidR="001524F9" w:rsidRDefault="001524F9" w:rsidP="001524F9">
      <w:pPr>
        <w:ind w:left="360"/>
        <w:rPr>
          <w:lang w:val="es-ES"/>
        </w:rPr>
      </w:pPr>
    </w:p>
    <w:p w14:paraId="133F3E2C" w14:textId="77777777" w:rsidR="00A55075" w:rsidRPr="00E12DCF" w:rsidRDefault="00A55075" w:rsidP="00A55075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Con el fin de configurar los pipelines para compilaciones y despliegues, se hace uso de la utilidad del grupo de tareas aprovechando las características de los servicios de BUS EMPRESARIAL ya que los procesos para compilar y desplegar son comunes. </w:t>
      </w:r>
      <w:r w:rsidRPr="00E12DCF">
        <w:rPr>
          <w:rFonts w:ascii="Segoe UI" w:eastAsia="Times New Roman" w:hAnsi="Segoe UI" w:cs="Segoe UI"/>
          <w:color w:val="000000"/>
          <w:sz w:val="21"/>
          <w:szCs w:val="21"/>
        </w:rPr>
        <w:t>Se han configurado los siguientes grupos:</w:t>
      </w:r>
    </w:p>
    <w:p w14:paraId="7C40E9BC" w14:textId="77777777" w:rsidR="00A55075" w:rsidRPr="00E12DCF" w:rsidRDefault="00A55075" w:rsidP="00A55075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 w:rsidRPr="00E12D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Compilación</w:t>
      </w:r>
    </w:p>
    <w:p w14:paraId="6153C3A3" w14:textId="77777777" w:rsidR="00A55075" w:rsidRPr="00E12DCF" w:rsidRDefault="00A55075" w:rsidP="00A55075">
      <w:pPr>
        <w:numPr>
          <w:ilvl w:val="0"/>
          <w:numId w:val="23"/>
        </w:numPr>
        <w:shd w:val="clear" w:color="auto" w:fill="FFFFFF"/>
        <w:spacing w:before="120" w:after="120"/>
        <w:rPr>
          <w:rFonts w:ascii="Segoe UI" w:eastAsia="Times New Roman" w:hAnsi="Segoe UI" w:cs="Segoe UI"/>
          <w:color w:val="000000"/>
          <w:sz w:val="21"/>
          <w:szCs w:val="21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</w:rPr>
        <w:t>Compilar Servicio con ConfigurationFile</w:t>
      </w:r>
    </w:p>
    <w:p w14:paraId="6585253F" w14:textId="77777777" w:rsidR="00A55075" w:rsidRPr="00E12DCF" w:rsidRDefault="00A55075" w:rsidP="00A55075">
      <w:pPr>
        <w:numPr>
          <w:ilvl w:val="0"/>
          <w:numId w:val="23"/>
        </w:numPr>
        <w:shd w:val="clear" w:color="auto" w:fill="FFFFFF"/>
        <w:spacing w:before="60" w:after="120"/>
        <w:rPr>
          <w:rFonts w:ascii="Segoe UI" w:eastAsia="Times New Roman" w:hAnsi="Segoe UI" w:cs="Segoe UI"/>
          <w:color w:val="000000"/>
          <w:sz w:val="21"/>
          <w:szCs w:val="21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</w:rPr>
        <w:t>Compilar Servicio sin ConfigurationFile</w:t>
      </w:r>
    </w:p>
    <w:p w14:paraId="3FF2C458" w14:textId="77777777" w:rsidR="00A55075" w:rsidRPr="00E12DCF" w:rsidRDefault="00A55075" w:rsidP="00A55075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 w:rsidRPr="00E12D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Despliegue y rollback del despliegue</w:t>
      </w:r>
    </w:p>
    <w:p w14:paraId="5F63315E" w14:textId="77777777" w:rsidR="00A55075" w:rsidRPr="00E12DCF" w:rsidRDefault="00A55075" w:rsidP="00A55075">
      <w:pPr>
        <w:numPr>
          <w:ilvl w:val="0"/>
          <w:numId w:val="24"/>
        </w:numPr>
        <w:shd w:val="clear" w:color="auto" w:fill="FFFFFF"/>
        <w:spacing w:before="120" w:after="12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Grupos de tareas para desplegar en ambientes DEV, QA, PREPROD y PROD</w:t>
      </w:r>
    </w:p>
    <w:p w14:paraId="7B69D556" w14:textId="77777777" w:rsidR="00A55075" w:rsidRPr="00E12DCF" w:rsidRDefault="00A55075" w:rsidP="00A55075">
      <w:pPr>
        <w:numPr>
          <w:ilvl w:val="0"/>
          <w:numId w:val="24"/>
        </w:numPr>
        <w:shd w:val="clear" w:color="auto" w:fill="FFFFFF"/>
        <w:spacing w:before="60" w:after="12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Grupos de tareas para rollback de despliegue en ambientes DEV, QA, PREPROD y PROD</w:t>
      </w:r>
    </w:p>
    <w:p w14:paraId="262A3D8E" w14:textId="77777777" w:rsidR="00A55075" w:rsidRPr="00E12DCF" w:rsidRDefault="00A55075" w:rsidP="00A55075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E12DC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CO"/>
        </w:rPr>
        <w:t>Eliminación de aplicación y rollback de eliminación</w:t>
      </w: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br/>
        <w:t>-Eliminar Aplicacion Ambientes DEV, QA, PRE-PROD y PROD</w:t>
      </w:r>
    </w:p>
    <w:p w14:paraId="3D88270F" w14:textId="4447EA3B" w:rsidR="00A55075" w:rsidRDefault="00A55075" w:rsidP="00A55075">
      <w:pPr>
        <w:numPr>
          <w:ilvl w:val="0"/>
          <w:numId w:val="25"/>
        </w:numPr>
        <w:shd w:val="clear" w:color="auto" w:fill="FFFFFF"/>
        <w:spacing w:before="120" w:after="12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RollBack Eliminar Proyecto Ambientes DEV, QA, PREPROD y PROD</w:t>
      </w:r>
    </w:p>
    <w:p w14:paraId="15F1ACFB" w14:textId="2AAEF8C0" w:rsidR="00C41D2F" w:rsidRPr="00A65D5D" w:rsidRDefault="00A65D5D" w:rsidP="00C41D2F">
      <w:pPr>
        <w:shd w:val="clear" w:color="auto" w:fill="FFFFFF"/>
        <w:spacing w:before="120" w:after="120"/>
        <w:ind w:left="360"/>
        <w:rPr>
          <w:rFonts w:ascii="Segoe UI" w:eastAsia="Times New Roman" w:hAnsi="Segoe UI" w:cs="Segoe UI"/>
          <w:color w:val="C0504D" w:themeColor="accent2"/>
          <w:sz w:val="21"/>
          <w:szCs w:val="21"/>
          <w:lang w:val="es-CO"/>
        </w:rPr>
      </w:pPr>
      <w:r>
        <w:rPr>
          <w:rFonts w:ascii="Segoe UI" w:eastAsia="Times New Roman" w:hAnsi="Segoe UI" w:cs="Segoe UI"/>
          <w:color w:val="C0504D" w:themeColor="accent2"/>
          <w:sz w:val="21"/>
          <w:szCs w:val="21"/>
          <w:lang w:val="es-CO"/>
        </w:rPr>
        <w:t>Actualizar imagen de grupos de tareas</w:t>
      </w:r>
    </w:p>
    <w:p w14:paraId="3EDC1259" w14:textId="77777777" w:rsidR="00C41D2F" w:rsidRPr="00C41D2F" w:rsidRDefault="00C41D2F" w:rsidP="008016DA">
      <w:pPr>
        <w:ind w:left="360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s-CO"/>
        </w:rPr>
      </w:pPr>
      <w:r w:rsidRPr="00C41D2F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s-CO"/>
        </w:rPr>
        <w:t>Imagen grupos de tareas</w:t>
      </w:r>
    </w:p>
    <w:p w14:paraId="5E61C280" w14:textId="6B588B12" w:rsidR="00A55075" w:rsidRDefault="00C41D2F" w:rsidP="008016DA">
      <w:pPr>
        <w:ind w:left="360"/>
        <w:jc w:val="both"/>
        <w:rPr>
          <w:lang w:val="es-ES"/>
        </w:rPr>
      </w:pP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 </w:t>
      </w:r>
      <w:r w:rsidRPr="00E12DCF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br/>
      </w:r>
      <w:r>
        <w:rPr>
          <w:noProof/>
        </w:rPr>
        <w:drawing>
          <wp:inline distT="0" distB="0" distL="0" distR="0" wp14:anchorId="0039AAD5" wp14:editId="78D33521">
            <wp:extent cx="5612130" cy="27527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A92C" w14:textId="77777777" w:rsidR="00C41D2F" w:rsidRDefault="00C41D2F" w:rsidP="008016DA">
      <w:pPr>
        <w:ind w:left="360"/>
        <w:jc w:val="both"/>
        <w:rPr>
          <w:lang w:val="es-ES"/>
        </w:rPr>
      </w:pPr>
    </w:p>
    <w:p w14:paraId="1A38BFBF" w14:textId="54E09E66" w:rsidR="00305E4B" w:rsidRDefault="00305E4B" w:rsidP="008016DA">
      <w:pPr>
        <w:ind w:left="360"/>
        <w:jc w:val="both"/>
        <w:rPr>
          <w:lang w:val="es-ES"/>
        </w:rPr>
      </w:pPr>
    </w:p>
    <w:p w14:paraId="48297FE7" w14:textId="6EBDE27E" w:rsidR="00305E4B" w:rsidRDefault="00305E4B" w:rsidP="008016DA">
      <w:pPr>
        <w:ind w:left="360"/>
        <w:jc w:val="both"/>
        <w:rPr>
          <w:lang w:val="es-ES"/>
        </w:rPr>
      </w:pPr>
    </w:p>
    <w:p w14:paraId="2C0F203F" w14:textId="77777777" w:rsidR="00305E4B" w:rsidRDefault="00305E4B" w:rsidP="008016DA">
      <w:pPr>
        <w:ind w:left="360"/>
        <w:jc w:val="both"/>
        <w:rPr>
          <w:lang w:val="es-ES"/>
        </w:rPr>
      </w:pPr>
    </w:p>
    <w:p w14:paraId="57A0B2D3" w14:textId="0D0880A3" w:rsidR="00305E4B" w:rsidRPr="00C41D2F" w:rsidRDefault="00C41D2F" w:rsidP="00E37EBD">
      <w:pPr>
        <w:pStyle w:val="Heading2"/>
        <w:numPr>
          <w:ilvl w:val="0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bookmarkStart w:id="7" w:name="_Toc26272842"/>
      <w:r w:rsidRPr="00C41D2F">
        <w:rPr>
          <w:rStyle w:val="Heading2Char"/>
          <w:b/>
          <w:bCs/>
          <w:sz w:val="28"/>
          <w:szCs w:val="28"/>
          <w:lang w:val="es-CO"/>
        </w:rPr>
        <w:t>Grupo de tareas para compilar</w:t>
      </w:r>
      <w:r w:rsidR="00305E4B" w:rsidRPr="00C41D2F">
        <w:rPr>
          <w:rStyle w:val="Heading2Char"/>
          <w:b/>
          <w:bCs/>
          <w:sz w:val="28"/>
          <w:szCs w:val="28"/>
          <w:lang w:val="es-CO"/>
        </w:rPr>
        <w:t>.</w:t>
      </w:r>
      <w:bookmarkEnd w:id="7"/>
    </w:p>
    <w:p w14:paraId="329B41DD" w14:textId="77777777" w:rsidR="00E37EBD" w:rsidRDefault="00E37EBD" w:rsidP="008016DA">
      <w:pPr>
        <w:ind w:left="360"/>
        <w:jc w:val="both"/>
        <w:rPr>
          <w:lang w:val="es-ES"/>
        </w:rPr>
      </w:pPr>
    </w:p>
    <w:p w14:paraId="552AD576" w14:textId="674BE0CA" w:rsidR="00305E4B" w:rsidRDefault="00305E4B" w:rsidP="008016DA">
      <w:pPr>
        <w:ind w:left="360"/>
        <w:jc w:val="both"/>
        <w:rPr>
          <w:lang w:val="es-ES"/>
        </w:rPr>
      </w:pPr>
    </w:p>
    <w:p w14:paraId="7F05F895" w14:textId="77777777" w:rsidR="00F92E5D" w:rsidRPr="00260B46" w:rsidRDefault="00F92E5D" w:rsidP="00F92E5D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En el grupo de tareas del Team Project se encuentran configurados los siguientes grupos:</w:t>
      </w:r>
    </w:p>
    <w:p w14:paraId="231E6870" w14:textId="77777777" w:rsidR="00F92E5D" w:rsidRPr="00260B46" w:rsidRDefault="00F92E5D" w:rsidP="00F92E5D">
      <w:pPr>
        <w:numPr>
          <w:ilvl w:val="0"/>
          <w:numId w:val="26"/>
        </w:numPr>
        <w:shd w:val="clear" w:color="auto" w:fill="FFFFFF"/>
        <w:spacing w:before="120" w:after="120"/>
        <w:rPr>
          <w:rFonts w:ascii="Segoe UI" w:eastAsia="Times New Roman" w:hAnsi="Segoe UI" w:cs="Segoe UI"/>
          <w:color w:val="000000"/>
          <w:sz w:val="21"/>
          <w:szCs w:val="21"/>
        </w:rPr>
      </w:pPr>
      <w:r w:rsidRPr="00260B46">
        <w:rPr>
          <w:rFonts w:ascii="Segoe UI" w:eastAsia="Times New Roman" w:hAnsi="Segoe UI" w:cs="Segoe UI"/>
          <w:color w:val="000000"/>
          <w:sz w:val="21"/>
          <w:szCs w:val="21"/>
        </w:rPr>
        <w:t>Compilar Servicio con ConfigurationFile</w:t>
      </w:r>
    </w:p>
    <w:p w14:paraId="60995159" w14:textId="77777777" w:rsidR="00F92E5D" w:rsidRPr="00260B46" w:rsidRDefault="00F92E5D" w:rsidP="00F92E5D">
      <w:pPr>
        <w:numPr>
          <w:ilvl w:val="0"/>
          <w:numId w:val="26"/>
        </w:numPr>
        <w:shd w:val="clear" w:color="auto" w:fill="FFFFFF"/>
        <w:spacing w:before="60" w:after="120"/>
        <w:rPr>
          <w:rFonts w:ascii="Segoe UI" w:eastAsia="Times New Roman" w:hAnsi="Segoe UI" w:cs="Segoe UI"/>
          <w:color w:val="000000"/>
          <w:sz w:val="21"/>
          <w:szCs w:val="21"/>
        </w:rPr>
      </w:pPr>
      <w:r w:rsidRPr="00260B46">
        <w:rPr>
          <w:rFonts w:ascii="Segoe UI" w:eastAsia="Times New Roman" w:hAnsi="Segoe UI" w:cs="Segoe UI"/>
          <w:color w:val="000000"/>
          <w:sz w:val="21"/>
          <w:szCs w:val="21"/>
        </w:rPr>
        <w:t>Compilar Servicio sin ConfigurationFile</w:t>
      </w:r>
    </w:p>
    <w:p w14:paraId="681CFCED" w14:textId="6BB9D11D" w:rsidR="00531150" w:rsidRDefault="00F92E5D" w:rsidP="00F92E5D">
      <w:pPr>
        <w:shd w:val="clear" w:color="auto" w:fill="FFFFFF"/>
        <w:spacing w:after="240"/>
        <w:rPr>
          <w:lang w:val="es-ES"/>
        </w:rPr>
      </w:pP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La diferencia entre estos dos grupos de tareas es que para el primer caso 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tiene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 configurada una tarea (por cada ambiente) que se encarga de enviar el archivo ConfigurationFile.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br/>
      </w:r>
      <w:r w:rsidR="0056228D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Se 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configura un pipeline de compilación, por cada repositorio de código fuente y tiene asociado el grupo de tareas según requiera o no del archivo ConfigurationFile durante el proceso de despliegue. Las tareas que se documentan a continuación corresponden a la configuración que incluye los archivos "ConfigurationFile".</w:t>
      </w:r>
    </w:p>
    <w:p w14:paraId="555BC970" w14:textId="77777777" w:rsidR="00E37EBD" w:rsidRDefault="00E37EBD" w:rsidP="008016DA">
      <w:pPr>
        <w:ind w:left="360"/>
        <w:jc w:val="both"/>
        <w:rPr>
          <w:lang w:val="es-ES"/>
        </w:rPr>
      </w:pPr>
    </w:p>
    <w:p w14:paraId="1DED4F1C" w14:textId="77777777" w:rsidR="00E37EBD" w:rsidRDefault="00E37EBD" w:rsidP="008016DA">
      <w:pPr>
        <w:ind w:left="360"/>
        <w:jc w:val="both"/>
        <w:rPr>
          <w:lang w:val="es-ES"/>
        </w:rPr>
      </w:pPr>
    </w:p>
    <w:p w14:paraId="169103D9" w14:textId="544D529B" w:rsidR="00E94DB1" w:rsidRDefault="00E94DB1" w:rsidP="008016DA">
      <w:pPr>
        <w:ind w:left="360"/>
        <w:jc w:val="both"/>
        <w:rPr>
          <w:lang w:val="es-ES"/>
        </w:rPr>
      </w:pPr>
    </w:p>
    <w:p w14:paraId="0166D7CE" w14:textId="77777777" w:rsidR="0056228D" w:rsidRPr="0056228D" w:rsidRDefault="0056228D" w:rsidP="0056228D">
      <w:pPr>
        <w:pStyle w:val="Heading2"/>
        <w:spacing w:before="200" w:line="259" w:lineRule="auto"/>
        <w:ind w:left="360"/>
        <w:jc w:val="both"/>
        <w:rPr>
          <w:rStyle w:val="Heading2Char"/>
          <w:b/>
          <w:bCs/>
          <w:color w:val="auto"/>
          <w:sz w:val="28"/>
          <w:szCs w:val="28"/>
        </w:rPr>
      </w:pPr>
      <w:r w:rsidRPr="0056228D">
        <w:rPr>
          <w:rStyle w:val="Heading2Char"/>
          <w:b/>
          <w:bCs/>
          <w:color w:val="auto"/>
          <w:sz w:val="28"/>
          <w:szCs w:val="28"/>
        </w:rPr>
        <w:t>Imagen configuración del grupo de tareas:</w:t>
      </w:r>
    </w:p>
    <w:p w14:paraId="3566D5AF" w14:textId="73C7E35B" w:rsidR="00E94DB1" w:rsidRPr="00E94DB1" w:rsidRDefault="00E94DB1" w:rsidP="008016DA">
      <w:pPr>
        <w:ind w:left="360"/>
        <w:jc w:val="both"/>
      </w:pPr>
    </w:p>
    <w:p w14:paraId="752D5FD6" w14:textId="781AB771" w:rsidR="00E94DB1" w:rsidRDefault="0056228D" w:rsidP="008016DA">
      <w:pPr>
        <w:ind w:left="360"/>
        <w:jc w:val="both"/>
        <w:rPr>
          <w:lang w:val="es-ES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val="es-CO"/>
        </w:rPr>
        <w:lastRenderedPageBreak/>
        <w:drawing>
          <wp:inline distT="0" distB="0" distL="0" distR="0" wp14:anchorId="35F31B52" wp14:editId="4A6BE870">
            <wp:extent cx="4686300" cy="5781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8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C5DD1" w14:textId="77777777" w:rsidR="00E4624B" w:rsidRDefault="00E4624B" w:rsidP="008016DA">
      <w:pPr>
        <w:ind w:left="360"/>
        <w:jc w:val="both"/>
        <w:rPr>
          <w:lang w:val="es-ES"/>
        </w:rPr>
      </w:pPr>
    </w:p>
    <w:p w14:paraId="1C1F74F7" w14:textId="7DD6E611" w:rsidR="0056228D" w:rsidRDefault="0056228D" w:rsidP="008016DA">
      <w:pPr>
        <w:ind w:left="360"/>
        <w:jc w:val="both"/>
        <w:rPr>
          <w:lang w:val="es-ES"/>
        </w:rPr>
      </w:pPr>
    </w:p>
    <w:p w14:paraId="7B51FC61" w14:textId="77777777" w:rsidR="00E4624B" w:rsidRPr="00E4624B" w:rsidRDefault="00E4624B" w:rsidP="00E4624B">
      <w:pPr>
        <w:pStyle w:val="Heading2"/>
        <w:numPr>
          <w:ilvl w:val="0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>
        <w:rPr>
          <w:rStyle w:val="Heading2Char"/>
          <w:b/>
          <w:bCs/>
          <w:sz w:val="28"/>
          <w:szCs w:val="28"/>
          <w:lang w:val="es-CO"/>
        </w:rPr>
        <w:t xml:space="preserve">Tareas configuradas en el grupo </w:t>
      </w:r>
      <w:r w:rsidRPr="00E4624B">
        <w:rPr>
          <w:rStyle w:val="Heading2Char"/>
          <w:b/>
          <w:bCs/>
          <w:sz w:val="28"/>
          <w:szCs w:val="28"/>
          <w:lang w:val="es-CO"/>
        </w:rPr>
        <w:t>Compilar Servicio con ConfigurationFile</w:t>
      </w:r>
    </w:p>
    <w:p w14:paraId="05B7D81E" w14:textId="4074335E" w:rsidR="00CF28D4" w:rsidRPr="00F2409C" w:rsidRDefault="001455FF" w:rsidP="00204E7E">
      <w:pPr>
        <w:pStyle w:val="Heading2"/>
        <w:numPr>
          <w:ilvl w:val="1"/>
          <w:numId w:val="21"/>
        </w:numPr>
        <w:spacing w:before="200" w:line="259" w:lineRule="auto"/>
        <w:jc w:val="both"/>
        <w:rPr>
          <w:b/>
          <w:bCs/>
          <w:sz w:val="28"/>
          <w:szCs w:val="28"/>
          <w:lang w:val="es-CO"/>
        </w:rPr>
      </w:pPr>
      <w:r w:rsidRPr="00F2409C">
        <w:rPr>
          <w:rStyle w:val="Heading2Char"/>
          <w:b/>
          <w:bCs/>
          <w:sz w:val="28"/>
          <w:szCs w:val="28"/>
          <w:lang w:val="es-CO"/>
        </w:rPr>
        <w:t>Prep</w:t>
      </w:r>
      <w:r w:rsidR="00FC42E3" w:rsidRPr="00F2409C">
        <w:rPr>
          <w:rStyle w:val="Heading2Char"/>
          <w:b/>
          <w:bCs/>
          <w:sz w:val="28"/>
          <w:szCs w:val="28"/>
          <w:lang w:val="es-CO"/>
        </w:rPr>
        <w:t>arar</w:t>
      </w:r>
      <w:r w:rsidRPr="00F2409C">
        <w:rPr>
          <w:rStyle w:val="Heading2Char"/>
          <w:b/>
          <w:bCs/>
          <w:sz w:val="28"/>
          <w:szCs w:val="28"/>
          <w:lang w:val="es-CO"/>
        </w:rPr>
        <w:t xml:space="preserve"> </w:t>
      </w:r>
      <w:r w:rsidR="00030B87" w:rsidRPr="00F2409C">
        <w:rPr>
          <w:rStyle w:val="Heading2Char"/>
          <w:b/>
          <w:bCs/>
          <w:sz w:val="28"/>
          <w:szCs w:val="28"/>
          <w:lang w:val="es-CO"/>
        </w:rPr>
        <w:t>Análisis</w:t>
      </w:r>
      <w:r w:rsidRPr="00F2409C">
        <w:rPr>
          <w:rStyle w:val="Heading2Char"/>
          <w:b/>
          <w:bCs/>
          <w:sz w:val="28"/>
          <w:szCs w:val="28"/>
          <w:lang w:val="es-CO"/>
        </w:rPr>
        <w:t xml:space="preserve"> en SonarQube</w:t>
      </w:r>
      <w:r w:rsidR="00F2409C">
        <w:rPr>
          <w:rFonts w:ascii="Segoe UI" w:eastAsia="Times New Roman" w:hAnsi="Segoe UI" w:cs="Segoe UI"/>
          <w:color w:val="000000"/>
          <w:sz w:val="21"/>
          <w:szCs w:val="21"/>
        </w:rPr>
        <w:t>: S</w:t>
      </w:r>
      <w:r w:rsidR="00CF28D4" w:rsidRPr="00F2409C">
        <w:rPr>
          <w:rFonts w:ascii="Segoe UI" w:eastAsia="Times New Roman" w:hAnsi="Segoe UI" w:cs="Segoe UI"/>
          <w:color w:val="000000"/>
          <w:sz w:val="21"/>
          <w:szCs w:val="21"/>
        </w:rPr>
        <w:t xml:space="preserve">e </w:t>
      </w:r>
      <w:r w:rsidR="00F2409C">
        <w:rPr>
          <w:rFonts w:ascii="Segoe UI" w:eastAsia="Times New Roman" w:hAnsi="Segoe UI" w:cs="Segoe UI"/>
          <w:color w:val="000000"/>
          <w:sz w:val="21"/>
          <w:szCs w:val="21"/>
        </w:rPr>
        <w:t xml:space="preserve">utiliza para configurar el acceso al servidor </w:t>
      </w:r>
      <w:r w:rsidR="00CF28D4" w:rsidRPr="00F2409C">
        <w:rPr>
          <w:rFonts w:ascii="Segoe UI" w:eastAsia="Times New Roman" w:hAnsi="Segoe UI" w:cs="Segoe UI"/>
          <w:color w:val="000000"/>
          <w:sz w:val="21"/>
          <w:szCs w:val="21"/>
        </w:rPr>
        <w:t xml:space="preserve">de SonarQube y </w:t>
      </w:r>
      <w:r w:rsidR="00F2409C">
        <w:rPr>
          <w:rFonts w:ascii="Segoe UI" w:eastAsia="Times New Roman" w:hAnsi="Segoe UI" w:cs="Segoe UI"/>
          <w:color w:val="000000"/>
          <w:sz w:val="21"/>
          <w:szCs w:val="21"/>
        </w:rPr>
        <w:t xml:space="preserve">definición de </w:t>
      </w:r>
      <w:r w:rsidR="00CF28D4" w:rsidRPr="00F2409C">
        <w:rPr>
          <w:rFonts w:ascii="Segoe UI" w:eastAsia="Times New Roman" w:hAnsi="Segoe UI" w:cs="Segoe UI"/>
          <w:color w:val="000000"/>
          <w:sz w:val="21"/>
          <w:szCs w:val="21"/>
        </w:rPr>
        <w:t>variables a utilizar:</w:t>
      </w:r>
    </w:p>
    <w:p w14:paraId="2BED48D7" w14:textId="3FEE9435" w:rsidR="0051353B" w:rsidRPr="00BF3211" w:rsidRDefault="00CF28D4" w:rsidP="001455FF">
      <w:pPr>
        <w:shd w:val="clear" w:color="auto" w:fill="FFFFFF"/>
        <w:spacing w:after="240"/>
        <w:rPr>
          <w:rFonts w:ascii="Segoe UI" w:eastAsia="Times New Roman" w:hAnsi="Segoe UI" w:cs="Segoe UI"/>
          <w:color w:val="C0504D" w:themeColor="accent2"/>
          <w:sz w:val="21"/>
          <w:szCs w:val="21"/>
        </w:rPr>
      </w:pPr>
      <w:r w:rsidRPr="00CF28D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SonarQube Server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: Asignar la conexión a utilizar. </w:t>
      </w:r>
      <w:r w:rsidR="0051353B">
        <w:rPr>
          <w:rFonts w:ascii="Segoe UI" w:eastAsia="Times New Roman" w:hAnsi="Segoe UI" w:cs="Segoe UI"/>
          <w:color w:val="000000"/>
          <w:sz w:val="21"/>
          <w:szCs w:val="21"/>
        </w:rPr>
        <w:t xml:space="preserve"> Actualmente está configurado como </w:t>
      </w:r>
      <w:r w:rsidR="0051353B" w:rsidRPr="0051353B">
        <w:rPr>
          <w:rFonts w:ascii="Segoe UI" w:eastAsia="Times New Roman" w:hAnsi="Segoe UI" w:cs="Segoe UI"/>
          <w:color w:val="000000"/>
          <w:sz w:val="21"/>
          <w:szCs w:val="21"/>
        </w:rPr>
        <w:t>Sonar-Claro.</w:t>
      </w:r>
      <w:r w:rsidR="0051353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La conexión se configura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mediante la opción </w:t>
      </w:r>
      <w:r w:rsidRPr="0051353B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Service Connection</w:t>
      </w:r>
      <w:r w:rsidR="001455FF" w:rsidRPr="001455F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del proyecto.</w:t>
      </w:r>
      <w:r w:rsidR="00BF321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BF3211" w:rsidRPr="00BF3211">
        <w:rPr>
          <w:rFonts w:ascii="Segoe UI" w:eastAsia="Times New Roman" w:hAnsi="Segoe UI" w:cs="Segoe UI"/>
          <w:color w:val="C0504D" w:themeColor="accent2"/>
          <w:sz w:val="21"/>
          <w:szCs w:val="21"/>
        </w:rPr>
        <w:t>Agr</w:t>
      </w:r>
      <w:r w:rsidR="00BF3211">
        <w:rPr>
          <w:rFonts w:ascii="Segoe UI" w:eastAsia="Times New Roman" w:hAnsi="Segoe UI" w:cs="Segoe UI"/>
          <w:color w:val="C0504D" w:themeColor="accent2"/>
          <w:sz w:val="21"/>
          <w:szCs w:val="21"/>
        </w:rPr>
        <w:t>e</w:t>
      </w:r>
      <w:r w:rsidR="00BF3211" w:rsidRPr="00BF3211">
        <w:rPr>
          <w:rFonts w:ascii="Segoe UI" w:eastAsia="Times New Roman" w:hAnsi="Segoe UI" w:cs="Segoe UI"/>
          <w:color w:val="C0504D" w:themeColor="accent2"/>
          <w:sz w:val="21"/>
          <w:szCs w:val="21"/>
        </w:rPr>
        <w:t xml:space="preserve">gar url de sonar claro y token </w:t>
      </w:r>
      <w:r w:rsidR="00BF3211">
        <w:rPr>
          <w:rFonts w:ascii="Segoe UI" w:eastAsia="Times New Roman" w:hAnsi="Segoe UI" w:cs="Segoe UI"/>
          <w:color w:val="C0504D" w:themeColor="accent2"/>
          <w:sz w:val="21"/>
          <w:szCs w:val="21"/>
        </w:rPr>
        <w:t>para clarocolombia y alminspiraclaro</w:t>
      </w:r>
    </w:p>
    <w:p w14:paraId="02C53279" w14:textId="1D70073D" w:rsidR="0051353B" w:rsidRDefault="0051353B" w:rsidP="001455FF">
      <w:pPr>
        <w:shd w:val="clear" w:color="auto" w:fill="FFFFFF"/>
        <w:spacing w:after="240"/>
        <w:rPr>
          <w:rFonts w:ascii="Segoe UI" w:eastAsia="Times New Roman" w:hAnsi="Segoe UI" w:cs="Segoe UI"/>
          <w:i/>
          <w:iCs/>
          <w:color w:val="000000"/>
          <w:sz w:val="21"/>
          <w:szCs w:val="21"/>
          <w:u w:val="single"/>
          <w:lang w:val="en-US"/>
        </w:rPr>
      </w:pPr>
      <w:r w:rsidRPr="0051353B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Choose the way to run the analysis</w:t>
      </w:r>
      <w:r w:rsidRPr="0051353B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: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Seleccionar la opci</w:t>
      </w:r>
      <w:r w:rsidR="00461BD4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ó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n </w:t>
      </w:r>
      <w:r w:rsidRPr="0051353B">
        <w:rPr>
          <w:rFonts w:ascii="Segoe UI" w:eastAsia="Times New Roman" w:hAnsi="Segoe UI" w:cs="Segoe UI"/>
          <w:i/>
          <w:iCs/>
          <w:color w:val="000000"/>
          <w:sz w:val="21"/>
          <w:szCs w:val="21"/>
          <w:u w:val="single"/>
          <w:lang w:val="en-US"/>
        </w:rPr>
        <w:t>Use standalone scanner</w:t>
      </w:r>
    </w:p>
    <w:p w14:paraId="6A190167" w14:textId="23EF05A2" w:rsidR="00FB3EC2" w:rsidRDefault="00FB3EC2" w:rsidP="001455FF">
      <w:pPr>
        <w:shd w:val="clear" w:color="auto" w:fill="FFFFFF"/>
        <w:spacing w:after="240"/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Mode</w:t>
      </w:r>
      <w:r w:rsidRPr="00FB3EC2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: 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Seleccionar </w:t>
      </w:r>
      <w:r w:rsidRPr="00FB3EC2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/>
        </w:rPr>
        <w:t>Manually provide configuration</w:t>
      </w:r>
    </w:p>
    <w:p w14:paraId="23B7EE79" w14:textId="62444A88" w:rsidR="00FB3EC2" w:rsidRDefault="00FB3EC2" w:rsidP="001455FF">
      <w:pPr>
        <w:shd w:val="clear" w:color="auto" w:fill="FFFFFF"/>
        <w:spacing w:after="240"/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/>
        </w:rPr>
      </w:pPr>
    </w:p>
    <w:p w14:paraId="30A8C357" w14:textId="601EB59B" w:rsidR="00FB3EC2" w:rsidRPr="00FC42E3" w:rsidRDefault="00FB3EC2" w:rsidP="00FB3EC2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FC42E3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Project key</w:t>
      </w:r>
      <w:r w:rsidRPr="00FC42E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: </w:t>
      </w:r>
      <w:r w:rsidR="00FC42E3" w:rsidRPr="00FC42E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BUS_EMP_$(Build.Repository.Name). </w:t>
      </w:r>
      <w:r w:rsidR="00FC42E3" w:rsidRPr="00FC42E3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Compuesto por </w:t>
      </w:r>
      <w:r w:rsidR="00FC42E3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un prefijo utilizado para identificar el nombre del proyecto mas la variable que contiene el nombre del repositorio del código fuente.</w:t>
      </w:r>
    </w:p>
    <w:p w14:paraId="3A2F8E0E" w14:textId="4D7F2AB9" w:rsidR="00FC42E3" w:rsidRPr="00FC42E3" w:rsidRDefault="00FC42E3" w:rsidP="00FC42E3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FC42E3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Project name</w:t>
      </w:r>
      <w:r w:rsidRPr="00FC42E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: BUS_EMP_$(Build.Repository.Name). </w:t>
      </w:r>
      <w:r w:rsidRPr="00FC42E3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Se utiliza la misma configuración del Project key.</w:t>
      </w:r>
    </w:p>
    <w:p w14:paraId="3D0A7C1B" w14:textId="50471093" w:rsidR="001455FF" w:rsidRPr="001455FF" w:rsidRDefault="001455FF" w:rsidP="001455FF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 w:rsidRPr="00FC42E3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 </w:t>
      </w:r>
      <w:r w:rsidRPr="001455F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Custom Condition</w:t>
      </w:r>
      <w:r w:rsidRPr="001455FF">
        <w:rPr>
          <w:rFonts w:ascii="Segoe UI" w:eastAsia="Times New Roman" w:hAnsi="Segoe UI" w:cs="Segoe UI"/>
          <w:color w:val="000000"/>
          <w:sz w:val="21"/>
          <w:szCs w:val="21"/>
        </w:rPr>
        <w:t>, se configura lo siguiente para que el análisis se realice únicamente cuando se envía la compilación desde la rama Develop.</w:t>
      </w:r>
      <w:r w:rsidRPr="001455FF">
        <w:rPr>
          <w:rFonts w:ascii="Segoe UI" w:eastAsia="Times New Roman" w:hAnsi="Segoe UI" w:cs="Segoe UI"/>
          <w:color w:val="000000"/>
          <w:sz w:val="21"/>
          <w:szCs w:val="21"/>
        </w:rPr>
        <w:br/>
        <w:t>and(succeeded(), eq(variables['Build.SourceBranch'], 'refs/heads/Develop'))</w:t>
      </w:r>
    </w:p>
    <w:p w14:paraId="65AF2BC1" w14:textId="5D9C9907" w:rsidR="00FC42E3" w:rsidRDefault="00B448A4" w:rsidP="001455FF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Nota: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La rama Develop se debe configurar como rama por defecto</w:t>
      </w:r>
      <w:r w:rsidR="00E4624B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BA799F4" w14:textId="3CC6E9E5" w:rsidR="003539C6" w:rsidRPr="003539C6" w:rsidRDefault="003539C6" w:rsidP="001455FF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594D063B" w14:textId="7AF4F90B" w:rsidR="003539C6" w:rsidRDefault="003539C6" w:rsidP="001455FF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303259E" wp14:editId="4AC6D35F">
            <wp:extent cx="3895725" cy="3924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B74EC" w14:textId="5D115011" w:rsidR="00FC42E3" w:rsidRDefault="00204E7E" w:rsidP="00204E7E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>
        <w:rPr>
          <w:rStyle w:val="Heading2Char"/>
          <w:b/>
          <w:bCs/>
          <w:sz w:val="28"/>
          <w:szCs w:val="28"/>
          <w:lang w:val="es-CO"/>
        </w:rPr>
        <w:t>Copiar archivos para compilar</w:t>
      </w:r>
    </w:p>
    <w:p w14:paraId="7C398885" w14:textId="08FA2F0A" w:rsidR="003539C6" w:rsidRDefault="003539C6" w:rsidP="003539C6">
      <w:pPr>
        <w:rPr>
          <w:lang w:val="es-CO"/>
        </w:rPr>
      </w:pPr>
      <w:r>
        <w:rPr>
          <w:lang w:val="es-CO"/>
        </w:rPr>
        <w:t>Tarea utilizada para copiar los artefactos del repositorio fuente clonado automáticamente por el pipeline, a una ruta temporal</w:t>
      </w:r>
      <w:r w:rsidR="002655E5">
        <w:rPr>
          <w:lang w:val="es-CO"/>
        </w:rPr>
        <w:t>,</w:t>
      </w:r>
      <w:r w:rsidR="00917494">
        <w:rPr>
          <w:lang w:val="es-CO"/>
        </w:rPr>
        <w:t xml:space="preserve"> con el fin de correr el proceso de compilación.</w:t>
      </w:r>
    </w:p>
    <w:p w14:paraId="00EB4656" w14:textId="77777777" w:rsidR="002655E5" w:rsidRDefault="002655E5" w:rsidP="003539C6">
      <w:pPr>
        <w:rPr>
          <w:lang w:val="es-CO"/>
        </w:rPr>
      </w:pPr>
    </w:p>
    <w:p w14:paraId="2D8AD019" w14:textId="090C2337" w:rsidR="002655E5" w:rsidRDefault="002655E5" w:rsidP="003539C6">
      <w:pPr>
        <w:rPr>
          <w:lang w:val="es-CO"/>
        </w:rPr>
      </w:pPr>
      <w:r w:rsidRPr="002655E5">
        <w:rPr>
          <w:b/>
          <w:bCs/>
          <w:lang w:val="es-CO"/>
        </w:rPr>
        <w:lastRenderedPageBreak/>
        <w:t>Source Folder</w:t>
      </w:r>
      <w:r w:rsidRPr="002655E5">
        <w:rPr>
          <w:lang w:val="es-CO"/>
        </w:rPr>
        <w:t>: $(Build.SourcesDirectory): Variable predefinida; es la ruta donde</w:t>
      </w:r>
      <w:r>
        <w:rPr>
          <w:lang w:val="es-CO"/>
        </w:rPr>
        <w:t xml:space="preserve"> el agente de compilación clona el repositorio de código fuente</w:t>
      </w:r>
    </w:p>
    <w:p w14:paraId="31AFA323" w14:textId="6CD2FEA9" w:rsidR="002655E5" w:rsidRDefault="002655E5" w:rsidP="003539C6">
      <w:pPr>
        <w:rPr>
          <w:lang w:val="es-CO"/>
        </w:rPr>
      </w:pPr>
      <w:r w:rsidRPr="00543585">
        <w:rPr>
          <w:b/>
          <w:bCs/>
          <w:lang w:val="es-CO"/>
        </w:rPr>
        <w:t>Contents</w:t>
      </w:r>
      <w:r>
        <w:rPr>
          <w:lang w:val="es-CO"/>
        </w:rPr>
        <w:t xml:space="preserve">: </w:t>
      </w:r>
      <w:r w:rsidR="00543585">
        <w:rPr>
          <w:lang w:val="es-CO"/>
        </w:rPr>
        <w:t>Filtro para indicar cuales artefactos se copian. En esta opción se configura ** para indicar que se copia todo el contenido.</w:t>
      </w:r>
    </w:p>
    <w:p w14:paraId="57062232" w14:textId="77777777" w:rsidR="00224A22" w:rsidRDefault="00543585" w:rsidP="003539C6">
      <w:pPr>
        <w:rPr>
          <w:lang w:val="es-CO"/>
        </w:rPr>
      </w:pPr>
      <w:r w:rsidRPr="00543585">
        <w:rPr>
          <w:b/>
          <w:bCs/>
          <w:lang w:val="es-CO"/>
        </w:rPr>
        <w:t>Target Folder</w:t>
      </w:r>
      <w:r w:rsidRPr="00543585">
        <w:rPr>
          <w:lang w:val="es-CO"/>
        </w:rPr>
        <w:t>: $(Build.SourcesDirectory)\$(NombreCarpetaServicio), Es la ruta</w:t>
      </w:r>
      <w:r>
        <w:rPr>
          <w:lang w:val="es-CO"/>
        </w:rPr>
        <w:t xml:space="preserve"> donde se copian los artefactos. NombreCarpetaServicio es una variable global </w:t>
      </w:r>
      <w:r w:rsidR="003F6469">
        <w:rPr>
          <w:lang w:val="es-CO"/>
        </w:rPr>
        <w:t xml:space="preserve">en la </w:t>
      </w:r>
      <w:r>
        <w:rPr>
          <w:lang w:val="es-CO"/>
        </w:rPr>
        <w:t xml:space="preserve">que </w:t>
      </w:r>
      <w:r w:rsidR="003F6469">
        <w:rPr>
          <w:lang w:val="es-CO"/>
        </w:rPr>
        <w:t>se define el nombre del archivo .jpr que está en el repositorio del código fuente</w:t>
      </w:r>
    </w:p>
    <w:p w14:paraId="75807F85" w14:textId="645E1393" w:rsidR="00543585" w:rsidRDefault="003F6469" w:rsidP="003539C6">
      <w:pPr>
        <w:rPr>
          <w:lang w:val="es-CO"/>
        </w:rPr>
      </w:pPr>
      <w:r>
        <w:rPr>
          <w:lang w:val="es-CO"/>
        </w:rPr>
        <w:t xml:space="preserve"> </w:t>
      </w:r>
    </w:p>
    <w:p w14:paraId="14BDD0AC" w14:textId="77777777" w:rsidR="00224A22" w:rsidRPr="003539C6" w:rsidRDefault="00224A22" w:rsidP="00224A2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0DAE625D" w14:textId="77777777" w:rsidR="00543585" w:rsidRPr="00543585" w:rsidRDefault="00543585" w:rsidP="003539C6">
      <w:pPr>
        <w:rPr>
          <w:lang w:val="es-CO"/>
        </w:rPr>
      </w:pPr>
    </w:p>
    <w:p w14:paraId="198FB343" w14:textId="4863E36E" w:rsidR="00917494" w:rsidRDefault="002655E5" w:rsidP="003539C6">
      <w:pPr>
        <w:rPr>
          <w:lang w:val="es-CO"/>
        </w:rPr>
      </w:pPr>
      <w:r>
        <w:rPr>
          <w:noProof/>
        </w:rPr>
        <w:drawing>
          <wp:inline distT="0" distB="0" distL="0" distR="0" wp14:anchorId="294735E9" wp14:editId="2BEBEA83">
            <wp:extent cx="46101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409" w14:textId="40255547" w:rsidR="00224A22" w:rsidRDefault="00224A22" w:rsidP="003539C6">
      <w:pPr>
        <w:rPr>
          <w:lang w:val="es-CO"/>
        </w:rPr>
      </w:pPr>
    </w:p>
    <w:p w14:paraId="59BCBCFE" w14:textId="075A7D39" w:rsidR="00224A22" w:rsidRDefault="00224A22" w:rsidP="003539C6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bookmarkStart w:id="8" w:name="_Hlk95201961"/>
      <w:r>
        <w:rPr>
          <w:rStyle w:val="Heading2Char"/>
          <w:b/>
          <w:bCs/>
          <w:sz w:val="28"/>
          <w:szCs w:val="28"/>
          <w:lang w:val="es-CO"/>
        </w:rPr>
        <w:t>Compilar Servicio</w:t>
      </w:r>
    </w:p>
    <w:bookmarkEnd w:id="8"/>
    <w:p w14:paraId="3582A04A" w14:textId="3C8FF83B" w:rsidR="00224A22" w:rsidRDefault="00046082" w:rsidP="00224A22">
      <w:pPr>
        <w:rPr>
          <w:lang w:val="es-CO"/>
        </w:rPr>
      </w:pP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Tarea de línea de comando de Windows que 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utiliza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 el archivo setenv.bat para hacer la compilación del servicio</w:t>
      </w:r>
      <w:r>
        <w:rPr>
          <w:lang w:val="es-CO"/>
        </w:rPr>
        <w:t xml:space="preserve"> </w:t>
      </w:r>
    </w:p>
    <w:p w14:paraId="7A32B736" w14:textId="22AE222D" w:rsidR="00046082" w:rsidRPr="00224A22" w:rsidRDefault="00046082" w:rsidP="00224A22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5792"/>
      </w:tblGrid>
      <w:tr w:rsidR="00046082" w:rsidRPr="00046082" w14:paraId="5D8B0291" w14:textId="77777777" w:rsidTr="00046082">
        <w:trPr>
          <w:trHeight w:val="630"/>
        </w:trPr>
        <w:tc>
          <w:tcPr>
            <w:tcW w:w="3036" w:type="dxa"/>
            <w:hideMark/>
          </w:tcPr>
          <w:p w14:paraId="42360635" w14:textId="77777777" w:rsidR="00046082" w:rsidRPr="00046082" w:rsidRDefault="00046082" w:rsidP="00046082">
            <w:pPr>
              <w:rPr>
                <w:b/>
                <w:bCs/>
              </w:rPr>
            </w:pPr>
            <w:r w:rsidRPr="00046082">
              <w:rPr>
                <w:b/>
                <w:bCs/>
              </w:rPr>
              <w:lastRenderedPageBreak/>
              <w:t>Nombre</w:t>
            </w:r>
          </w:p>
        </w:tc>
        <w:tc>
          <w:tcPr>
            <w:tcW w:w="5762" w:type="dxa"/>
            <w:hideMark/>
          </w:tcPr>
          <w:p w14:paraId="2D98E4B7" w14:textId="77777777" w:rsidR="00046082" w:rsidRPr="00046082" w:rsidRDefault="00046082" w:rsidP="00046082">
            <w:pPr>
              <w:rPr>
                <w:b/>
                <w:bCs/>
              </w:rPr>
            </w:pPr>
            <w:r w:rsidRPr="00046082">
              <w:rPr>
                <w:b/>
                <w:bCs/>
              </w:rPr>
              <w:t>Descripcion</w:t>
            </w:r>
          </w:p>
        </w:tc>
      </w:tr>
      <w:tr w:rsidR="00046082" w:rsidRPr="00046082" w14:paraId="4A8B7EED" w14:textId="77777777" w:rsidTr="00046082">
        <w:trPr>
          <w:trHeight w:val="1575"/>
        </w:trPr>
        <w:tc>
          <w:tcPr>
            <w:tcW w:w="3036" w:type="dxa"/>
            <w:hideMark/>
          </w:tcPr>
          <w:p w14:paraId="38EE5675" w14:textId="77777777" w:rsidR="00046082" w:rsidRPr="00046082" w:rsidRDefault="00046082" w:rsidP="00046082">
            <w:r w:rsidRPr="00046082">
              <w:t>Path: $(RutaArchivoBat)\setenv.bat</w:t>
            </w:r>
          </w:p>
        </w:tc>
        <w:tc>
          <w:tcPr>
            <w:tcW w:w="5762" w:type="dxa"/>
            <w:hideMark/>
          </w:tcPr>
          <w:p w14:paraId="2A77A1EB" w14:textId="77777777" w:rsidR="00046082" w:rsidRPr="00046082" w:rsidRDefault="00046082" w:rsidP="00046082">
            <w:r w:rsidRPr="00046082">
              <w:rPr>
                <w:lang w:val="es-CO"/>
              </w:rPr>
              <w:t>Variable que contiene la ruta (D:\Oracle\Middleware\Oracle_Home\osb\tools\configjar) donde se encuentra el archivo setenv.bat. Este archivo tiene la configuración necesaria para compilar con Ant</w:t>
            </w:r>
          </w:p>
        </w:tc>
      </w:tr>
      <w:tr w:rsidR="00046082" w:rsidRPr="00046082" w14:paraId="6FB3494A" w14:textId="77777777" w:rsidTr="00046082">
        <w:trPr>
          <w:trHeight w:val="1575"/>
        </w:trPr>
        <w:tc>
          <w:tcPr>
            <w:tcW w:w="3036" w:type="dxa"/>
            <w:hideMark/>
          </w:tcPr>
          <w:p w14:paraId="649119AB" w14:textId="77777777" w:rsidR="00046082" w:rsidRPr="00046082" w:rsidRDefault="00046082" w:rsidP="00046082">
            <w:r w:rsidRPr="00046082">
              <w:t>Arguments: Build.SourcesDirectory</w:t>
            </w:r>
          </w:p>
        </w:tc>
        <w:tc>
          <w:tcPr>
            <w:tcW w:w="5762" w:type="dxa"/>
            <w:hideMark/>
          </w:tcPr>
          <w:p w14:paraId="2D92B194" w14:textId="77777777" w:rsidR="00046082" w:rsidRPr="00046082" w:rsidRDefault="00046082" w:rsidP="00046082">
            <w:r w:rsidRPr="00046082">
              <w:rPr>
                <w:lang w:val="es-CO"/>
              </w:rPr>
              <w:t>Variable pre-definida que apunta al directorio de trabajo donde se encuentra el codigo fuente. La carpeta se encuentra alojada en el directorio del trabajo del agente que hace la compilación: Ej: D:\Serv28_1_work\xx\s</w:t>
            </w:r>
          </w:p>
        </w:tc>
      </w:tr>
      <w:tr w:rsidR="00046082" w:rsidRPr="00046082" w14:paraId="2C878BE2" w14:textId="77777777" w:rsidTr="00046082">
        <w:trPr>
          <w:trHeight w:val="1260"/>
        </w:trPr>
        <w:tc>
          <w:tcPr>
            <w:tcW w:w="3036" w:type="dxa"/>
            <w:hideMark/>
          </w:tcPr>
          <w:p w14:paraId="4C0F8382" w14:textId="77777777" w:rsidR="00046082" w:rsidRPr="00046082" w:rsidRDefault="00046082" w:rsidP="00046082">
            <w:r w:rsidRPr="00046082">
              <w:t>Arguments: NombreCarpetaServicio</w:t>
            </w:r>
          </w:p>
        </w:tc>
        <w:tc>
          <w:tcPr>
            <w:tcW w:w="5762" w:type="dxa"/>
            <w:hideMark/>
          </w:tcPr>
          <w:p w14:paraId="0A34F429" w14:textId="77777777" w:rsidR="00046082" w:rsidRPr="00046082" w:rsidRDefault="00046082" w:rsidP="00046082">
            <w:r w:rsidRPr="00046082">
              <w:rPr>
                <w:lang w:val="es-CO"/>
              </w:rPr>
              <w:t>Variable del pipeline que contiene el nombre del servicio. En cada pipeline se le configura a la variable el nombre del servicio según lo configurado en el archivo fuente .jpr</w:t>
            </w:r>
          </w:p>
        </w:tc>
      </w:tr>
    </w:tbl>
    <w:p w14:paraId="33752D24" w14:textId="61D70BE4" w:rsidR="00224A22" w:rsidRDefault="00224A22" w:rsidP="00224A22"/>
    <w:p w14:paraId="11F0120E" w14:textId="77777777" w:rsidR="00046082" w:rsidRPr="00046082" w:rsidRDefault="00046082" w:rsidP="00224A22"/>
    <w:p w14:paraId="66611824" w14:textId="77777777" w:rsidR="00046082" w:rsidRPr="003539C6" w:rsidRDefault="00046082" w:rsidP="0004608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086058A3" w14:textId="35E80CDF" w:rsidR="00917494" w:rsidRDefault="00917494" w:rsidP="003539C6">
      <w:pPr>
        <w:rPr>
          <w:lang w:val="es-CO"/>
        </w:rPr>
      </w:pPr>
    </w:p>
    <w:p w14:paraId="2242A127" w14:textId="1CD69162" w:rsidR="00046082" w:rsidRDefault="00046082" w:rsidP="003539C6">
      <w:pPr>
        <w:rPr>
          <w:lang w:val="es-CO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1366C57" wp14:editId="5FE72E6E">
            <wp:extent cx="5334000" cy="3419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FB6A" w14:textId="4463F2DC" w:rsidR="00E35057" w:rsidRDefault="00E35057" w:rsidP="00E35057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 w:rsidRPr="00E35057">
        <w:rPr>
          <w:rStyle w:val="Heading2Char"/>
          <w:b/>
          <w:bCs/>
          <w:sz w:val="28"/>
          <w:szCs w:val="28"/>
          <w:lang w:val="es-CO"/>
        </w:rPr>
        <w:lastRenderedPageBreak/>
        <w:t>Copiar artefactos para publicar</w:t>
      </w:r>
    </w:p>
    <w:p w14:paraId="6C049C2A" w14:textId="19EB4063" w:rsidR="0079150B" w:rsidRDefault="00E35057" w:rsidP="00E35057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Tarea utilizada para copiar el empaquetado .jar, creado en el proceso de compilación, a la carpeta de los artefactos compilados $(build.artifactstagingdirectory) para posterior publicación en el DropFolder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. 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Este proceso de copiado se realiza en las tareas: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br/>
        <w:t>Copiar artefactos para publicar en DEV, QA, PREPROD Y PROD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4640"/>
      </w:tblGrid>
      <w:tr w:rsidR="00890B8F" w:rsidRPr="00890B8F" w14:paraId="23672F44" w14:textId="77777777" w:rsidTr="00890B8F">
        <w:trPr>
          <w:trHeight w:val="315"/>
        </w:trPr>
        <w:tc>
          <w:tcPr>
            <w:tcW w:w="3140" w:type="dxa"/>
            <w:hideMark/>
          </w:tcPr>
          <w:p w14:paraId="6DAC2ABC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Nombre</w:t>
            </w:r>
          </w:p>
        </w:tc>
        <w:tc>
          <w:tcPr>
            <w:tcW w:w="4640" w:type="dxa"/>
            <w:hideMark/>
          </w:tcPr>
          <w:p w14:paraId="00F0728D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Descripcion</w:t>
            </w:r>
          </w:p>
        </w:tc>
      </w:tr>
      <w:tr w:rsidR="00890B8F" w:rsidRPr="00890B8F" w14:paraId="1C06FF84" w14:textId="77777777" w:rsidTr="00890B8F">
        <w:trPr>
          <w:trHeight w:val="1260"/>
        </w:trPr>
        <w:tc>
          <w:tcPr>
            <w:tcW w:w="3140" w:type="dxa"/>
            <w:noWrap/>
            <w:hideMark/>
          </w:tcPr>
          <w:p w14:paraId="488D0557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s-CO"/>
              </w:rPr>
              <w:t>Source Folder</w:t>
            </w:r>
          </w:p>
        </w:tc>
        <w:tc>
          <w:tcPr>
            <w:tcW w:w="4640" w:type="dxa"/>
            <w:hideMark/>
          </w:tcPr>
          <w:p w14:paraId="6512C471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Se deja vacío. Por defecto es la ruta donde el agente de compilación clona el repositorio de código fuente; equivale a la variable $(Build.SourcesDirectory)</w:t>
            </w:r>
          </w:p>
        </w:tc>
      </w:tr>
      <w:tr w:rsidR="00890B8F" w:rsidRPr="00890B8F" w14:paraId="6B3D4326" w14:textId="77777777" w:rsidTr="00890B8F">
        <w:trPr>
          <w:trHeight w:val="1575"/>
        </w:trPr>
        <w:tc>
          <w:tcPr>
            <w:tcW w:w="3140" w:type="dxa"/>
            <w:noWrap/>
            <w:hideMark/>
          </w:tcPr>
          <w:p w14:paraId="538523F9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s-CO"/>
              </w:rPr>
              <w:t>Contents</w:t>
            </w:r>
          </w:p>
        </w:tc>
        <w:tc>
          <w:tcPr>
            <w:tcW w:w="4640" w:type="dxa"/>
            <w:hideMark/>
          </w:tcPr>
          <w:p w14:paraId="35C1EA10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Filtro para indicar cuales artefactos se copian. En esta opción se configura lo siguiente: **\\**\\*$(NombreCarpetaServicio).jar*</w:t>
            </w: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br/>
              <w:t>**\\*\\*.war</w:t>
            </w: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br/>
              <w:t>**\\**\\.class</w:t>
            </w:r>
          </w:p>
        </w:tc>
      </w:tr>
      <w:tr w:rsidR="00890B8F" w:rsidRPr="00890B8F" w14:paraId="7C4AFFA8" w14:textId="77777777" w:rsidTr="00890B8F">
        <w:trPr>
          <w:trHeight w:val="1260"/>
        </w:trPr>
        <w:tc>
          <w:tcPr>
            <w:tcW w:w="3140" w:type="dxa"/>
            <w:noWrap/>
            <w:hideMark/>
          </w:tcPr>
          <w:p w14:paraId="2845F2C1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Target Folder</w:t>
            </w:r>
          </w:p>
        </w:tc>
        <w:tc>
          <w:tcPr>
            <w:tcW w:w="4640" w:type="dxa"/>
            <w:hideMark/>
          </w:tcPr>
          <w:p w14:paraId="1E7EA9F6" w14:textId="77777777" w:rsidR="00890B8F" w:rsidRPr="00890B8F" w:rsidRDefault="00890B8F" w:rsidP="00890B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$(build.artifactstagingdirectory) esta es una variable predefinida en Azure DevOps y contiene la ruta donde se copian los artefactos compilados</w:t>
            </w:r>
          </w:p>
        </w:tc>
      </w:tr>
    </w:tbl>
    <w:p w14:paraId="7111D414" w14:textId="3950A868" w:rsidR="00890B8F" w:rsidRDefault="00890B8F" w:rsidP="00E35057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E73995" w14:textId="77777777" w:rsidR="002643BC" w:rsidRPr="003539C6" w:rsidRDefault="002643BC" w:rsidP="002643BC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66597B97" w14:textId="5465B870" w:rsidR="002643BC" w:rsidRDefault="002643BC" w:rsidP="00E35057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EF0F8B9" wp14:editId="1D829578">
            <wp:extent cx="2876550" cy="4505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8449C" w14:textId="2F1143D4" w:rsidR="00465A7D" w:rsidRDefault="00465A7D" w:rsidP="00465A7D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 w:rsidRPr="00E35057">
        <w:rPr>
          <w:rStyle w:val="Heading2Char"/>
          <w:b/>
          <w:bCs/>
          <w:sz w:val="28"/>
          <w:szCs w:val="28"/>
          <w:lang w:val="es-CO"/>
        </w:rPr>
        <w:t xml:space="preserve">Copiar </w:t>
      </w:r>
      <w:r>
        <w:rPr>
          <w:rStyle w:val="Heading2Char"/>
          <w:b/>
          <w:bCs/>
          <w:sz w:val="28"/>
          <w:szCs w:val="28"/>
          <w:lang w:val="es-CO"/>
        </w:rPr>
        <w:t>archivo ConfigurationFile</w:t>
      </w:r>
    </w:p>
    <w:p w14:paraId="27BCD32A" w14:textId="3DCB942A" w:rsidR="00465A7D" w:rsidRDefault="00465A7D" w:rsidP="00465A7D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s-CO"/>
        </w:rPr>
      </w:pPr>
      <w:r w:rsidRPr="00465A7D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Tarea utilizada para copiar el archivo ConfigurationFile_XXX.xml, de la carpeta ConfigurationFile, a la carpeta de los artefactos compilados $(build.artifactstagingdirectory). En una tarea posterior se deja disponible en el DropFolder.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 </w:t>
      </w:r>
      <w:r w:rsidRPr="00465A7D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Este proceso de copiado se realiza en las tareas: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 xml:space="preserve"> </w:t>
      </w:r>
      <w:r w:rsidRPr="00465A7D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Copiar Archivo ConfiguracionFile Para DEV, QA, PREPROD Y PROD</w:t>
      </w:r>
      <w:r w:rsidRPr="00260B46">
        <w:rPr>
          <w:rFonts w:ascii="Segoe UI" w:eastAsia="Times New Roman" w:hAnsi="Segoe UI" w:cs="Segoe UI"/>
          <w:color w:val="000000"/>
          <w:sz w:val="21"/>
          <w:szCs w:val="21"/>
          <w:lang w:val="es-CO"/>
        </w:rPr>
        <w:t>, PREPROD Y PROD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4640"/>
      </w:tblGrid>
      <w:tr w:rsidR="00465A7D" w:rsidRPr="00890B8F" w14:paraId="3D5EE226" w14:textId="77777777" w:rsidTr="00966DBB">
        <w:trPr>
          <w:trHeight w:val="315"/>
        </w:trPr>
        <w:tc>
          <w:tcPr>
            <w:tcW w:w="3140" w:type="dxa"/>
            <w:hideMark/>
          </w:tcPr>
          <w:p w14:paraId="11FDB878" w14:textId="77777777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Nombre</w:t>
            </w:r>
          </w:p>
        </w:tc>
        <w:tc>
          <w:tcPr>
            <w:tcW w:w="4640" w:type="dxa"/>
            <w:hideMark/>
          </w:tcPr>
          <w:p w14:paraId="4D9A8EA3" w14:textId="77777777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Descripcion</w:t>
            </w:r>
          </w:p>
        </w:tc>
      </w:tr>
      <w:tr w:rsidR="00465A7D" w:rsidRPr="00890B8F" w14:paraId="6089CABC" w14:textId="77777777" w:rsidTr="00966DBB">
        <w:trPr>
          <w:trHeight w:val="1260"/>
        </w:trPr>
        <w:tc>
          <w:tcPr>
            <w:tcW w:w="3140" w:type="dxa"/>
            <w:noWrap/>
            <w:hideMark/>
          </w:tcPr>
          <w:p w14:paraId="7C16AAF6" w14:textId="77777777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s-CO"/>
              </w:rPr>
              <w:t>Source Folder</w:t>
            </w:r>
          </w:p>
        </w:tc>
        <w:tc>
          <w:tcPr>
            <w:tcW w:w="4640" w:type="dxa"/>
            <w:hideMark/>
          </w:tcPr>
          <w:p w14:paraId="0CA9936F" w14:textId="323357FB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Se especifíca la carpeta donde se encuentra el archivo </w:t>
            </w:r>
            <w:r w:rsidRPr="00465A7D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ConfigurationFile</w:t>
            </w:r>
          </w:p>
        </w:tc>
      </w:tr>
      <w:tr w:rsidR="00465A7D" w:rsidRPr="00890B8F" w14:paraId="72C75951" w14:textId="77777777" w:rsidTr="00966DBB">
        <w:trPr>
          <w:trHeight w:val="1575"/>
        </w:trPr>
        <w:tc>
          <w:tcPr>
            <w:tcW w:w="3140" w:type="dxa"/>
            <w:noWrap/>
            <w:hideMark/>
          </w:tcPr>
          <w:p w14:paraId="21337E18" w14:textId="77777777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s-CO"/>
              </w:rPr>
              <w:t>Contents</w:t>
            </w:r>
          </w:p>
        </w:tc>
        <w:tc>
          <w:tcPr>
            <w:tcW w:w="4640" w:type="dxa"/>
            <w:hideMark/>
          </w:tcPr>
          <w:p w14:paraId="4F79127E" w14:textId="03283E00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Filtro para indicar </w:t>
            </w:r>
            <w:r w:rsidR="004F6AF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el archivo .xml a copiar, de acuerdo al ambiente donde se vaya a realizar el despliegue. Por ejemplo para el ambiente de desarrollo se configura:</w:t>
            </w: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br/>
            </w:r>
            <w:r w:rsidRPr="00465A7D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**//**//*ConfigurationFile_DEV.xml</w:t>
            </w:r>
          </w:p>
        </w:tc>
      </w:tr>
      <w:tr w:rsidR="00465A7D" w:rsidRPr="00890B8F" w14:paraId="624484DD" w14:textId="77777777" w:rsidTr="00966DBB">
        <w:trPr>
          <w:trHeight w:val="1260"/>
        </w:trPr>
        <w:tc>
          <w:tcPr>
            <w:tcW w:w="3140" w:type="dxa"/>
            <w:noWrap/>
            <w:hideMark/>
          </w:tcPr>
          <w:p w14:paraId="64BA67B1" w14:textId="77777777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lastRenderedPageBreak/>
              <w:t>Target Folder</w:t>
            </w:r>
          </w:p>
        </w:tc>
        <w:tc>
          <w:tcPr>
            <w:tcW w:w="4640" w:type="dxa"/>
            <w:hideMark/>
          </w:tcPr>
          <w:p w14:paraId="5E28E776" w14:textId="6203D1FC" w:rsidR="00465A7D" w:rsidRPr="00890B8F" w:rsidRDefault="00465A7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$(build.artifactstagingdirectory) esta es una variable predefinida en Azure DevOps y contiene la ruta donde se copian los artefactos compilados</w:t>
            </w:r>
            <w:r w:rsidR="004F6AF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.</w:t>
            </w:r>
          </w:p>
        </w:tc>
      </w:tr>
    </w:tbl>
    <w:p w14:paraId="79A9FACF" w14:textId="77777777" w:rsidR="00465A7D" w:rsidRDefault="00465A7D" w:rsidP="00465A7D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907BFF4" w14:textId="77777777" w:rsidR="00465A7D" w:rsidRPr="003539C6" w:rsidRDefault="00465A7D" w:rsidP="00465A7D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095BA4B9" w14:textId="17FEE1F4" w:rsidR="00465A7D" w:rsidRDefault="004F6AF6" w:rsidP="00465A7D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B75B9EA" wp14:editId="5E6A10C9">
            <wp:extent cx="5581650" cy="598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202" w14:textId="3029F03B" w:rsidR="008B2BA2" w:rsidRDefault="008B2BA2" w:rsidP="008B2BA2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>
        <w:rPr>
          <w:rStyle w:val="Heading2Char"/>
          <w:b/>
          <w:bCs/>
          <w:sz w:val="28"/>
          <w:szCs w:val="28"/>
          <w:lang w:val="es-CO"/>
        </w:rPr>
        <w:lastRenderedPageBreak/>
        <w:t>Publicar artefactos</w:t>
      </w:r>
    </w:p>
    <w:p w14:paraId="1BCAFFB6" w14:textId="7982345E" w:rsidR="00465A7D" w:rsidRPr="00890B8F" w:rsidRDefault="008B2BA2" w:rsidP="00465A7D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  <w:r w:rsidRPr="008B2BA2">
        <w:rPr>
          <w:rFonts w:ascii="Segoe UI" w:eastAsia="Times New Roman" w:hAnsi="Segoe UI" w:cs="Segoe UI"/>
          <w:color w:val="000000"/>
          <w:sz w:val="21"/>
          <w:szCs w:val="21"/>
        </w:rPr>
        <w:t>Tarea utilizada para copiar al DropFolder los artefactos necesarios para hacer el despliegue. Se toman de la ruta $(build.artifactstagingdirectory). Así, al final de cada proceso de compilación, los artefactos quedarán disponibles para descargarlos desde el pipeline que lo(s) creó o bien a tráves de la url que se crea para hacer la descarga.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4640"/>
      </w:tblGrid>
      <w:tr w:rsidR="00A66F03" w:rsidRPr="00890B8F" w14:paraId="2EF26E23" w14:textId="77777777" w:rsidTr="00966DBB">
        <w:trPr>
          <w:trHeight w:val="315"/>
        </w:trPr>
        <w:tc>
          <w:tcPr>
            <w:tcW w:w="3140" w:type="dxa"/>
            <w:hideMark/>
          </w:tcPr>
          <w:p w14:paraId="7789A9BD" w14:textId="77777777" w:rsidR="00A66F03" w:rsidRPr="00890B8F" w:rsidRDefault="00A66F03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Nombre</w:t>
            </w:r>
          </w:p>
        </w:tc>
        <w:tc>
          <w:tcPr>
            <w:tcW w:w="4640" w:type="dxa"/>
            <w:hideMark/>
          </w:tcPr>
          <w:p w14:paraId="7741B610" w14:textId="77777777" w:rsidR="00A66F03" w:rsidRPr="00890B8F" w:rsidRDefault="00A66F03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90B8F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Descripcion</w:t>
            </w:r>
          </w:p>
        </w:tc>
      </w:tr>
      <w:tr w:rsidR="00A66F03" w:rsidRPr="00890B8F" w14:paraId="6293DE5C" w14:textId="77777777" w:rsidTr="00966DBB">
        <w:trPr>
          <w:trHeight w:val="1260"/>
        </w:trPr>
        <w:tc>
          <w:tcPr>
            <w:tcW w:w="3140" w:type="dxa"/>
            <w:noWrap/>
            <w:hideMark/>
          </w:tcPr>
          <w:p w14:paraId="257804F7" w14:textId="03B5BF44" w:rsidR="00A66F03" w:rsidRPr="00890B8F" w:rsidRDefault="00A66F03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s-CO"/>
              </w:rPr>
              <w:t>Path to publish</w:t>
            </w:r>
          </w:p>
        </w:tc>
        <w:tc>
          <w:tcPr>
            <w:tcW w:w="4640" w:type="dxa"/>
            <w:hideMark/>
          </w:tcPr>
          <w:p w14:paraId="08633FD1" w14:textId="7D8367CE" w:rsidR="00A66F03" w:rsidRPr="00890B8F" w:rsidRDefault="0052011D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60B46">
              <w:rPr>
                <w:rFonts w:ascii="Times New Roman" w:eastAsia="Times New Roman" w:hAnsi="Times New Roman" w:cs="Times New Roman"/>
                <w:lang w:val="es-CO"/>
              </w:rPr>
              <w:t xml:space="preserve">Ruta </w:t>
            </w:r>
            <w:r>
              <w:rPr>
                <w:rFonts w:ascii="Times New Roman" w:eastAsia="Times New Roman" w:hAnsi="Times New Roman" w:cs="Times New Roman"/>
                <w:lang w:val="es-CO"/>
              </w:rPr>
              <w:t>(</w:t>
            </w:r>
            <w:r w:rsidRPr="0052011D">
              <w:rPr>
                <w:rFonts w:ascii="Times New Roman" w:eastAsia="Times New Roman" w:hAnsi="Times New Roman" w:cs="Times New Roman"/>
                <w:lang w:val="es-CO"/>
              </w:rPr>
              <w:t>build.artifactstagingdirectory)</w:t>
            </w:r>
            <w:r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r w:rsidRPr="00260B46">
              <w:rPr>
                <w:rFonts w:ascii="Times New Roman" w:eastAsia="Times New Roman" w:hAnsi="Times New Roman" w:cs="Times New Roman"/>
                <w:lang w:val="es-CO"/>
              </w:rPr>
              <w:t>desde la cual se toman los artefactos. La carpeta se encuentra alojada en el directorio del trabajo del agente que hizo la compilación: Ej: D:\Serv28_1_work\xx\a</w:t>
            </w:r>
          </w:p>
        </w:tc>
      </w:tr>
      <w:tr w:rsidR="00A66F03" w:rsidRPr="00890B8F" w14:paraId="77944270" w14:textId="77777777" w:rsidTr="00966DBB">
        <w:trPr>
          <w:trHeight w:val="1575"/>
        </w:trPr>
        <w:tc>
          <w:tcPr>
            <w:tcW w:w="3140" w:type="dxa"/>
            <w:noWrap/>
            <w:hideMark/>
          </w:tcPr>
          <w:p w14:paraId="5DC65A6B" w14:textId="6E7F481C" w:rsidR="00A66F03" w:rsidRPr="00890B8F" w:rsidRDefault="00036F92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s-CO"/>
              </w:rPr>
              <w:t>Artifact Name</w:t>
            </w:r>
          </w:p>
        </w:tc>
        <w:tc>
          <w:tcPr>
            <w:tcW w:w="4640" w:type="dxa"/>
            <w:hideMark/>
          </w:tcPr>
          <w:p w14:paraId="1D87A366" w14:textId="6CEC1132" w:rsidR="00A66F03" w:rsidRPr="00890B8F" w:rsidRDefault="00877B20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 xml:space="preserve">Se especifica el nombre con el cual va a quedar disponible el o los artefactos que se utilizarán en el despliegue. </w:t>
            </w:r>
            <w:r w:rsidR="0052011D" w:rsidRPr="00260B46">
              <w:rPr>
                <w:rFonts w:ascii="Times New Roman" w:eastAsia="Times New Roman" w:hAnsi="Times New Roman" w:cs="Times New Roman"/>
                <w:lang w:val="es-CO"/>
              </w:rPr>
              <w:t>En cada pipeline a la variable $(NombreCarpetaServicio) se le asigna el nombre del servicio según lo configurado en el archivo fuente .jpr</w:t>
            </w:r>
            <w:r w:rsidR="00B54EB4">
              <w:rPr>
                <w:rFonts w:ascii="Times New Roman" w:eastAsia="Times New Roman" w:hAnsi="Times New Roman" w:cs="Times New Roman"/>
                <w:lang w:val="es-CO"/>
              </w:rPr>
              <w:t>,</w:t>
            </w:r>
            <w:r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r w:rsidR="00B54EB4">
              <w:rPr>
                <w:rFonts w:ascii="Times New Roman" w:eastAsia="Times New Roman" w:hAnsi="Times New Roman" w:cs="Times New Roman"/>
                <w:lang w:val="es-CO"/>
              </w:rPr>
              <w:t>más</w:t>
            </w:r>
            <w:r>
              <w:rPr>
                <w:rFonts w:ascii="Times New Roman" w:eastAsia="Times New Roman" w:hAnsi="Times New Roman" w:cs="Times New Roman"/>
                <w:lang w:val="es-CO"/>
              </w:rPr>
              <w:t xml:space="preserve"> el ambiente en que va a ser publicado</w:t>
            </w:r>
            <w:r w:rsidR="00B54EB4">
              <w:rPr>
                <w:rFonts w:ascii="Times New Roman" w:eastAsia="Times New Roman" w:hAnsi="Times New Roman" w:cs="Times New Roman"/>
                <w:lang w:val="es-CO"/>
              </w:rPr>
              <w:t xml:space="preserve">. Ejemplo: </w:t>
            </w:r>
            <w:r w:rsidR="00B54EB4" w:rsidRPr="00B54EB4">
              <w:rPr>
                <w:rFonts w:ascii="Times New Roman" w:eastAsia="Times New Roman" w:hAnsi="Times New Roman" w:cs="Times New Roman"/>
                <w:lang w:val="es-CO"/>
              </w:rPr>
              <w:t>$(NombreCarpetaServicio)_DEV</w:t>
            </w:r>
          </w:p>
        </w:tc>
      </w:tr>
      <w:tr w:rsidR="00A66F03" w:rsidRPr="00890B8F" w14:paraId="5DC1B57A" w14:textId="77777777" w:rsidTr="00966DBB">
        <w:trPr>
          <w:trHeight w:val="1260"/>
        </w:trPr>
        <w:tc>
          <w:tcPr>
            <w:tcW w:w="3140" w:type="dxa"/>
            <w:noWrap/>
            <w:hideMark/>
          </w:tcPr>
          <w:p w14:paraId="0DC5C058" w14:textId="34785030" w:rsidR="00A66F03" w:rsidRPr="00890B8F" w:rsidRDefault="00B54EB4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Artifact publish location</w:t>
            </w:r>
          </w:p>
        </w:tc>
        <w:tc>
          <w:tcPr>
            <w:tcW w:w="4640" w:type="dxa"/>
            <w:hideMark/>
          </w:tcPr>
          <w:p w14:paraId="7670BAF8" w14:textId="414D587E" w:rsidR="00A66F03" w:rsidRPr="00890B8F" w:rsidRDefault="00B54EB4" w:rsidP="00966DBB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60B46">
              <w:rPr>
                <w:rFonts w:ascii="Times New Roman" w:eastAsia="Times New Roman" w:hAnsi="Times New Roman" w:cs="Times New Roman"/>
                <w:lang w:val="es-CO"/>
              </w:rPr>
              <w:t>Corresponde a la opcion para indicar que los artefactos se almacenan en Azure Pipelines (tambien se le conoce como DropFolder)</w:t>
            </w:r>
            <w:r>
              <w:rPr>
                <w:rFonts w:ascii="Times New Roman" w:eastAsia="Times New Roman" w:hAnsi="Times New Roman" w:cs="Times New Roman"/>
                <w:lang w:val="es-CO"/>
              </w:rPr>
              <w:t xml:space="preserve">. 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Se deja configurado Azure Pipelines</w:t>
            </w:r>
          </w:p>
        </w:tc>
      </w:tr>
    </w:tbl>
    <w:p w14:paraId="55C0ACED" w14:textId="7C0E7E20" w:rsidR="00465A7D" w:rsidRDefault="00465A7D" w:rsidP="00465A7D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5309968C" w14:textId="4699D6F1" w:rsidR="00086854" w:rsidRDefault="00086854" w:rsidP="00465A7D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4D3CC1E" wp14:editId="1C4A5592">
            <wp:extent cx="2505075" cy="417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5CB16" w14:textId="7AB08FEE" w:rsidR="00006A34" w:rsidRDefault="00006A34" w:rsidP="00006A34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>
        <w:rPr>
          <w:rStyle w:val="Heading2Char"/>
          <w:b/>
          <w:bCs/>
          <w:sz w:val="28"/>
          <w:szCs w:val="28"/>
          <w:lang w:val="es-CO"/>
        </w:rPr>
        <w:t xml:space="preserve">Run code </w:t>
      </w:r>
      <w:r w:rsidR="00AC43D4">
        <w:rPr>
          <w:rStyle w:val="Heading2Char"/>
          <w:b/>
          <w:bCs/>
          <w:sz w:val="28"/>
          <w:szCs w:val="28"/>
          <w:lang w:val="es-CO"/>
        </w:rPr>
        <w:t>análisis SonarQube</w:t>
      </w:r>
    </w:p>
    <w:p w14:paraId="2A693598" w14:textId="0DE9EE72" w:rsidR="00006A34" w:rsidRDefault="00006A34" w:rsidP="00006A34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</w:pPr>
      <w:r w:rsidRPr="00006A34">
        <w:rPr>
          <w:rFonts w:ascii="Segoe UI" w:eastAsia="Times New Roman" w:hAnsi="Segoe UI" w:cs="Segoe UI"/>
          <w:color w:val="000000"/>
          <w:sz w:val="21"/>
          <w:szCs w:val="21"/>
        </w:rPr>
        <w:t xml:space="preserve">Esta tarea se encarga de realizar el análisis del código fuente. Previamente se debe haber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configurado</w:t>
      </w:r>
      <w:r w:rsidRPr="00006A34">
        <w:rPr>
          <w:rFonts w:ascii="Segoe UI" w:eastAsia="Times New Roman" w:hAnsi="Segoe UI" w:cs="Segoe UI"/>
          <w:color w:val="000000"/>
          <w:sz w:val="21"/>
          <w:szCs w:val="21"/>
        </w:rPr>
        <w:t xml:space="preserve"> la tarea que se encarga de establecer la conexión entre Azure DevOps y el Servidor de SonarQube.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 Detalles en el numeral 3.1.</w:t>
      </w:r>
      <w:r w:rsidR="00692F0E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En la sección </w:t>
      </w:r>
      <w:r w:rsidR="00345C92" w:rsidRPr="00345C9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Control Option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 se habilita la característica </w:t>
      </w:r>
      <w:r w:rsidR="00345C92" w:rsidRPr="00345C9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Custom condition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 para condicionar la ejecución de esta tarea </w:t>
      </w:r>
      <w:r w:rsidR="000847B8">
        <w:rPr>
          <w:rFonts w:ascii="Segoe UI" w:eastAsia="Times New Roman" w:hAnsi="Segoe UI" w:cs="Segoe UI"/>
          <w:color w:val="000000"/>
          <w:sz w:val="21"/>
          <w:szCs w:val="21"/>
        </w:rPr>
        <w:t>cu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ando se </w:t>
      </w:r>
      <w:r w:rsidR="000847B8">
        <w:rPr>
          <w:rFonts w:ascii="Segoe UI" w:eastAsia="Times New Roman" w:hAnsi="Segoe UI" w:cs="Segoe UI"/>
          <w:color w:val="000000"/>
          <w:sz w:val="21"/>
          <w:szCs w:val="21"/>
        </w:rPr>
        <w:t>envíe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 la compilación </w:t>
      </w:r>
      <w:r w:rsidR="000847B8">
        <w:rPr>
          <w:rFonts w:ascii="Segoe UI" w:eastAsia="Times New Roman" w:hAnsi="Segoe UI" w:cs="Segoe UI"/>
          <w:color w:val="000000"/>
          <w:sz w:val="21"/>
          <w:szCs w:val="21"/>
        </w:rPr>
        <w:t xml:space="preserve">desde 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la </w:t>
      </w:r>
      <w:r w:rsidR="000847B8">
        <w:rPr>
          <w:rFonts w:ascii="Segoe UI" w:eastAsia="Times New Roman" w:hAnsi="Segoe UI" w:cs="Segoe UI"/>
          <w:color w:val="000000"/>
          <w:sz w:val="21"/>
          <w:szCs w:val="21"/>
        </w:rPr>
        <w:t xml:space="preserve">rama </w:t>
      </w:r>
      <w:r w:rsidR="00345C92">
        <w:rPr>
          <w:rFonts w:ascii="Segoe UI" w:eastAsia="Times New Roman" w:hAnsi="Segoe UI" w:cs="Segoe UI"/>
          <w:color w:val="000000"/>
          <w:sz w:val="21"/>
          <w:szCs w:val="21"/>
        </w:rPr>
        <w:t xml:space="preserve">Develop </w:t>
      </w:r>
      <w:r w:rsidR="00692F0E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692F0E" w:rsidRPr="00692F0E"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t>and(succeeded(), eq(variables['Build.SourceBranch'], 'refs/heads/Develop'))</w:t>
      </w:r>
    </w:p>
    <w:p w14:paraId="564DD1F6" w14:textId="77777777" w:rsidR="00692F0E" w:rsidRPr="003539C6" w:rsidRDefault="00692F0E" w:rsidP="00692F0E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2139C091" w14:textId="4CA9D476" w:rsidR="00006A34" w:rsidRDefault="000847B8" w:rsidP="00006A34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2A488B49" wp14:editId="3C142FE2">
            <wp:extent cx="3838575" cy="46767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63EF4" w14:textId="0293F03F" w:rsidR="00AC43D4" w:rsidRDefault="00AC43D4" w:rsidP="00AC43D4">
      <w:pPr>
        <w:pStyle w:val="Heading2"/>
        <w:numPr>
          <w:ilvl w:val="1"/>
          <w:numId w:val="21"/>
        </w:numPr>
        <w:spacing w:before="200" w:line="259" w:lineRule="auto"/>
        <w:jc w:val="both"/>
        <w:rPr>
          <w:rStyle w:val="Heading2Char"/>
          <w:b/>
          <w:bCs/>
          <w:sz w:val="28"/>
          <w:szCs w:val="28"/>
          <w:lang w:val="es-CO"/>
        </w:rPr>
      </w:pPr>
      <w:r>
        <w:rPr>
          <w:rStyle w:val="Heading2Char"/>
          <w:b/>
          <w:bCs/>
          <w:sz w:val="28"/>
          <w:szCs w:val="28"/>
          <w:lang w:val="es-CO"/>
        </w:rPr>
        <w:t>Publicar resultados análisis SonarQube</w:t>
      </w:r>
    </w:p>
    <w:p w14:paraId="3F9D44EE" w14:textId="0470A001" w:rsidR="00006A34" w:rsidRDefault="00AC43D4" w:rsidP="00006A34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</w:t>
      </w:r>
      <w:r w:rsidRPr="00006A34">
        <w:rPr>
          <w:rFonts w:ascii="Segoe UI" w:eastAsia="Times New Roman" w:hAnsi="Segoe UI" w:cs="Segoe UI"/>
          <w:color w:val="000000"/>
          <w:sz w:val="21"/>
          <w:szCs w:val="21"/>
        </w:rPr>
        <w:t xml:space="preserve">area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que se configura para publicar los resultados del proceso de análisis del código fuente.</w:t>
      </w:r>
      <w:r w:rsidR="003571C4">
        <w:rPr>
          <w:rFonts w:ascii="Segoe UI" w:eastAsia="Times New Roman" w:hAnsi="Segoe UI" w:cs="Segoe UI"/>
          <w:color w:val="000000"/>
          <w:sz w:val="21"/>
          <w:szCs w:val="21"/>
        </w:rPr>
        <w:t xml:space="preserve"> Para la configuración se dejan los valores presentados por defecto. En la sección </w:t>
      </w:r>
      <w:r w:rsidR="003571C4" w:rsidRPr="00345C9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Control Option</w:t>
      </w:r>
      <w:r w:rsidR="003571C4">
        <w:rPr>
          <w:rFonts w:ascii="Segoe UI" w:eastAsia="Times New Roman" w:hAnsi="Segoe UI" w:cs="Segoe UI"/>
          <w:color w:val="000000"/>
          <w:sz w:val="21"/>
          <w:szCs w:val="21"/>
        </w:rPr>
        <w:t xml:space="preserve"> se habilita la característica </w:t>
      </w:r>
      <w:r w:rsidR="003571C4" w:rsidRPr="00345C9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Custom condition</w:t>
      </w:r>
      <w:r w:rsidR="003571C4">
        <w:rPr>
          <w:rFonts w:ascii="Segoe UI" w:eastAsia="Times New Roman" w:hAnsi="Segoe UI" w:cs="Segoe UI"/>
          <w:color w:val="000000"/>
          <w:sz w:val="21"/>
          <w:szCs w:val="21"/>
        </w:rPr>
        <w:t xml:space="preserve"> para condicionar la ejecución de esta tarea cuando se envíe la compilación desde la rama Develop </w:t>
      </w:r>
      <w:r w:rsidR="003571C4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3571C4" w:rsidRPr="00692F0E"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t>and(succeeded(), eq(variables['Build.SourceBranch'], 'refs/heads/Develop'))</w:t>
      </w:r>
    </w:p>
    <w:p w14:paraId="6878B419" w14:textId="77777777" w:rsidR="00B4723B" w:rsidRPr="003539C6" w:rsidRDefault="00B4723B" w:rsidP="00B472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539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Imagen tarea configurada</w:t>
      </w:r>
    </w:p>
    <w:p w14:paraId="6FB6EDD9" w14:textId="18DE8F97" w:rsidR="00B4723B" w:rsidRDefault="00B4723B" w:rsidP="00006A34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757AB" wp14:editId="3F2AFD5C">
            <wp:extent cx="4238625" cy="479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887" w14:textId="77777777" w:rsidR="00006A34" w:rsidRPr="00A66F03" w:rsidRDefault="00006A34" w:rsidP="00006A34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vanish/>
          <w:color w:val="auto"/>
          <w:sz w:val="24"/>
          <w:szCs w:val="24"/>
        </w:rPr>
      </w:pPr>
    </w:p>
    <w:p w14:paraId="79075341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2911D801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2C986DB7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6EB5C6AA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4E936902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0830584F" w14:textId="77777777" w:rsidR="00006A34" w:rsidRPr="00890B8F" w:rsidRDefault="00006A34" w:rsidP="00006A34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1B8755D" w14:textId="77777777" w:rsidR="00006A34" w:rsidRPr="0079150B" w:rsidRDefault="00006A34" w:rsidP="00006A34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vanish/>
          <w:color w:val="auto"/>
          <w:sz w:val="24"/>
          <w:szCs w:val="24"/>
          <w:lang w:val="es-ES"/>
        </w:rPr>
      </w:pPr>
    </w:p>
    <w:p w14:paraId="5C7B4022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7F583FE6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77985BCE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2B06D46A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400FB39C" w14:textId="77777777" w:rsidR="00006A34" w:rsidRPr="0079150B" w:rsidRDefault="00006A34" w:rsidP="00006A34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106C7D62" w14:textId="77777777" w:rsidR="00086854" w:rsidRPr="00A66F03" w:rsidRDefault="00086854" w:rsidP="00465A7D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vanish/>
          <w:color w:val="auto"/>
          <w:sz w:val="24"/>
          <w:szCs w:val="24"/>
        </w:rPr>
      </w:pPr>
    </w:p>
    <w:p w14:paraId="5BB6E8B2" w14:textId="77777777" w:rsidR="00465A7D" w:rsidRPr="0079150B" w:rsidRDefault="00465A7D" w:rsidP="00465A7D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1309E463" w14:textId="77777777" w:rsidR="00465A7D" w:rsidRPr="0079150B" w:rsidRDefault="00465A7D" w:rsidP="00465A7D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7D8B56C5" w14:textId="77777777" w:rsidR="00465A7D" w:rsidRPr="0079150B" w:rsidRDefault="00465A7D" w:rsidP="00465A7D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658CB53B" w14:textId="77777777" w:rsidR="00465A7D" w:rsidRPr="0079150B" w:rsidRDefault="00465A7D" w:rsidP="00465A7D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62118767" w14:textId="77777777" w:rsidR="00465A7D" w:rsidRPr="0079150B" w:rsidRDefault="00465A7D" w:rsidP="00465A7D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p w14:paraId="5D617D39" w14:textId="77777777" w:rsidR="002643BC" w:rsidRPr="00890B8F" w:rsidRDefault="002643BC" w:rsidP="00E35057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EAE5F8C" w14:textId="77777777" w:rsidR="00E35057" w:rsidRPr="0079150B" w:rsidRDefault="00E35057" w:rsidP="00E35057">
      <w:pPr>
        <w:shd w:val="clear" w:color="auto" w:fill="FFFFFF"/>
        <w:spacing w:after="240"/>
        <w:rPr>
          <w:rStyle w:val="Heading2Char"/>
          <w:rFonts w:asciiTheme="minorHAnsi" w:eastAsiaTheme="minorEastAsia" w:hAnsiTheme="minorHAnsi" w:cstheme="minorBidi"/>
          <w:vanish/>
          <w:color w:val="auto"/>
          <w:sz w:val="24"/>
          <w:szCs w:val="24"/>
          <w:lang w:val="es-ES"/>
        </w:rPr>
      </w:pPr>
    </w:p>
    <w:p w14:paraId="096CFA73" w14:textId="77777777" w:rsidR="0079150B" w:rsidRPr="0079150B" w:rsidRDefault="0079150B" w:rsidP="00E06353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  <w:bookmarkStart w:id="9" w:name="_Toc25657155"/>
      <w:bookmarkStart w:id="10" w:name="_Toc25657237"/>
      <w:bookmarkStart w:id="11" w:name="_Toc25657250"/>
      <w:bookmarkStart w:id="12" w:name="_Toc25657370"/>
      <w:bookmarkStart w:id="13" w:name="_Toc25657417"/>
      <w:bookmarkStart w:id="14" w:name="_Toc25657759"/>
      <w:bookmarkStart w:id="15" w:name="_Toc25657893"/>
      <w:bookmarkStart w:id="16" w:name="_Toc25660360"/>
      <w:bookmarkStart w:id="17" w:name="_Toc25737357"/>
      <w:bookmarkStart w:id="18" w:name="_Toc2627284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6E6340B" w14:textId="77777777" w:rsidR="0079150B" w:rsidRPr="0079150B" w:rsidRDefault="0079150B" w:rsidP="00E06353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  <w:bookmarkStart w:id="19" w:name="_Toc25657156"/>
      <w:bookmarkStart w:id="20" w:name="_Toc25657238"/>
      <w:bookmarkStart w:id="21" w:name="_Toc25657251"/>
      <w:bookmarkStart w:id="22" w:name="_Toc25657371"/>
      <w:bookmarkStart w:id="23" w:name="_Toc25657418"/>
      <w:bookmarkStart w:id="24" w:name="_Toc25657760"/>
      <w:bookmarkStart w:id="25" w:name="_Toc25657894"/>
      <w:bookmarkStart w:id="26" w:name="_Toc25660361"/>
      <w:bookmarkStart w:id="27" w:name="_Toc25737358"/>
      <w:bookmarkStart w:id="28" w:name="_Toc26272845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03EBFDB5" w14:textId="77777777" w:rsidR="0079150B" w:rsidRPr="0079150B" w:rsidRDefault="0079150B" w:rsidP="00E06353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  <w:bookmarkStart w:id="29" w:name="_Toc25657157"/>
      <w:bookmarkStart w:id="30" w:name="_Toc25657239"/>
      <w:bookmarkStart w:id="31" w:name="_Toc25657252"/>
      <w:bookmarkStart w:id="32" w:name="_Toc25657372"/>
      <w:bookmarkStart w:id="33" w:name="_Toc25657419"/>
      <w:bookmarkStart w:id="34" w:name="_Toc25657761"/>
      <w:bookmarkStart w:id="35" w:name="_Toc25657895"/>
      <w:bookmarkStart w:id="36" w:name="_Toc25660362"/>
      <w:bookmarkStart w:id="37" w:name="_Toc25737359"/>
      <w:bookmarkStart w:id="38" w:name="_Toc2627284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3C0EBCB" w14:textId="77777777" w:rsidR="0079150B" w:rsidRPr="0079150B" w:rsidRDefault="0079150B" w:rsidP="00E06353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  <w:bookmarkStart w:id="39" w:name="_Toc25657158"/>
      <w:bookmarkStart w:id="40" w:name="_Toc25657240"/>
      <w:bookmarkStart w:id="41" w:name="_Toc25657253"/>
      <w:bookmarkStart w:id="42" w:name="_Toc25657373"/>
      <w:bookmarkStart w:id="43" w:name="_Toc25657420"/>
      <w:bookmarkStart w:id="44" w:name="_Toc25657762"/>
      <w:bookmarkStart w:id="45" w:name="_Toc25657896"/>
      <w:bookmarkStart w:id="46" w:name="_Toc25660363"/>
      <w:bookmarkStart w:id="47" w:name="_Toc25737360"/>
      <w:bookmarkStart w:id="48" w:name="_Toc26272847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C868F6E" w14:textId="77777777" w:rsidR="0079150B" w:rsidRPr="0079150B" w:rsidRDefault="0079150B" w:rsidP="00E06353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jc w:val="both"/>
        <w:outlineLvl w:val="1"/>
        <w:rPr>
          <w:rStyle w:val="Heading2Char"/>
          <w:b/>
          <w:bCs/>
          <w:vanish/>
          <w:lang w:eastAsia="es-ES"/>
        </w:rPr>
      </w:pPr>
    </w:p>
    <w:sectPr w:rsidR="0079150B" w:rsidRPr="0079150B" w:rsidSect="00904EB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A0EF" w14:textId="77777777" w:rsidR="00B64FD5" w:rsidRDefault="00B64FD5" w:rsidP="006806E7">
      <w:r>
        <w:separator/>
      </w:r>
    </w:p>
  </w:endnote>
  <w:endnote w:type="continuationSeparator" w:id="0">
    <w:p w14:paraId="76F1C430" w14:textId="77777777" w:rsidR="00B64FD5" w:rsidRDefault="00B64FD5" w:rsidP="0068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1F6C" w14:textId="77777777" w:rsidR="006806E7" w:rsidRDefault="00680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18EF" w14:textId="77777777" w:rsidR="006806E7" w:rsidRDefault="00680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A3C6" w14:textId="77777777" w:rsidR="006806E7" w:rsidRDefault="0068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84FB" w14:textId="77777777" w:rsidR="00B64FD5" w:rsidRDefault="00B64FD5" w:rsidP="006806E7">
      <w:r>
        <w:separator/>
      </w:r>
    </w:p>
  </w:footnote>
  <w:footnote w:type="continuationSeparator" w:id="0">
    <w:p w14:paraId="6BD5450F" w14:textId="77777777" w:rsidR="00B64FD5" w:rsidRDefault="00B64FD5" w:rsidP="0068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B299" w14:textId="77777777" w:rsidR="006806E7" w:rsidRDefault="00B64FD5">
    <w:pPr>
      <w:pStyle w:val="Header"/>
    </w:pPr>
    <w:r>
      <w:rPr>
        <w:noProof/>
        <w:lang w:val="es-ES"/>
      </w:rPr>
      <w:pict w14:anchorId="45906F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25.9pt;height:805.9pt;z-index:-251657216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04C7" w14:textId="77777777" w:rsidR="006806E7" w:rsidRDefault="00B64FD5">
    <w:pPr>
      <w:pStyle w:val="Header"/>
    </w:pPr>
    <w:r>
      <w:rPr>
        <w:noProof/>
        <w:lang w:val="es-ES"/>
      </w:rPr>
      <w:pict w14:anchorId="51251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25.9pt;height:805.9pt;z-index:-251658240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1342" w14:textId="77777777" w:rsidR="006806E7" w:rsidRDefault="00B64FD5">
    <w:pPr>
      <w:pStyle w:val="Header"/>
    </w:pPr>
    <w:r>
      <w:rPr>
        <w:noProof/>
        <w:lang w:val="es-ES"/>
      </w:rPr>
      <w:pict w14:anchorId="16E0D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25.9pt;height:805.9pt;z-index:-251656192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3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1611E"/>
    <w:multiLevelType w:val="hybridMultilevel"/>
    <w:tmpl w:val="0D306F2E"/>
    <w:lvl w:ilvl="0" w:tplc="371C7C68">
      <w:start w:val="1"/>
      <w:numFmt w:val="decimal"/>
      <w:lvlText w:val="2%1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F14A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932C81"/>
    <w:multiLevelType w:val="multilevel"/>
    <w:tmpl w:val="97EE2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1C0B42"/>
    <w:multiLevelType w:val="hybridMultilevel"/>
    <w:tmpl w:val="32AC4E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002EF"/>
    <w:multiLevelType w:val="multilevel"/>
    <w:tmpl w:val="119021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585165"/>
    <w:multiLevelType w:val="multilevel"/>
    <w:tmpl w:val="119021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7B51E4"/>
    <w:multiLevelType w:val="hybridMultilevel"/>
    <w:tmpl w:val="B50A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45EF"/>
    <w:multiLevelType w:val="multilevel"/>
    <w:tmpl w:val="FA1A65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8D46DB"/>
    <w:multiLevelType w:val="multilevel"/>
    <w:tmpl w:val="1E0E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D1A09"/>
    <w:multiLevelType w:val="multilevel"/>
    <w:tmpl w:val="FA1A6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B8731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C6642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75837"/>
    <w:multiLevelType w:val="multilevel"/>
    <w:tmpl w:val="FA1A65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B63340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1549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402766E"/>
    <w:multiLevelType w:val="multilevel"/>
    <w:tmpl w:val="97EE2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4940D5"/>
    <w:multiLevelType w:val="multilevel"/>
    <w:tmpl w:val="BAC00B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61D0FEA"/>
    <w:multiLevelType w:val="hybridMultilevel"/>
    <w:tmpl w:val="868C1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2A449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8DE3914"/>
    <w:multiLevelType w:val="hybridMultilevel"/>
    <w:tmpl w:val="FF3A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32B7F"/>
    <w:multiLevelType w:val="multilevel"/>
    <w:tmpl w:val="FA1A6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50CB3E96"/>
    <w:multiLevelType w:val="multilevel"/>
    <w:tmpl w:val="119021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35359FD"/>
    <w:multiLevelType w:val="multilevel"/>
    <w:tmpl w:val="D22A3B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574EA8"/>
    <w:multiLevelType w:val="multilevel"/>
    <w:tmpl w:val="A61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F59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E7962"/>
    <w:multiLevelType w:val="hybridMultilevel"/>
    <w:tmpl w:val="247644C8"/>
    <w:lvl w:ilvl="0" w:tplc="371C7C68">
      <w:start w:val="1"/>
      <w:numFmt w:val="decimal"/>
      <w:lvlText w:val="2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A77E79"/>
    <w:multiLevelType w:val="hybridMultilevel"/>
    <w:tmpl w:val="8ED28A56"/>
    <w:lvl w:ilvl="0" w:tplc="371C7C68">
      <w:start w:val="1"/>
      <w:numFmt w:val="decimal"/>
      <w:lvlText w:val="2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8" w15:restartNumberingAfterBreak="0">
    <w:nsid w:val="66B74443"/>
    <w:multiLevelType w:val="multilevel"/>
    <w:tmpl w:val="EB1AF2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CE44423"/>
    <w:multiLevelType w:val="hybridMultilevel"/>
    <w:tmpl w:val="5CC69F92"/>
    <w:lvl w:ilvl="0" w:tplc="17DCD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720D6"/>
    <w:multiLevelType w:val="multilevel"/>
    <w:tmpl w:val="E59A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4A7549"/>
    <w:multiLevelType w:val="multilevel"/>
    <w:tmpl w:val="B6B6D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D602BB"/>
    <w:multiLevelType w:val="multilevel"/>
    <w:tmpl w:val="C6E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E42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D53BF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54354671">
    <w:abstractNumId w:val="33"/>
  </w:num>
  <w:num w:numId="2" w16cid:durableId="356976058">
    <w:abstractNumId w:val="4"/>
  </w:num>
  <w:num w:numId="3" w16cid:durableId="1109277831">
    <w:abstractNumId w:val="12"/>
  </w:num>
  <w:num w:numId="4" w16cid:durableId="431096012">
    <w:abstractNumId w:val="25"/>
  </w:num>
  <w:num w:numId="5" w16cid:durableId="100537831">
    <w:abstractNumId w:val="11"/>
  </w:num>
  <w:num w:numId="6" w16cid:durableId="1908303493">
    <w:abstractNumId w:val="28"/>
  </w:num>
  <w:num w:numId="7" w16cid:durableId="443768575">
    <w:abstractNumId w:val="18"/>
  </w:num>
  <w:num w:numId="8" w16cid:durableId="1296332939">
    <w:abstractNumId w:val="7"/>
  </w:num>
  <w:num w:numId="9" w16cid:durableId="2037536732">
    <w:abstractNumId w:val="26"/>
  </w:num>
  <w:num w:numId="10" w16cid:durableId="2135252955">
    <w:abstractNumId w:val="1"/>
  </w:num>
  <w:num w:numId="11" w16cid:durableId="1229222493">
    <w:abstractNumId w:val="27"/>
  </w:num>
  <w:num w:numId="12" w16cid:durableId="1841700194">
    <w:abstractNumId w:val="31"/>
  </w:num>
  <w:num w:numId="13" w16cid:durableId="1654137741">
    <w:abstractNumId w:val="16"/>
  </w:num>
  <w:num w:numId="14" w16cid:durableId="1199511738">
    <w:abstractNumId w:val="23"/>
  </w:num>
  <w:num w:numId="15" w16cid:durableId="1890024598">
    <w:abstractNumId w:val="5"/>
  </w:num>
  <w:num w:numId="16" w16cid:durableId="1103694412">
    <w:abstractNumId w:val="22"/>
  </w:num>
  <w:num w:numId="17" w16cid:durableId="5449683">
    <w:abstractNumId w:val="6"/>
  </w:num>
  <w:num w:numId="18" w16cid:durableId="1277367980">
    <w:abstractNumId w:val="29"/>
  </w:num>
  <w:num w:numId="19" w16cid:durableId="1997613864">
    <w:abstractNumId w:val="10"/>
  </w:num>
  <w:num w:numId="20" w16cid:durableId="36007471">
    <w:abstractNumId w:val="3"/>
  </w:num>
  <w:num w:numId="21" w16cid:durableId="1882286148">
    <w:abstractNumId w:val="0"/>
  </w:num>
  <w:num w:numId="22" w16cid:durableId="1554342480">
    <w:abstractNumId w:val="20"/>
  </w:num>
  <w:num w:numId="23" w16cid:durableId="1263958245">
    <w:abstractNumId w:val="32"/>
  </w:num>
  <w:num w:numId="24" w16cid:durableId="634793381">
    <w:abstractNumId w:val="24"/>
  </w:num>
  <w:num w:numId="25" w16cid:durableId="238952409">
    <w:abstractNumId w:val="30"/>
  </w:num>
  <w:num w:numId="26" w16cid:durableId="665860189">
    <w:abstractNumId w:val="9"/>
  </w:num>
  <w:num w:numId="27" w16cid:durableId="1205606502">
    <w:abstractNumId w:val="13"/>
  </w:num>
  <w:num w:numId="28" w16cid:durableId="1197936943">
    <w:abstractNumId w:val="8"/>
  </w:num>
  <w:num w:numId="29" w16cid:durableId="1879076078">
    <w:abstractNumId w:val="21"/>
  </w:num>
  <w:num w:numId="30" w16cid:durableId="485322516">
    <w:abstractNumId w:val="17"/>
  </w:num>
  <w:num w:numId="31" w16cid:durableId="468673125">
    <w:abstractNumId w:val="2"/>
  </w:num>
  <w:num w:numId="32" w16cid:durableId="1730418403">
    <w:abstractNumId w:val="14"/>
  </w:num>
  <w:num w:numId="33" w16cid:durableId="1151872041">
    <w:abstractNumId w:val="15"/>
  </w:num>
  <w:num w:numId="34" w16cid:durableId="346250611">
    <w:abstractNumId w:val="19"/>
  </w:num>
  <w:num w:numId="35" w16cid:durableId="13581911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E7"/>
    <w:rsid w:val="00006A34"/>
    <w:rsid w:val="00030B87"/>
    <w:rsid w:val="00036F92"/>
    <w:rsid w:val="00046082"/>
    <w:rsid w:val="000847B8"/>
    <w:rsid w:val="00086854"/>
    <w:rsid w:val="000B057C"/>
    <w:rsid w:val="000E5812"/>
    <w:rsid w:val="00126325"/>
    <w:rsid w:val="001435F9"/>
    <w:rsid w:val="001455FF"/>
    <w:rsid w:val="001500AD"/>
    <w:rsid w:val="001524F9"/>
    <w:rsid w:val="001A16F0"/>
    <w:rsid w:val="001D47D0"/>
    <w:rsid w:val="001E6776"/>
    <w:rsid w:val="00204E7E"/>
    <w:rsid w:val="00224A22"/>
    <w:rsid w:val="002643BC"/>
    <w:rsid w:val="002655E5"/>
    <w:rsid w:val="002702E3"/>
    <w:rsid w:val="0027506B"/>
    <w:rsid w:val="002B2E68"/>
    <w:rsid w:val="002F3D74"/>
    <w:rsid w:val="00300110"/>
    <w:rsid w:val="00305E4B"/>
    <w:rsid w:val="00322999"/>
    <w:rsid w:val="00331CE0"/>
    <w:rsid w:val="00331D7E"/>
    <w:rsid w:val="00345C92"/>
    <w:rsid w:val="00351203"/>
    <w:rsid w:val="003539C6"/>
    <w:rsid w:val="003571C4"/>
    <w:rsid w:val="0036576B"/>
    <w:rsid w:val="00383C57"/>
    <w:rsid w:val="003A2DCB"/>
    <w:rsid w:val="003B115B"/>
    <w:rsid w:val="003F09E5"/>
    <w:rsid w:val="003F6469"/>
    <w:rsid w:val="004259A8"/>
    <w:rsid w:val="00446320"/>
    <w:rsid w:val="00461BD4"/>
    <w:rsid w:val="00465A7D"/>
    <w:rsid w:val="0048308A"/>
    <w:rsid w:val="00496107"/>
    <w:rsid w:val="004C2788"/>
    <w:rsid w:val="004E213D"/>
    <w:rsid w:val="004F6AF6"/>
    <w:rsid w:val="0051353B"/>
    <w:rsid w:val="0052011D"/>
    <w:rsid w:val="00531150"/>
    <w:rsid w:val="00543585"/>
    <w:rsid w:val="0056228D"/>
    <w:rsid w:val="00564281"/>
    <w:rsid w:val="005656E5"/>
    <w:rsid w:val="00573BE2"/>
    <w:rsid w:val="006806E7"/>
    <w:rsid w:val="00692F0E"/>
    <w:rsid w:val="0069443C"/>
    <w:rsid w:val="00697CEA"/>
    <w:rsid w:val="006D5D85"/>
    <w:rsid w:val="006E3C4B"/>
    <w:rsid w:val="0079150B"/>
    <w:rsid w:val="007A35C8"/>
    <w:rsid w:val="007A4633"/>
    <w:rsid w:val="007B56BC"/>
    <w:rsid w:val="008016DA"/>
    <w:rsid w:val="008228B8"/>
    <w:rsid w:val="00877B20"/>
    <w:rsid w:val="00890B8F"/>
    <w:rsid w:val="008B2BA2"/>
    <w:rsid w:val="008B4917"/>
    <w:rsid w:val="008F2C3C"/>
    <w:rsid w:val="00901EB7"/>
    <w:rsid w:val="00904EBF"/>
    <w:rsid w:val="00917494"/>
    <w:rsid w:val="009206C9"/>
    <w:rsid w:val="009730C6"/>
    <w:rsid w:val="009843E9"/>
    <w:rsid w:val="009C214B"/>
    <w:rsid w:val="009D3397"/>
    <w:rsid w:val="009D3E34"/>
    <w:rsid w:val="009E266B"/>
    <w:rsid w:val="009E4510"/>
    <w:rsid w:val="009F4397"/>
    <w:rsid w:val="00A24294"/>
    <w:rsid w:val="00A55075"/>
    <w:rsid w:val="00A65D5D"/>
    <w:rsid w:val="00A66F03"/>
    <w:rsid w:val="00A97D14"/>
    <w:rsid w:val="00AA239D"/>
    <w:rsid w:val="00AC43D4"/>
    <w:rsid w:val="00B14F22"/>
    <w:rsid w:val="00B448A4"/>
    <w:rsid w:val="00B46C5D"/>
    <w:rsid w:val="00B4723B"/>
    <w:rsid w:val="00B5122A"/>
    <w:rsid w:val="00B54EB4"/>
    <w:rsid w:val="00B64FD5"/>
    <w:rsid w:val="00B97F23"/>
    <w:rsid w:val="00BC6D6F"/>
    <w:rsid w:val="00BD23D5"/>
    <w:rsid w:val="00BF3211"/>
    <w:rsid w:val="00BF6F4C"/>
    <w:rsid w:val="00C11ABE"/>
    <w:rsid w:val="00C41D2F"/>
    <w:rsid w:val="00C972BC"/>
    <w:rsid w:val="00CA2E8E"/>
    <w:rsid w:val="00CF28D4"/>
    <w:rsid w:val="00CF2F07"/>
    <w:rsid w:val="00D20FDB"/>
    <w:rsid w:val="00D41F43"/>
    <w:rsid w:val="00D84056"/>
    <w:rsid w:val="00DA0750"/>
    <w:rsid w:val="00DA70AB"/>
    <w:rsid w:val="00E06353"/>
    <w:rsid w:val="00E12710"/>
    <w:rsid w:val="00E32AE1"/>
    <w:rsid w:val="00E35057"/>
    <w:rsid w:val="00E36D7F"/>
    <w:rsid w:val="00E37EBD"/>
    <w:rsid w:val="00E4624B"/>
    <w:rsid w:val="00E55F4E"/>
    <w:rsid w:val="00E61E24"/>
    <w:rsid w:val="00E94DB1"/>
    <w:rsid w:val="00EA2D91"/>
    <w:rsid w:val="00EC0763"/>
    <w:rsid w:val="00EC1955"/>
    <w:rsid w:val="00F2409C"/>
    <w:rsid w:val="00F36429"/>
    <w:rsid w:val="00F704FD"/>
    <w:rsid w:val="00F92E5D"/>
    <w:rsid w:val="00FB3EC2"/>
    <w:rsid w:val="00F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F540CF2"/>
  <w14:defaultImageDpi w14:val="300"/>
  <w15:docId w15:val="{A8AB7553-F38A-4D5B-AB2E-E904F9E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7D14"/>
    <w:pPr>
      <w:keepNext/>
      <w:keepLines/>
      <w:pBdr>
        <w:top w:val="thinThickSmallGap" w:sz="24" w:space="1" w:color="auto"/>
      </w:pBdr>
      <w:spacing w:after="120"/>
      <w:outlineLvl w:val="0"/>
    </w:pPr>
    <w:rPr>
      <w:rFonts w:ascii="Arial Narrow" w:eastAsiaTheme="majorEastAsia" w:hAnsi="Arial Narrow" w:cstheme="majorBidi"/>
      <w:b/>
      <w:bCs/>
      <w:noProof/>
      <w:color w:val="365F91" w:themeColor="accent1" w:themeShade="BF"/>
      <w:sz w:val="56"/>
      <w:szCs w:val="56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E7"/>
  </w:style>
  <w:style w:type="paragraph" w:styleId="Footer">
    <w:name w:val="footer"/>
    <w:basedOn w:val="Normal"/>
    <w:link w:val="Foot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E7"/>
  </w:style>
  <w:style w:type="paragraph" w:styleId="ListParagraph">
    <w:name w:val="List Paragraph"/>
    <w:basedOn w:val="Normal"/>
    <w:uiPriority w:val="34"/>
    <w:qFormat/>
    <w:rsid w:val="001524F9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 w:eastAsia="en-US"/>
    </w:rPr>
  </w:style>
  <w:style w:type="character" w:customStyle="1" w:styleId="Heading1Char">
    <w:name w:val="Heading 1 Char"/>
    <w:basedOn w:val="DefaultParagraphFont"/>
    <w:link w:val="Heading1"/>
    <w:rsid w:val="00A97D14"/>
    <w:rPr>
      <w:rFonts w:ascii="Arial Narrow" w:eastAsiaTheme="majorEastAsia" w:hAnsi="Arial Narrow" w:cstheme="majorBidi"/>
      <w:b/>
      <w:bCs/>
      <w:noProof/>
      <w:color w:val="365F91" w:themeColor="accent1" w:themeShade="BF"/>
      <w:sz w:val="56"/>
      <w:szCs w:val="5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7D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3C4B"/>
    <w:pPr>
      <w:pBdr>
        <w:top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bCs w:val="0"/>
      <w:noProof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E3C4B"/>
    <w:pPr>
      <w:spacing w:after="100" w:line="259" w:lineRule="auto"/>
      <w:ind w:left="220"/>
    </w:pPr>
    <w:rPr>
      <w:rFonts w:cs="Times New Roman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3C4B"/>
    <w:pPr>
      <w:spacing w:after="100" w:line="259" w:lineRule="auto"/>
    </w:pPr>
    <w:rPr>
      <w:rFonts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E3C4B"/>
    <w:pPr>
      <w:spacing w:after="100" w:line="259" w:lineRule="auto"/>
      <w:ind w:left="440"/>
    </w:pPr>
    <w:rPr>
      <w:rFonts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3C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9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46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6A9D-8B31-4F5C-8A3E-E1B0EA96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14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Marlon Estiven. Ardila Martinez</cp:lastModifiedBy>
  <cp:revision>26</cp:revision>
  <dcterms:created xsi:type="dcterms:W3CDTF">2022-02-07T14:04:00Z</dcterms:created>
  <dcterms:modified xsi:type="dcterms:W3CDTF">2022-06-01T15:37:00Z</dcterms:modified>
</cp:coreProperties>
</file>