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[00:00:04] Q: Last time we ended with the teacher-training institute. What came next for you?</w:t>
      </w:r>
    </w:p>
    <w:p>
      <w:r>
        <w:t>[00:00:15] Alpha: The board asked me to take over the regional office, which meant moving again, this time with two children and a very patient spouse.</w:t>
      </w:r>
    </w:p>
    <w:p>
      <w:r>
        <w:t>The office was three rooms above a pharmacy. On my first day the fax machine caught fire, which felt like an omen, though of what I was never sure.</w:t>
      </w:r>
    </w:p>
    <w:p>
      <w:r>
        <w:t>[00:01:50] Q: How did the political changes of that decade affect the office's work?</w:t>
      </w:r>
    </w:p>
    <w:p>
      <w:r>
        <w:t>[00:02:05] Alpha: Everything sped up. Programs we had planned over five years suddenly had to happen in five months, because the window was open and nobody knew for how long.</w:t>
      </w:r>
    </w:p>
    <w:p>
      <w:r>
        <w:t>[00:03:20] Q: Were there moments you thought the window had closed?</w:t>
      </w:r>
    </w:p>
    <w:p>
      <w:r>
        <w:t>[00:03:30] Alpha: Twice. Once after the elections, and once when our registration was suspended for a season. Both times the local staff carried the work while we argued in meeting rooms, and both times they were the reason it survived.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