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4" w:name="content"/>
    <w:bookmarkStart w:id="33" w:name="X77d6815309310aec02a9e9cb0659479ac326a38"/>
    <w:p>
      <w:pPr>
        <w:pStyle w:val="Heading1"/>
      </w:pPr>
      <w:r>
        <w:t xml:space="preserve">Instrucciones de ajustes a la Web Institucional</w:t>
      </w:r>
    </w:p>
    <w:p>
      <w:pPr>
        <w:pStyle w:val="FirstParagraph"/>
      </w:pPr>
      <w:r>
        <w:t xml:space="preserve">Este documento describe las tareas necesarias para actualizar la página web de la</w:t>
      </w:r>
      <w:r>
        <w:t xml:space="preserve"> </w:t>
      </w:r>
      <w:r>
        <w:rPr>
          <w:b/>
          <w:bCs/>
        </w:rPr>
        <w:t xml:space="preserve">Institución Educativa Capilla del Rosario</w:t>
      </w:r>
      <w:r>
        <w:t xml:space="preserve">. El objetivo principal es reorganizar y complementar el contenido existente, simplificar la navegación y preparar la página para recibir la información final proporcionada por el responsable del proyecto.</w:t>
      </w:r>
    </w:p>
    <w:bookmarkStart w:id="21" w:name="general"/>
    <w:p>
      <w:pPr>
        <w:pStyle w:val="Heading2"/>
      </w:pPr>
      <w:r>
        <w:t xml:space="preserve">General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Mantenimiento del diseño</w:t>
      </w:r>
      <w:r>
        <w:t xml:space="preserve">: Respeta la estética actual (colores, tipografía y estilo), pero ajusta la estructura donde se indica.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Navegación coherente</w:t>
      </w:r>
      <w:r>
        <w:t xml:space="preserve">: Asegúrate de que el menú de navegación siga la secuencia lógica indicada al final de este documento.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Contenido dinámico</w:t>
      </w:r>
      <w:r>
        <w:t xml:space="preserve">: Crea secciones o bloques preparados para recibir textos y listas que luego serán editados por el equipo (utiliza campos editables o archivos que puedan sustituirse fácilmente).</w:t>
      </w:r>
    </w:p>
    <w:bookmarkEnd w:id="21"/>
    <w:bookmarkStart w:id="32" w:name="tareas-por-sección"/>
    <w:p>
      <w:pPr>
        <w:pStyle w:val="Heading2"/>
      </w:pPr>
      <w:r>
        <w:t xml:space="preserve">Tareas por sección</w:t>
      </w:r>
    </w:p>
    <w:bookmarkStart w:id="22" w:name="horizonte-internacional"/>
    <w:p>
      <w:pPr>
        <w:pStyle w:val="Heading3"/>
      </w:pPr>
      <w:r>
        <w:t xml:space="preserve">1. Horizonte Internacional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Reubicar</w:t>
      </w:r>
      <w:r>
        <w:t xml:space="preserve"> </w:t>
      </w:r>
      <w:r>
        <w:t xml:space="preserve">la sección denominada “Horizonte Internacional” inmediatamente después del banner principal en la página de inicio.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Mantener</w:t>
      </w:r>
      <w:r>
        <w:t xml:space="preserve"> </w:t>
      </w:r>
      <w:r>
        <w:t xml:space="preserve">el diseño existente de la sección (titulares, bloques de texto o imágenes), pero situarla justo después del encabezado y antes de cualquier otra sección.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Preparar</w:t>
      </w:r>
      <w:r>
        <w:t xml:space="preserve"> </w:t>
      </w:r>
      <w:r>
        <w:t xml:space="preserve">un área para insertar el contenido textual que será proporcionado por Marlon (haz que sea fácilmente modificable).</w:t>
      </w:r>
    </w:p>
    <w:bookmarkEnd w:id="22"/>
    <w:bookmarkStart w:id="23" w:name="proceso-de-matrícula"/>
    <w:p>
      <w:pPr>
        <w:pStyle w:val="Heading3"/>
      </w:pPr>
      <w:r>
        <w:t xml:space="preserve">2. Proceso de Matrícula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Dividir</w:t>
      </w:r>
      <w:r>
        <w:t xml:space="preserve"> </w:t>
      </w:r>
      <w:r>
        <w:t xml:space="preserve">la sección actual de “Proceso de Matrícula” en dos subapartados visibles: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Matrícula para alumnos nuevos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Matrícula para alumnos antiguos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Diseñar</w:t>
      </w:r>
      <w:r>
        <w:t xml:space="preserve"> </w:t>
      </w:r>
      <w:r>
        <w:t xml:space="preserve">estos subapartados como pestañas, tarjetas o bloques colapsables que faciliten la navegación sin recargar visualmente la página.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Incluir</w:t>
      </w:r>
      <w:r>
        <w:t xml:space="preserve"> </w:t>
      </w:r>
      <w:r>
        <w:t xml:space="preserve">en cada subapartado campos o áreas para colocar textos y documentos que describan:</w:t>
      </w:r>
    </w:p>
    <w:p>
      <w:pPr>
        <w:pStyle w:val="Compact"/>
        <w:numPr>
          <w:ilvl w:val="0"/>
          <w:numId w:val="1003"/>
        </w:numPr>
      </w:pPr>
      <w:r>
        <w:t xml:space="preserve">Cronograma y fechas.</w:t>
      </w:r>
    </w:p>
    <w:p>
      <w:pPr>
        <w:pStyle w:val="Compact"/>
        <w:numPr>
          <w:ilvl w:val="0"/>
          <w:numId w:val="1003"/>
        </w:numPr>
      </w:pPr>
      <w:r>
        <w:t xml:space="preserve">Requisitos (documentos, certificados, autorizaciones notariales).</w:t>
      </w:r>
    </w:p>
    <w:p>
      <w:pPr>
        <w:pStyle w:val="Compact"/>
        <w:numPr>
          <w:ilvl w:val="0"/>
          <w:numId w:val="1003"/>
        </w:numPr>
      </w:pPr>
      <w:r>
        <w:t xml:space="preserve">Pasos del proceso (preinscripción, entrega de documentos, validación, etc.).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Eliminar</w:t>
      </w:r>
      <w:r>
        <w:t xml:space="preserve"> </w:t>
      </w:r>
      <w:r>
        <w:t xml:space="preserve">el texto genérico actual y preparar la estructura para recibir la información definitiva que se proporcionará más adelante.</w:t>
      </w:r>
    </w:p>
    <w:bookmarkEnd w:id="23"/>
    <w:bookmarkStart w:id="24" w:name="sección-cupos-disponibles"/>
    <w:p>
      <w:pPr>
        <w:pStyle w:val="Heading3"/>
      </w:pPr>
      <w:r>
        <w:t xml:space="preserve">3. Sección “Cupos disponibles”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Crear</w:t>
      </w:r>
      <w:r>
        <w:t xml:space="preserve"> </w:t>
      </w:r>
      <w:r>
        <w:t xml:space="preserve">un bloque informativo dentro de la sección “Cupos disponibles” para describir el proceso de inscripción y los requisitos necesarios (fotocopias, carpetas, certificados, HV, EPS, etc.).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Agregar</w:t>
      </w:r>
      <w:r>
        <w:t xml:space="preserve"> </w:t>
      </w:r>
      <w:r>
        <w:t xml:space="preserve">un segundo bloque o paso llamado “Publicación de Aceptados” donde se puedan subir o listar los nombres de los estudiantes admitidos. Esto puede implementarse mediante:</w:t>
      </w:r>
    </w:p>
    <w:p>
      <w:pPr>
        <w:pStyle w:val="Compact"/>
        <w:numPr>
          <w:ilvl w:val="0"/>
          <w:numId w:val="1004"/>
        </w:numPr>
      </w:pPr>
      <w:r>
        <w:t xml:space="preserve">Un área de texto editable para escribir la lista de aceptados.</w:t>
      </w:r>
    </w:p>
    <w:p>
      <w:pPr>
        <w:pStyle w:val="Compact"/>
        <w:numPr>
          <w:ilvl w:val="0"/>
          <w:numId w:val="1004"/>
        </w:numPr>
      </w:pPr>
      <w:r>
        <w:t xml:space="preserve">O un enlace para subir un archivo (por ejemplo, PDF o documento). Asegúrate de que el archivo se vea claramente y se pueda actualizar fácilmente.</w:t>
      </w:r>
    </w:p>
    <w:bookmarkEnd w:id="24"/>
    <w:bookmarkStart w:id="25" w:name="jornadas-y-niveles"/>
    <w:p>
      <w:pPr>
        <w:pStyle w:val="Heading3"/>
      </w:pPr>
      <w:r>
        <w:t xml:space="preserve">4. Jornadas y Niveles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Actualizar</w:t>
      </w:r>
      <w:r>
        <w:t xml:space="preserve"> </w:t>
      </w:r>
      <w:r>
        <w:t xml:space="preserve">la sección “Jornadas y Niveles” para reflejar la oferta real: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Niveles</w:t>
      </w:r>
      <w:r>
        <w:t xml:space="preserve">: Jardín, Preescolar, Primaria hasta sexto, PB (Procesos Básicos) y AC (Aceleración del aprendizaje).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Jornadas</w:t>
      </w:r>
      <w:r>
        <w:t xml:space="preserve">: Mañana, Tarde y Jornada única (nocturna dejará de mencionarse).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Añadir</w:t>
      </w:r>
      <w:r>
        <w:t xml:space="preserve"> </w:t>
      </w:r>
      <w:r>
        <w:t xml:space="preserve">una descripción breve para cada nivel y jornada.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Incluir</w:t>
      </w:r>
      <w:r>
        <w:t xml:space="preserve"> </w:t>
      </w:r>
      <w:r>
        <w:t xml:space="preserve">el énfasis técnico en comercio dentro de la información de la jornada única.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Presentar</w:t>
      </w:r>
      <w:r>
        <w:t xml:space="preserve"> </w:t>
      </w:r>
      <w:r>
        <w:t xml:space="preserve">la información de forma visual (tabla o tarjetas) para una lectura rápida.</w:t>
      </w:r>
    </w:p>
    <w:bookmarkEnd w:id="25"/>
    <w:bookmarkStart w:id="26" w:name="proyectos-institucionales"/>
    <w:p>
      <w:pPr>
        <w:pStyle w:val="Heading3"/>
      </w:pPr>
      <w:r>
        <w:t xml:space="preserve">5. Proyectos Institucionales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Revisar</w:t>
      </w:r>
      <w:r>
        <w:t xml:space="preserve"> </w:t>
      </w:r>
      <w:r>
        <w:t xml:space="preserve">la sección “Proyectos Institucionales” y preparar un listado de proyectos obligatorios y programáticos.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Añadir</w:t>
      </w:r>
      <w:r>
        <w:t xml:space="preserve"> </w:t>
      </w:r>
      <w:r>
        <w:t xml:space="preserve">el apartado de “Jornadas complementarias” y el “Programa de bienestar municipal”.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Diseñar</w:t>
      </w:r>
      <w:r>
        <w:t xml:space="preserve"> </w:t>
      </w:r>
      <w:r>
        <w:t xml:space="preserve">esta sección para que cada proyecto esté en un bloque o tarjeta con un pequeño resumen.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Eliminar</w:t>
      </w:r>
      <w:r>
        <w:t xml:space="preserve"> </w:t>
      </w:r>
      <w:r>
        <w:t xml:space="preserve">la lista de proyectos genéricos (bilingüismo, escuela de padres, PRAE) y dejar espacio para los contenidos que proporcionará Marlon.</w:t>
      </w:r>
    </w:p>
    <w:bookmarkEnd w:id="26"/>
    <w:bookmarkStart w:id="27" w:name="novedades-institucionales"/>
    <w:p>
      <w:pPr>
        <w:pStyle w:val="Heading3"/>
      </w:pPr>
      <w:r>
        <w:t xml:space="preserve">6. Novedades institucionales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Eliminar</w:t>
      </w:r>
      <w:r>
        <w:t xml:space="preserve"> </w:t>
      </w:r>
      <w:r>
        <w:t xml:space="preserve">cualquier referencia a la jornada nocturna.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Agregar</w:t>
      </w:r>
      <w:r>
        <w:t xml:space="preserve"> </w:t>
      </w:r>
      <w:r>
        <w:t xml:space="preserve">un bloque para “Jornadas complementarias” donde se pueda describir las actividades u ofertas nuevas.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Mantener</w:t>
      </w:r>
      <w:r>
        <w:t xml:space="preserve"> </w:t>
      </w:r>
      <w:r>
        <w:t xml:space="preserve">el estilo actual de la sección, pero con el nuevo contenido.</w:t>
      </w:r>
    </w:p>
    <w:bookmarkEnd w:id="27"/>
    <w:bookmarkStart w:id="28" w:name="circulares-y-comunicados"/>
    <w:p>
      <w:pPr>
        <w:pStyle w:val="Heading3"/>
      </w:pPr>
      <w:r>
        <w:t xml:space="preserve">7. Circulares y Comunicados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Habilitar</w:t>
      </w:r>
      <w:r>
        <w:t xml:space="preserve"> </w:t>
      </w:r>
      <w:r>
        <w:t xml:space="preserve">una nueva sección denominada “Circulares” donde se muestren los documentos oficiales en formato PDF.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Implementar</w:t>
      </w:r>
      <w:r>
        <w:t xml:space="preserve"> </w:t>
      </w:r>
      <w:r>
        <w:t xml:space="preserve">una lista ordenada de archivos con nombre, fecha y enlace de descarga.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Permitir</w:t>
      </w:r>
      <w:r>
        <w:t xml:space="preserve"> </w:t>
      </w:r>
      <w:r>
        <w:t xml:space="preserve">que estos archivos se suban y se reemplacen fácilmente desde un sistema de administración de contenido.</w:t>
      </w:r>
    </w:p>
    <w:bookmarkEnd w:id="28"/>
    <w:bookmarkStart w:id="29" w:name="descargas"/>
    <w:p>
      <w:pPr>
        <w:pStyle w:val="Heading3"/>
      </w:pPr>
      <w:r>
        <w:t xml:space="preserve">8. Descargas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Eliminar</w:t>
      </w:r>
      <w:r>
        <w:t xml:space="preserve"> </w:t>
      </w:r>
      <w:r>
        <w:t xml:space="preserve">la sección “Descargables” o “Descargas” actual.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Reemplazar</w:t>
      </w:r>
      <w:r>
        <w:t xml:space="preserve"> </w:t>
      </w:r>
      <w:r>
        <w:t xml:space="preserve">su contenido por un botón o enlace único que apunte al archivo de “Consentimiento Informado”. El documento será suministrado por Marlon.</w:t>
      </w:r>
    </w:p>
    <w:bookmarkEnd w:id="29"/>
    <w:bookmarkStart w:id="30" w:name="orden-general-del-sitio"/>
    <w:p>
      <w:pPr>
        <w:pStyle w:val="Heading3"/>
      </w:pPr>
      <w:r>
        <w:t xml:space="preserve">9. Orden general del sitio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Revisar</w:t>
      </w:r>
      <w:r>
        <w:t xml:space="preserve"> </w:t>
      </w:r>
      <w:r>
        <w:t xml:space="preserve">y asegurar que el orden de las secciones en la página de inicio quede de la siguiente manera:</w:t>
      </w:r>
    </w:p>
    <w:p>
      <w:pPr>
        <w:pStyle w:val="Compact"/>
        <w:numPr>
          <w:ilvl w:val="0"/>
          <w:numId w:val="1010"/>
        </w:numPr>
      </w:pPr>
      <w:r>
        <w:t xml:space="preserve">Banner principal.</w:t>
      </w:r>
    </w:p>
    <w:p>
      <w:pPr>
        <w:pStyle w:val="Compact"/>
        <w:numPr>
          <w:ilvl w:val="0"/>
          <w:numId w:val="1010"/>
        </w:numPr>
      </w:pPr>
      <w:r>
        <w:t xml:space="preserve">Horizonte Internacional.</w:t>
      </w:r>
    </w:p>
    <w:p>
      <w:pPr>
        <w:pStyle w:val="Compact"/>
        <w:numPr>
          <w:ilvl w:val="0"/>
          <w:numId w:val="1010"/>
        </w:numPr>
      </w:pPr>
      <w:r>
        <w:t xml:space="preserve">Proceso de Matrícula.</w:t>
      </w:r>
    </w:p>
    <w:p>
      <w:pPr>
        <w:pStyle w:val="Compact"/>
        <w:numPr>
          <w:ilvl w:val="0"/>
          <w:numId w:val="1010"/>
        </w:numPr>
      </w:pPr>
      <w:r>
        <w:t xml:space="preserve">Cupos disponibles.</w:t>
      </w:r>
    </w:p>
    <w:p>
      <w:pPr>
        <w:pStyle w:val="Compact"/>
        <w:numPr>
          <w:ilvl w:val="0"/>
          <w:numId w:val="1010"/>
        </w:numPr>
      </w:pPr>
      <w:r>
        <w:t xml:space="preserve">Jornadas y Niveles.</w:t>
      </w:r>
    </w:p>
    <w:p>
      <w:pPr>
        <w:pStyle w:val="Compact"/>
        <w:numPr>
          <w:ilvl w:val="0"/>
          <w:numId w:val="1010"/>
        </w:numPr>
      </w:pPr>
      <w:r>
        <w:t xml:space="preserve">Proyectos Institucionales.</w:t>
      </w:r>
    </w:p>
    <w:p>
      <w:pPr>
        <w:pStyle w:val="Compact"/>
        <w:numPr>
          <w:ilvl w:val="0"/>
          <w:numId w:val="1010"/>
        </w:numPr>
      </w:pPr>
      <w:r>
        <w:t xml:space="preserve">Novedades institucionales.</w:t>
      </w:r>
    </w:p>
    <w:p>
      <w:pPr>
        <w:pStyle w:val="Compact"/>
        <w:numPr>
          <w:ilvl w:val="0"/>
          <w:numId w:val="1010"/>
        </w:numPr>
      </w:pPr>
      <w:r>
        <w:t xml:space="preserve">Circulares.</w:t>
      </w:r>
    </w:p>
    <w:p>
      <w:pPr>
        <w:pStyle w:val="Compact"/>
        <w:numPr>
          <w:ilvl w:val="0"/>
          <w:numId w:val="1010"/>
        </w:numPr>
      </w:pPr>
      <w:r>
        <w:t xml:space="preserve">Principios Generales (si procede conservarlos).</w:t>
      </w:r>
    </w:p>
    <w:p>
      <w:pPr>
        <w:pStyle w:val="Compact"/>
        <w:numPr>
          <w:ilvl w:val="0"/>
          <w:numId w:val="1010"/>
        </w:numPr>
      </w:pPr>
      <w:r>
        <w:t xml:space="preserve">Programas Académicos (si procede conservarlos).</w:t>
      </w:r>
    </w:p>
    <w:p>
      <w:pPr>
        <w:pStyle w:val="Compact"/>
        <w:numPr>
          <w:ilvl w:val="0"/>
          <w:numId w:val="1010"/>
        </w:numPr>
      </w:pPr>
      <w:r>
        <w:t xml:space="preserve">Contacto.</w:t>
      </w:r>
    </w:p>
    <w:bookmarkEnd w:id="30"/>
    <w:bookmarkStart w:id="31" w:name="información-de-contacto"/>
    <w:p>
      <w:pPr>
        <w:pStyle w:val="Heading3"/>
      </w:pPr>
      <w:r>
        <w:t xml:space="preserve">10. Información de contacto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Actualizar</w:t>
      </w:r>
      <w:r>
        <w:t xml:space="preserve"> </w:t>
      </w:r>
      <w:r>
        <w:t xml:space="preserve">el número telefónico en la sección “Contacto” por</w:t>
      </w:r>
      <w:r>
        <w:t xml:space="preserve"> </w:t>
      </w:r>
      <w:r>
        <w:rPr>
          <w:b/>
          <w:bCs/>
        </w:rPr>
        <w:t xml:space="preserve">604 341 0913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Verificar</w:t>
      </w:r>
      <w:r>
        <w:t xml:space="preserve"> </w:t>
      </w:r>
      <w:r>
        <w:t xml:space="preserve">que el nuevo número se visualice correctamente tanto en escritorio como en móvil.</w:t>
      </w:r>
    </w:p>
    <w:bookmarkEnd w:id="31"/>
    <w:bookmarkEnd w:id="32"/>
    <w:bookmarkEnd w:id="33"/>
    <w:bookmarkEnd w:id="34"/>
    <w:p>
      <w:r>
        <w:pict>
          <v:rect style="width:0;height:1.5pt" o:hralign="center" o:hrstd="t" o:hr="t"/>
        </w:pict>
      </w:r>
    </w:p>
    <w:bookmarkStart w:id="35" w:name="citations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2025-10-19T13:23:11Z</dcterms:created>
  <dcterms:modified xsi:type="dcterms:W3CDTF">2025-10-19T13:23:11Z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