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>AQL 2.5 正常检验一次抽样方案表 (一般检验水平 II)</w:t>
      </w:r>
    </w:p>
    <w:tbl>
      <w:tblPr>
        <w:tblStyle w:val="13"/>
        <w:tblW w:w="9360" w:type="dxa"/>
        <w:tblInd w:w="0" w:type="dxa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44EDF944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批量区间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样本量字码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初始样本量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接收数 (Ac)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F1F1F"/>
                <w:shd w:val="clear" w:fill="auto"/>
                <w:rtl w:val="0"/>
              </w:rPr>
              <w:t>拒收数 (Re)</w:t>
            </w:r>
          </w:p>
        </w:tc>
      </w:tr>
      <w:tr w14:paraId="319D66BF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4" w:hRule="atLeast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2～8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A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2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  <w:bookmarkStart w:id="0" w:name="_GoBack"/>
            <w:bookmarkEnd w:id="0"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</w:t>
            </w:r>
          </w:p>
        </w:tc>
      </w:tr>
      <w:tr w14:paraId="323F028D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9～15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B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3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</w:t>
            </w:r>
          </w:p>
        </w:tc>
      </w:tr>
      <w:tr w14:paraId="0FAA1C75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16～25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C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5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</w:t>
            </w:r>
          </w:p>
        </w:tc>
      </w:tr>
      <w:tr w14:paraId="16AEB075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26～50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D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8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</w:t>
            </w:r>
          </w:p>
        </w:tc>
      </w:tr>
      <w:tr w14:paraId="7D4A77DA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51～90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E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13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2</w:t>
            </w:r>
          </w:p>
        </w:tc>
      </w:tr>
      <w:tr w14:paraId="41395184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91～150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F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20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2</w:t>
            </w:r>
          </w:p>
        </w:tc>
      </w:tr>
      <w:tr w14:paraId="65578CE3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151～280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G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32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2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3</w:t>
            </w:r>
          </w:p>
        </w:tc>
      </w:tr>
      <w:tr w14:paraId="140C9523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281～500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H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50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3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4</w:t>
            </w:r>
          </w:p>
        </w:tc>
      </w:tr>
      <w:tr w14:paraId="7B1389BE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501～1200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J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80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4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5</w:t>
            </w:r>
          </w:p>
        </w:tc>
      </w:tr>
      <w:tr w14:paraId="57FB723F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1201～3200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K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125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5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6</w:t>
            </w:r>
          </w:p>
        </w:tc>
      </w:tr>
      <w:tr w14:paraId="71B36530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3201～10000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L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200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7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8</w:t>
            </w:r>
          </w:p>
        </w:tc>
      </w:tr>
      <w:tr w14:paraId="1763A210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10001～35000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M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315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11</w:t>
            </w:r>
          </w:p>
        </w:tc>
      </w:tr>
      <w:tr w14:paraId="0AFAA803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35001～150000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N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500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14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15</w:t>
            </w:r>
          </w:p>
        </w:tc>
      </w:tr>
      <w:tr w14:paraId="20E93713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150001～500000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P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800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21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22</w:t>
            </w:r>
          </w:p>
        </w:tc>
      </w:tr>
      <w:tr w14:paraId="6DFE03D5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 Unicode MS" w:hAnsi="Arial Unicode MS" w:eastAsia="Arial Unicode MS" w:cs="Arial Unicode MS"/>
                <w:color w:val="1F1F1F"/>
                <w:shd w:val="clear" w:fill="auto"/>
                <w:rtl w:val="0"/>
              </w:rPr>
              <w:t>500001 及以上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Q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1250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b/>
                <w:bCs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21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Arial" w:hAnsi="Arial" w:eastAsia="Arial" w:cs="Arial"/>
                <w:color w:val="1F1F1F"/>
                <w:shd w:val="clear" w:fill="auto"/>
              </w:rPr>
            </w:pPr>
            <w:r>
              <w:rPr>
                <w:rFonts w:ascii="Arial" w:hAnsi="Arial" w:eastAsia="Arial" w:cs="Arial"/>
                <w:color w:val="1F1F1F"/>
                <w:shd w:val="clear" w:fill="auto"/>
                <w:rtl w:val="0"/>
              </w:rPr>
              <w:t>22</w:t>
            </w:r>
          </w:p>
        </w:tc>
      </w:tr>
    </w:tbl>
    <w:p w14:paraId="00000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72" w:line="275" w:lineRule="auto"/>
        <w:rPr>
          <w:rFonts w:ascii="Arial" w:hAnsi="Arial" w:eastAsia="Arial" w:cs="Arial"/>
          <w:b/>
          <w:bCs/>
          <w:color w:val="1F1F1F"/>
        </w:rPr>
      </w:pP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使用说明：</w:t>
      </w:r>
    </w:p>
    <w:p w14:paraId="000000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ascii="Arial" w:hAnsi="Arial" w:eastAsia="Arial" w:cs="Arial"/>
          <w:color w:val="1F1F1F"/>
        </w:rPr>
      </w:pPr>
      <w:r>
        <w:rPr>
          <w:rFonts w:ascii="Arial Unicode MS" w:hAnsi="Arial Unicode MS" w:eastAsia="Arial Unicode MS" w:cs="Arial Unicode MS"/>
          <w:color w:val="1F1F1F"/>
          <w:rtl w:val="0"/>
        </w:rPr>
        <w:t xml:space="preserve">在日常检验中，请直接根据“批量区间”查找到对应的行，然后按照 </w:t>
      </w: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“实际抽样数”</w:t>
      </w:r>
      <w:r>
        <w:rPr>
          <w:rFonts w:ascii="Arial Unicode MS" w:hAnsi="Arial Unicode MS" w:eastAsia="Arial Unicode MS" w:cs="Arial Unicode MS"/>
          <w:color w:val="1F1F1F"/>
          <w:rtl w:val="0"/>
        </w:rPr>
        <w:t xml:space="preserve"> 提取样本，并根据对应的 </w:t>
      </w: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“Ac (接收数)”</w:t>
      </w:r>
      <w:r>
        <w:rPr>
          <w:rFonts w:ascii="Arial Unicode MS" w:hAnsi="Arial Unicode MS" w:eastAsia="Arial Unicode MS" w:cs="Arial Unicode MS"/>
          <w:color w:val="1F1F1F"/>
          <w:rtl w:val="0"/>
        </w:rPr>
        <w:t xml:space="preserve"> 和 </w:t>
      </w:r>
      <w:r>
        <w:rPr>
          <w:rFonts w:ascii="Arial Unicode MS" w:hAnsi="Arial Unicode MS" w:eastAsia="Arial Unicode MS" w:cs="Arial Unicode MS"/>
          <w:b/>
          <w:bCs/>
          <w:color w:val="1F1F1F"/>
          <w:rtl w:val="0"/>
        </w:rPr>
        <w:t>“Re (拒收数)”</w:t>
      </w:r>
      <w:r>
        <w:rPr>
          <w:rFonts w:ascii="Arial Unicode MS" w:hAnsi="Arial Unicode MS" w:eastAsia="Arial Unicode MS" w:cs="Arial Unicode MS"/>
          <w:color w:val="1F1F1F"/>
          <w:rtl w:val="0"/>
        </w:rPr>
        <w:t xml:space="preserve"> 进行合格与否的判定。本表已经自动为您处理了原始标准中的箭头转换规则。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FCD6879-2BA0-42CB-A07F-4339DB56530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1BC487D-DAC2-4E79-B9EC-B9454B1C174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EB32054-674A-4920-BF18-CB7EA6C4A2A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FDE8CEB3-FF98-4720-91AE-C8CBCF74EA2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F7A7A91-AA59-4EEF-93CF-C30645C1E0D2}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  <w:embedRegular r:id="rId6" w:fontKey="{50019876-5F20-4994-BE9D-1295D4C5D506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CBBB4BC2-7786-439E-B7DA-D58AA98C5286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B7283DFF-035B-4B48-AFB7-534D2CBF397F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9" w:fontKey="{1E33EB26-23B6-4618-AE34-EFF378821858}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1B990F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269</Words>
  <Characters>398</Characters>
  <TotalTime>0</TotalTime>
  <ScaleCrop>false</ScaleCrop>
  <LinksUpToDate>false</LinksUpToDate>
  <CharactersWithSpaces>413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2026-09-27T07:50:49Z</dcterms:created>
  <dc:creator>a4918</dc:creator>
  <cp:lastModifiedBy>若木成枝，不吝回骛</cp:lastModifiedBy>
  <dcterms:modified xsi:type="dcterms:W3CDTF">2026-09-27T07:51:33Z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eyJoZGlkIjoiZDU4NjY5MDAzYWI2MWEzZjY4YmQzOWFlNjJlMTFjNjUiLCJ1c2VySWQiOiIzNTM4MDY2NDUifQ==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8F8249AB69644A9C92BE016C58854505_12</vt:lpwstr>
  </property>
</Properties>
</file>