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4. </w:t>
      </w:r>
      <w:r>
        <w:rPr>
          <w:spacing w:val="-2"/>
        </w:rPr>
        <w:t>Conclusion</w:t>
      </w:r>
    </w:p>
    <w:p>
      <w:pPr>
        <w:pStyle w:val="BodyText"/>
        <w:spacing w:line="345" w:lineRule="auto"/>
      </w:pPr>
      <w:r>
        <w:rPr>
          <w:color w:val="1F1F1F"/>
        </w:rPr>
        <w:t>To</w:t>
      </w:r>
      <w:r>
        <w:rPr>
          <w:color w:val="1F1F1F"/>
          <w:spacing w:val="-2"/>
        </w:rPr>
        <w:t> </w:t>
      </w:r>
      <w:r>
        <w:rPr>
          <w:color w:val="1F1F1F"/>
        </w:rPr>
        <w:t>conclude</w:t>
      </w:r>
      <w:r>
        <w:rPr>
          <w:color w:val="1F1F1F"/>
          <w:spacing w:val="-2"/>
        </w:rPr>
        <w:t> </w:t>
      </w:r>
      <w:r>
        <w:rPr>
          <w:color w:val="1F1F1F"/>
        </w:rPr>
        <w:t>,</w:t>
      </w:r>
      <w:r>
        <w:rPr>
          <w:color w:val="1F1F1F"/>
          <w:spacing w:val="-2"/>
        </w:rPr>
        <w:t> </w:t>
      </w:r>
      <w:r>
        <w:rPr>
          <w:color w:val="1F1F1F"/>
        </w:rPr>
        <w:t>we</w:t>
      </w:r>
      <w:r>
        <w:rPr>
          <w:color w:val="1F1F1F"/>
          <w:spacing w:val="-2"/>
        </w:rPr>
        <w:t> </w:t>
      </w:r>
      <w:r>
        <w:rPr>
          <w:color w:val="1F1F1F"/>
        </w:rPr>
        <w:t>observed</w:t>
      </w:r>
      <w:r>
        <w:rPr>
          <w:color w:val="1F1F1F"/>
          <w:spacing w:val="-7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change</w:t>
      </w:r>
      <w:r>
        <w:rPr>
          <w:color w:val="1F1F1F"/>
          <w:spacing w:val="-6"/>
        </w:rPr>
        <w:t> </w:t>
      </w:r>
      <w:r>
        <w:rPr>
          <w:color w:val="1F1F1F"/>
        </w:rPr>
        <w:t>in</w:t>
      </w:r>
      <w:r>
        <w:rPr>
          <w:color w:val="1F1F1F"/>
          <w:spacing w:val="-8"/>
        </w:rPr>
        <w:t> </w:t>
      </w:r>
      <w:r>
        <w:rPr>
          <w:color w:val="1F1F1F"/>
        </w:rPr>
        <w:t>accelerations</w:t>
      </w:r>
      <w:r>
        <w:rPr>
          <w:color w:val="1F1F1F"/>
          <w:spacing w:val="-2"/>
        </w:rPr>
        <w:t> </w:t>
      </w:r>
      <w:r>
        <w:rPr>
          <w:color w:val="1F1F1F"/>
        </w:rPr>
        <w:t>using</w:t>
      </w:r>
      <w:r>
        <w:rPr>
          <w:color w:val="1F1F1F"/>
          <w:spacing w:val="-8"/>
        </w:rPr>
        <w:t> </w:t>
      </w:r>
      <w:r>
        <w:rPr>
          <w:color w:val="1F1F1F"/>
        </w:rPr>
        <w:t>the</w:t>
      </w:r>
      <w:r>
        <w:rPr>
          <w:color w:val="1F1F1F"/>
          <w:spacing w:val="-2"/>
        </w:rPr>
        <w:t> </w:t>
      </w:r>
      <w:r>
        <w:rPr>
          <w:color w:val="1F1F1F"/>
        </w:rPr>
        <w:t>difference between masses. Adhering to Newton's 2nd law, we compared the difference between a theoretical experiment and a practical experiment and found the margin of error. We graphically expressed the acceleration values occurred in the experiment using the LoggerLite program.</w:t>
      </w:r>
    </w:p>
    <w:sectPr>
      <w:type w:val="continuous"/>
      <w:pgSz w:w="11910" w:h="16840"/>
      <w:pgMar w:top="1360" w:bottom="280" w:left="134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8"/>
      <w:ind w:left="100" w:right="99" w:firstLine="490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10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Gokturk Çelik</dc:creator>
  <dcterms:created xsi:type="dcterms:W3CDTF">2024-12-12T13:07:53Z</dcterms:created>
  <dcterms:modified xsi:type="dcterms:W3CDTF">2024-12-12T13:07:53Z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2024-12-12T00:00:00Z</vt:filetime>
  </property>
</Properties>
</file>