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ans" w:hAnsi="DejaVu Sans" w:eastAsia="DejaVu Sans"/>
          <w:b/>
          <w:i w:val="0"/>
          <w:color w:val="1F4E79"/>
          <w:sz w:val="36"/>
        </w:rPr>
        <w:t>DSA 210 Project Proposal</w:t>
      </w:r>
    </w:p>
    <w:p>
      <w:r>
        <w:rPr>
          <w:rFonts w:ascii="DejaVu Sans" w:hAnsi="DejaVu Sans" w:eastAsia="DejaVu Sans"/>
          <w:b w:val="0"/>
          <w:i w:val="0"/>
          <w:sz w:val="21"/>
        </w:rPr>
        <w:t xml:space="preserve">Student: Gökberk Marmara  </w:t>
      </w:r>
    </w:p>
    <w:p>
      <w:r>
        <w:rPr>
          <w:rFonts w:ascii="DejaVu Sans" w:hAnsi="DejaVu Sans" w:eastAsia="DejaVu Sans"/>
          <w:b w:val="0"/>
          <w:i w:val="0"/>
          <w:sz w:val="21"/>
        </w:rPr>
        <w:t xml:space="preserve">Course: DSA 210  </w:t>
      </w:r>
    </w:p>
    <w:p>
      <w:r>
        <w:rPr>
          <w:rFonts w:ascii="DejaVu Sans" w:hAnsi="DejaVu Sans" w:eastAsia="DejaVu Sans"/>
          <w:b w:val="0"/>
          <w:i w:val="0"/>
          <w:sz w:val="21"/>
        </w:rPr>
        <w:t>Project title: Macroeconomic Enrichment for BIST 100 Market Movement Analysis and Prediction</w:t>
      </w:r>
    </w:p>
    <w:p>
      <w:pPr>
        <w:spacing w:before="200" w:after="60"/>
      </w:pPr>
      <w:r>
        <w:rPr>
          <w:rFonts w:ascii="DejaVu Sans" w:hAnsi="DejaVu Sans" w:eastAsia="DejaVu Sans"/>
          <w:b/>
          <w:i w:val="0"/>
          <w:color w:val="1F4E79"/>
          <w:sz w:val="26"/>
        </w:rPr>
        <w:t>1. Motivation</w:t>
      </w:r>
    </w:p>
    <w:p>
      <w:r>
        <w:rPr>
          <w:rFonts w:ascii="DejaVu Sans" w:hAnsi="DejaVu Sans" w:eastAsia="DejaVu Sans"/>
          <w:b w:val="0"/>
          <w:i w:val="0"/>
          <w:sz w:val="21"/>
        </w:rPr>
        <w:t>Stock-price prediction is a common project topic, so I wanted to avoid building a project that only takes a price series and tries to predict the next value. The more useful angle for this project is to ask whether macroeconomic context adds information to market analysis.</w:t>
      </w:r>
    </w:p>
    <w:p>
      <w:r>
        <w:rPr>
          <w:rFonts w:ascii="DejaVu Sans" w:hAnsi="DejaVu Sans" w:eastAsia="DejaVu Sans"/>
          <w:b w:val="0"/>
          <w:i w:val="0"/>
          <w:sz w:val="21"/>
        </w:rPr>
        <w:t>The Turkish stock market is a good setting for this question. Inflation, interest-rate decisions, and exchange-rate movements are frequently discussed together with market behavior. For that reason, this project combines BIST 100 market data with macroeconomic indicators from TCMB EVDS.</w:t>
      </w:r>
    </w:p>
    <w:p>
      <w:r>
        <w:rPr>
          <w:rFonts w:ascii="DejaVu Sans" w:hAnsi="DejaVu Sans" w:eastAsia="DejaVu Sans"/>
          <w:b w:val="0"/>
          <w:i w:val="0"/>
          <w:sz w:val="21"/>
        </w:rPr>
        <w:t>The project is not designed to prove that the stock market can be predicted perfectly. A more realistic goal is to test whether macro-enriched features provide additional explanatory or predictive value compared with market-only features.</w:t>
      </w:r>
    </w:p>
    <w:p>
      <w:pPr>
        <w:spacing w:before="200" w:after="60"/>
      </w:pPr>
      <w:r>
        <w:rPr>
          <w:rFonts w:ascii="DejaVu Sans" w:hAnsi="DejaVu Sans" w:eastAsia="DejaVu Sans"/>
          <w:b/>
          <w:i w:val="0"/>
          <w:color w:val="1F4E79"/>
          <w:sz w:val="26"/>
        </w:rPr>
        <w:t>2. Research question</w:t>
      </w:r>
    </w:p>
    <w:p>
      <w:r>
        <w:rPr>
          <w:rFonts w:ascii="DejaVu Sans" w:hAnsi="DejaVu Sans" w:eastAsia="DejaVu Sans"/>
          <w:b w:val="0"/>
          <w:i w:val="0"/>
          <w:sz w:val="21"/>
        </w:rPr>
        <w:t>The main research question is:</w:t>
      </w:r>
    </w:p>
    <w:p>
      <w:pPr>
        <w:ind w:left="360"/>
      </w:pPr>
      <w:r>
        <w:rPr>
          <w:rFonts w:ascii="DejaVu Sans" w:hAnsi="DejaVu Sans" w:eastAsia="DejaVu Sans"/>
          <w:b w:val="0"/>
          <w:i/>
          <w:sz w:val="21"/>
        </w:rPr>
        <w:t>Do Turkish macroeconomic indicators such as CPI, policy rate, and USD/TRY movements provide useful explanatory or predictive information for BIST 100 daily returns?</w:t>
      </w:r>
    </w:p>
    <w:p>
      <w:r>
        <w:rPr>
          <w:rFonts w:ascii="DejaVu Sans" w:hAnsi="DejaVu Sans" w:eastAsia="DejaVu Sans"/>
          <w:b w:val="0"/>
          <w:i w:val="0"/>
          <w:sz w:val="21"/>
        </w:rPr>
        <w:t>The machine-learning stage focuses on a related comparison:</w:t>
      </w:r>
    </w:p>
    <w:p>
      <w:pPr>
        <w:ind w:left="360"/>
      </w:pPr>
      <w:r>
        <w:rPr>
          <w:rFonts w:ascii="DejaVu Sans" w:hAnsi="DejaVu Sans" w:eastAsia="DejaVu Sans"/>
          <w:b w:val="0"/>
          <w:i/>
          <w:sz w:val="21"/>
        </w:rPr>
        <w:t>Do macro-enriched models perform better than baseline models that use only historical market variables?</w:t>
      </w:r>
    </w:p>
    <w:p>
      <w:pPr>
        <w:spacing w:before="200" w:after="60"/>
      </w:pPr>
      <w:r>
        <w:rPr>
          <w:rFonts w:ascii="DejaVu Sans" w:hAnsi="DejaVu Sans" w:eastAsia="DejaVu Sans"/>
          <w:b/>
          <w:i w:val="0"/>
          <w:color w:val="1F4E79"/>
          <w:sz w:val="26"/>
        </w:rPr>
        <w:t>3. Data sources</w:t>
      </w:r>
    </w:p>
    <w:p>
      <w:r>
        <w:rPr>
          <w:rFonts w:ascii="DejaVu Sans" w:hAnsi="DejaVu Sans" w:eastAsia="DejaVu Sans"/>
          <w:b w:val="0"/>
          <w:i w:val="0"/>
          <w:sz w:val="21"/>
        </w:rPr>
        <w:t>The project uses two data sources.</w:t>
      </w:r>
    </w:p>
    <w:p>
      <w:pPr>
        <w:spacing w:before="120" w:after="40"/>
      </w:pPr>
      <w:r>
        <w:rPr>
          <w:rFonts w:ascii="DejaVu Sans" w:hAnsi="DejaVu Sans" w:eastAsia="DejaVu Sans"/>
          <w:b/>
          <w:i w:val="0"/>
          <w:color w:val="2F75B5"/>
          <w:sz w:val="23"/>
        </w:rPr>
        <w:t>3.1 Financial market data</w:t>
      </w:r>
    </w:p>
    <w:p>
      <w:r>
        <w:rPr>
          <w:rFonts w:ascii="DejaVu Sans" w:hAnsi="DejaVu Sans" w:eastAsia="DejaVu Sans"/>
          <w:b w:val="0"/>
          <w:i w:val="0"/>
          <w:sz w:val="21"/>
        </w:rPr>
        <w:t>Financial market data is collected from Yahoo Finance through yfinance.</w:t>
      </w:r>
    </w:p>
    <w:p>
      <w:r>
        <w:rPr>
          <w:rFonts w:ascii="DejaVu Sans" w:hAnsi="DejaVu Sans" w:eastAsia="DejaVu Sans"/>
          <w:b w:val="0"/>
          <w:i w:val="0"/>
          <w:sz w:val="21"/>
        </w:rPr>
        <w:t>Main variables:</w:t>
      </w:r>
    </w:p>
    <w:p>
      <w:pPr>
        <w:pStyle w:val="ListBullet"/>
      </w:pPr>
      <w:r>
        <w:rPr>
          <w:rFonts w:ascii="DejaVu Sans" w:hAnsi="DejaVu Sans" w:eastAsia="DejaVu Sans"/>
          <w:b w:val="0"/>
          <w:i w:val="0"/>
          <w:sz w:val="21"/>
        </w:rPr>
        <w:t>XU100: BIST 100 close price</w:t>
      </w:r>
    </w:p>
    <w:p>
      <w:pPr>
        <w:pStyle w:val="ListBullet"/>
      </w:pPr>
      <w:r>
        <w:rPr>
          <w:rFonts w:ascii="DejaVu Sans" w:hAnsi="DejaVu Sans" w:eastAsia="DejaVu Sans"/>
          <w:b w:val="0"/>
          <w:i w:val="0"/>
          <w:sz w:val="21"/>
        </w:rPr>
        <w:t>GARAN: GARAN close price</w:t>
      </w:r>
    </w:p>
    <w:p>
      <w:r>
        <w:rPr>
          <w:rFonts w:ascii="DejaVu Sans" w:hAnsi="DejaVu Sans" w:eastAsia="DejaVu Sans"/>
          <w:b w:val="0"/>
          <w:i w:val="0"/>
          <w:sz w:val="21"/>
        </w:rPr>
        <w:t>BIST 100 is the main index of the project. GARAN is included as an additional market-related variable because it is a major Turkish bank and can reflect domestic financial-sector behavior.</w:t>
      </w:r>
    </w:p>
    <w:p>
      <w:pPr>
        <w:spacing w:before="120" w:after="40"/>
      </w:pPr>
      <w:r>
        <w:rPr>
          <w:rFonts w:ascii="DejaVu Sans" w:hAnsi="DejaVu Sans" w:eastAsia="DejaVu Sans"/>
          <w:b/>
          <w:i w:val="0"/>
          <w:color w:val="2F75B5"/>
          <w:sz w:val="23"/>
        </w:rPr>
        <w:t>3.2 Macroeconomic enrichment data</w:t>
      </w:r>
    </w:p>
    <w:p>
      <w:r>
        <w:rPr>
          <w:rFonts w:ascii="DejaVu Sans" w:hAnsi="DejaVu Sans" w:eastAsia="DejaVu Sans"/>
          <w:b w:val="0"/>
          <w:i w:val="0"/>
          <w:sz w:val="21"/>
        </w:rPr>
        <w:t>Macroeconomic variables are collected from TCMB EVDS through evdspy.</w:t>
      </w:r>
    </w:p>
    <w:p>
      <w:r>
        <w:rPr>
          <w:rFonts w:ascii="DejaVu Sans" w:hAnsi="DejaVu Sans" w:eastAsia="DejaVu Sans"/>
          <w:b w:val="0"/>
          <w:i w:val="0"/>
          <w:sz w:val="21"/>
        </w:rPr>
        <w:t>Main variables:</w:t>
      </w:r>
    </w:p>
    <w:p>
      <w:pPr>
        <w:pStyle w:val="ListBullet"/>
      </w:pPr>
      <w:r>
        <w:rPr>
          <w:rFonts w:ascii="DejaVu Sans" w:hAnsi="DejaVu Sans" w:eastAsia="DejaVu Sans"/>
          <w:b w:val="0"/>
          <w:i w:val="0"/>
          <w:sz w:val="21"/>
        </w:rPr>
        <w:t>CPI: Consumer Price Index</w:t>
      </w:r>
    </w:p>
    <w:p>
      <w:pPr>
        <w:pStyle w:val="ListBullet"/>
      </w:pPr>
      <w:r>
        <w:rPr>
          <w:rFonts w:ascii="DejaVu Sans" w:hAnsi="DejaVu Sans" w:eastAsia="DejaVu Sans"/>
          <w:b w:val="0"/>
          <w:i w:val="0"/>
          <w:sz w:val="21"/>
        </w:rPr>
        <w:t>PolicyRate: policy interest rate</w:t>
      </w:r>
    </w:p>
    <w:p>
      <w:pPr>
        <w:pStyle w:val="ListBullet"/>
      </w:pPr>
      <w:r>
        <w:rPr>
          <w:rFonts w:ascii="DejaVu Sans" w:hAnsi="DejaVu Sans" w:eastAsia="DejaVu Sans"/>
          <w:b w:val="0"/>
          <w:i w:val="0"/>
          <w:sz w:val="21"/>
        </w:rPr>
        <w:t>USD_TRY: USD/TRY exchange rate</w:t>
      </w:r>
    </w:p>
    <w:p>
      <w:r>
        <w:rPr>
          <w:rFonts w:ascii="DejaVu Sans" w:hAnsi="DejaVu Sans" w:eastAsia="DejaVu Sans"/>
          <w:b w:val="0"/>
          <w:i w:val="0"/>
          <w:sz w:val="21"/>
        </w:rPr>
        <w:t>These variables represent inflation, monetary policy, and exchange-rate pressure. They are used to test whether macroeconomic context improves the analysis of BIST 100 returns.</w:t>
      </w:r>
    </w:p>
    <w:p>
      <w:pPr>
        <w:spacing w:before="200" w:after="60"/>
      </w:pPr>
      <w:r>
        <w:rPr>
          <w:rFonts w:ascii="DejaVu Sans" w:hAnsi="DejaVu Sans" w:eastAsia="DejaVu Sans"/>
          <w:b/>
          <w:i w:val="0"/>
          <w:color w:val="1F4E79"/>
          <w:sz w:val="26"/>
        </w:rPr>
        <w:t>4. Dataset construction</w:t>
      </w:r>
    </w:p>
    <w:p>
      <w:r>
        <w:rPr>
          <w:rFonts w:ascii="DejaVu Sans" w:hAnsi="DejaVu Sans" w:eastAsia="DejaVu Sans"/>
          <w:b w:val="0"/>
          <w:i w:val="0"/>
          <w:sz w:val="21"/>
        </w:rPr>
        <w:t>The expected dataset is:</w:t>
      </w:r>
    </w:p>
    <w:p>
      <w:r>
        <w:rPr>
          <w:rFonts w:ascii="DejaVu Sans" w:hAnsi="DejaVu Sans" w:eastAsia="DejaVu Sans"/>
          <w:b w:val="0"/>
          <w:i w:val="0"/>
          <w:sz w:val="21"/>
        </w:rPr>
        <w:t>data/enriched_bist_data.csv</w:t>
      </w:r>
    </w:p>
    <w:p>
      <w:r>
        <w:rPr>
          <w:rFonts w:ascii="DejaVu Sans" w:hAnsi="DejaVu Sans" w:eastAsia="DejaVu Sans"/>
          <w:b w:val="0"/>
          <w:i w:val="0"/>
          <w:sz w:val="21"/>
        </w:rPr>
        <w:t>Required columns:</w:t>
      </w:r>
    </w:p>
    <w:p>
      <w:r>
        <w:rPr>
          <w:rFonts w:ascii="DejaVu Sans" w:hAnsi="DejaVu Sans" w:eastAsia="DejaVu Sans"/>
          <w:b w:val="0"/>
          <w:i w:val="0"/>
          <w:sz w:val="21"/>
        </w:rPr>
        <w:t>Date, XU100, GARAN, CPI, PolicyRate, USD_TRY</w:t>
      </w:r>
    </w:p>
    <w:p>
      <w:r>
        <w:rPr>
          <w:rFonts w:ascii="DejaVu Sans" w:hAnsi="DejaVu Sans" w:eastAsia="DejaVu Sans"/>
          <w:b w:val="0"/>
          <w:i w:val="0"/>
          <w:sz w:val="21"/>
        </w:rPr>
        <w:t>Before statistical testing and modeling, the raw variables are transformed into returns or first differences:</w:t>
      </w:r>
    </w:p>
    <w:p>
      <w:pPr>
        <w:pStyle w:val="ListBullet"/>
      </w:pPr>
      <w:r>
        <w:rPr>
          <w:rFonts w:ascii="DejaVu Sans" w:hAnsi="DejaVu Sans" w:eastAsia="DejaVu Sans"/>
          <w:b w:val="0"/>
          <w:i w:val="0"/>
          <w:sz w:val="21"/>
        </w:rPr>
        <w:t>XU100_Return: daily percentage return of BIST 100</w:t>
      </w:r>
    </w:p>
    <w:p>
      <w:pPr>
        <w:pStyle w:val="ListBullet"/>
      </w:pPr>
      <w:r>
        <w:rPr>
          <w:rFonts w:ascii="DejaVu Sans" w:hAnsi="DejaVu Sans" w:eastAsia="DejaVu Sans"/>
          <w:b w:val="0"/>
          <w:i w:val="0"/>
          <w:sz w:val="21"/>
        </w:rPr>
        <w:t>GARAN_Return: daily percentage return of GARAN</w:t>
      </w:r>
    </w:p>
    <w:p>
      <w:pPr>
        <w:pStyle w:val="ListBullet"/>
      </w:pPr>
      <w:r>
        <w:rPr>
          <w:rFonts w:ascii="DejaVu Sans" w:hAnsi="DejaVu Sans" w:eastAsia="DejaVu Sans"/>
          <w:b w:val="0"/>
          <w:i w:val="0"/>
          <w:sz w:val="21"/>
        </w:rPr>
        <w:t>USD_TRY_Return: daily percentage change in USD/TRY</w:t>
      </w:r>
    </w:p>
    <w:p>
      <w:pPr>
        <w:pStyle w:val="ListBullet"/>
      </w:pPr>
      <w:r>
        <w:rPr>
          <w:rFonts w:ascii="DejaVu Sans" w:hAnsi="DejaVu Sans" w:eastAsia="DejaVu Sans"/>
          <w:b w:val="0"/>
          <w:i w:val="0"/>
          <w:sz w:val="21"/>
        </w:rPr>
        <w:t>CPI_Diff: first difference of CPI</w:t>
      </w:r>
    </w:p>
    <w:p>
      <w:pPr>
        <w:pStyle w:val="ListBullet"/>
      </w:pPr>
      <w:r>
        <w:rPr>
          <w:rFonts w:ascii="DejaVu Sans" w:hAnsi="DejaVu Sans" w:eastAsia="DejaVu Sans"/>
          <w:b w:val="0"/>
          <w:i w:val="0"/>
          <w:sz w:val="21"/>
        </w:rPr>
        <w:t>PolicyRate_Diff: first difference of policy rate</w:t>
      </w:r>
    </w:p>
    <w:p>
      <w:r>
        <w:rPr>
          <w:rFonts w:ascii="DejaVu Sans" w:hAnsi="DejaVu Sans" w:eastAsia="DejaVu Sans"/>
          <w:b w:val="0"/>
          <w:i w:val="0"/>
          <w:sz w:val="21"/>
        </w:rPr>
        <w:t>This transformation is important because raw market prices and macroeconomic level variables often contain trends. Working with changes helps reduce misleading relationships caused only by long-term upward or downward movement.</w:t>
      </w:r>
    </w:p>
    <w:p>
      <w:pPr>
        <w:spacing w:before="200" w:after="60"/>
      </w:pPr>
      <w:r>
        <w:rPr>
          <w:rFonts w:ascii="DejaVu Sans" w:hAnsi="DejaVu Sans" w:eastAsia="DejaVu Sans"/>
          <w:b/>
          <w:i w:val="0"/>
          <w:color w:val="1F4E79"/>
          <w:sz w:val="26"/>
        </w:rPr>
        <w:t>5. Exploratory data analysis</w:t>
      </w:r>
    </w:p>
    <w:p>
      <w:r>
        <w:rPr>
          <w:rFonts w:ascii="DejaVu Sans" w:hAnsi="DejaVu Sans" w:eastAsia="DejaVu Sans"/>
          <w:b w:val="0"/>
          <w:i w:val="0"/>
          <w:sz w:val="21"/>
        </w:rPr>
        <w:t>The EDA stage will examine both the raw variables and the transformed variables. The purpose is to understand the dataset before moving into formal tests and ML models.</w:t>
      </w:r>
    </w:p>
    <w:p>
      <w:r>
        <w:rPr>
          <w:rFonts w:ascii="DejaVu Sans" w:hAnsi="DejaVu Sans" w:eastAsia="DejaVu Sans"/>
          <w:b w:val="0"/>
          <w:i w:val="0"/>
          <w:sz w:val="21"/>
        </w:rPr>
        <w:t>The EDA includes:</w:t>
      </w:r>
    </w:p>
    <w:p>
      <w:pPr>
        <w:pStyle w:val="ListBullet"/>
      </w:pPr>
      <w:r>
        <w:rPr>
          <w:rFonts w:ascii="DejaVu Sans" w:hAnsi="DejaVu Sans" w:eastAsia="DejaVu Sans"/>
          <w:b w:val="0"/>
          <w:i w:val="0"/>
          <w:sz w:val="21"/>
        </w:rPr>
        <w:t>Summary statistics</w:t>
      </w:r>
    </w:p>
    <w:p>
      <w:pPr>
        <w:pStyle w:val="ListBullet"/>
      </w:pPr>
      <w:r>
        <w:rPr>
          <w:rFonts w:ascii="DejaVu Sans" w:hAnsi="DejaVu Sans" w:eastAsia="DejaVu Sans"/>
          <w:b w:val="0"/>
          <w:i w:val="0"/>
          <w:sz w:val="21"/>
        </w:rPr>
        <w:t>Missing value analysis</w:t>
      </w:r>
    </w:p>
    <w:p>
      <w:pPr>
        <w:pStyle w:val="ListBullet"/>
      </w:pPr>
      <w:r>
        <w:rPr>
          <w:rFonts w:ascii="DejaVu Sans" w:hAnsi="DejaVu Sans" w:eastAsia="DejaVu Sans"/>
          <w:b w:val="0"/>
          <w:i w:val="0"/>
          <w:sz w:val="21"/>
        </w:rPr>
        <w:t>Time-series plots of market and macro variables</w:t>
      </w:r>
    </w:p>
    <w:p>
      <w:pPr>
        <w:pStyle w:val="ListBullet"/>
      </w:pPr>
      <w:r>
        <w:rPr>
          <w:rFonts w:ascii="DejaVu Sans" w:hAnsi="DejaVu Sans" w:eastAsia="DejaVu Sans"/>
          <w:b w:val="0"/>
          <w:i w:val="0"/>
          <w:sz w:val="21"/>
        </w:rPr>
        <w:t>Normalized comparison of market and macro series</w:t>
      </w:r>
    </w:p>
    <w:p>
      <w:pPr>
        <w:pStyle w:val="ListBullet"/>
      </w:pPr>
      <w:r>
        <w:rPr>
          <w:rFonts w:ascii="DejaVu Sans" w:hAnsi="DejaVu Sans" w:eastAsia="DejaVu Sans"/>
          <w:b w:val="0"/>
          <w:i w:val="0"/>
          <w:sz w:val="21"/>
        </w:rPr>
        <w:t>BIST 100 return distribution</w:t>
      </w:r>
    </w:p>
    <w:p>
      <w:pPr>
        <w:pStyle w:val="ListBullet"/>
      </w:pPr>
      <w:r>
        <w:rPr>
          <w:rFonts w:ascii="DejaVu Sans" w:hAnsi="DejaVu Sans" w:eastAsia="DejaVu Sans"/>
          <w:b w:val="0"/>
          <w:i w:val="0"/>
          <w:sz w:val="21"/>
        </w:rPr>
        <w:t>Rolling volatility of BIST 100 returns</w:t>
      </w:r>
    </w:p>
    <w:p>
      <w:pPr>
        <w:pStyle w:val="ListBullet"/>
      </w:pPr>
      <w:r>
        <w:rPr>
          <w:rFonts w:ascii="DejaVu Sans" w:hAnsi="DejaVu Sans" w:eastAsia="DejaVu Sans"/>
          <w:b w:val="0"/>
          <w:i w:val="0"/>
          <w:sz w:val="21"/>
        </w:rPr>
        <w:t>Correlation heatmap using transformed variables</w:t>
      </w:r>
    </w:p>
    <w:p>
      <w:pPr>
        <w:pStyle w:val="ListBullet"/>
      </w:pPr>
      <w:r>
        <w:rPr>
          <w:rFonts w:ascii="DejaVu Sans" w:hAnsi="DejaVu Sans" w:eastAsia="DejaVu Sans"/>
          <w:b w:val="0"/>
          <w:i w:val="0"/>
          <w:sz w:val="21"/>
        </w:rPr>
        <w:t>Scatter plots between macroeconomic changes and BIST 100 returns</w:t>
      </w:r>
    </w:p>
    <w:p>
      <w:pPr>
        <w:pStyle w:val="ListBullet"/>
      </w:pPr>
      <w:r>
        <w:rPr>
          <w:rFonts w:ascii="DejaVu Sans" w:hAnsi="DejaVu Sans" w:eastAsia="DejaVu Sans"/>
          <w:b w:val="0"/>
          <w:i w:val="0"/>
          <w:sz w:val="21"/>
        </w:rPr>
        <w:t>Yearly distribution of BIST 100 daily returns</w:t>
      </w:r>
    </w:p>
    <w:p>
      <w:r>
        <w:rPr>
          <w:rFonts w:ascii="DejaVu Sans" w:hAnsi="DejaVu Sans" w:eastAsia="DejaVu Sans"/>
          <w:b w:val="0"/>
          <w:i w:val="0"/>
          <w:sz w:val="21"/>
        </w:rPr>
        <w:t>Each visualization is accompanied by written commentary so that the notebook shows not only the output but also the reasoning behind it.</w:t>
      </w:r>
    </w:p>
    <w:p>
      <w:pPr>
        <w:spacing w:before="200" w:after="60"/>
      </w:pPr>
      <w:r>
        <w:rPr>
          <w:rFonts w:ascii="DejaVu Sans" w:hAnsi="DejaVu Sans" w:eastAsia="DejaVu Sans"/>
          <w:b/>
          <w:i w:val="0"/>
          <w:color w:val="1F4E79"/>
          <w:sz w:val="26"/>
        </w:rPr>
        <w:t>6. Hypothesis testing</w:t>
      </w:r>
    </w:p>
    <w:p>
      <w:r>
        <w:rPr>
          <w:rFonts w:ascii="DejaVu Sans" w:hAnsi="DejaVu Sans" w:eastAsia="DejaVu Sans"/>
          <w:b w:val="0"/>
          <w:i w:val="0"/>
          <w:sz w:val="21"/>
        </w:rPr>
        <w:t>The project uses three statistical tests.</w:t>
      </w:r>
    </w:p>
    <w:p>
      <w:pPr>
        <w:spacing w:before="120" w:after="40"/>
      </w:pPr>
      <w:r>
        <w:rPr>
          <w:rFonts w:ascii="DejaVu Sans" w:hAnsi="DejaVu Sans" w:eastAsia="DejaVu Sans"/>
          <w:b/>
          <w:i w:val="0"/>
          <w:color w:val="2F75B5"/>
          <w:sz w:val="23"/>
        </w:rPr>
        <w:t>6.1 ADF stationarity test</w:t>
      </w:r>
    </w:p>
    <w:p>
      <w:r>
        <w:rPr>
          <w:rFonts w:ascii="DejaVu Sans" w:hAnsi="DejaVu Sans" w:eastAsia="DejaVu Sans"/>
          <w:b w:val="0"/>
          <w:i w:val="0"/>
          <w:sz w:val="21"/>
        </w:rPr>
        <w:t>The Augmented Dickey-Fuller test is used to check whether the transformed variables are stationary.</w:t>
      </w:r>
    </w:p>
    <w:p>
      <w:pPr>
        <w:pStyle w:val="ListBullet"/>
      </w:pPr>
      <w:r>
        <w:rPr>
          <w:rFonts w:ascii="DejaVu Sans" w:hAnsi="DejaVu Sans" w:eastAsia="DejaVu Sans"/>
          <w:b w:val="0"/>
          <w:i w:val="0"/>
          <w:sz w:val="21"/>
        </w:rPr>
        <w:t>Null hypothesis: the series is non-stationary.</w:t>
      </w:r>
    </w:p>
    <w:p>
      <w:pPr>
        <w:pStyle w:val="ListBullet"/>
      </w:pPr>
      <w:r>
        <w:rPr>
          <w:rFonts w:ascii="DejaVu Sans" w:hAnsi="DejaVu Sans" w:eastAsia="DejaVu Sans"/>
          <w:b w:val="0"/>
          <w:i w:val="0"/>
          <w:sz w:val="21"/>
        </w:rPr>
        <w:t>Alternative hypothesis: the series is stationary.</w:t>
      </w:r>
    </w:p>
    <w:p>
      <w:r>
        <w:rPr>
          <w:rFonts w:ascii="DejaVu Sans" w:hAnsi="DejaVu Sans" w:eastAsia="DejaVu Sans"/>
          <w:b w:val="0"/>
          <w:i w:val="0"/>
          <w:sz w:val="21"/>
        </w:rPr>
        <w:t>Stationarity matters because several time-series methods can be misleading when variables contain strong trends.</w:t>
      </w:r>
    </w:p>
    <w:p>
      <w:pPr>
        <w:spacing w:before="120" w:after="40"/>
      </w:pPr>
      <w:r>
        <w:rPr>
          <w:rFonts w:ascii="DejaVu Sans" w:hAnsi="DejaVu Sans" w:eastAsia="DejaVu Sans"/>
          <w:b/>
          <w:i w:val="0"/>
          <w:color w:val="2F75B5"/>
          <w:sz w:val="23"/>
        </w:rPr>
        <w:t>6.2 Pearson correlation test</w:t>
      </w:r>
    </w:p>
    <w:p>
      <w:r>
        <w:rPr>
          <w:rFonts w:ascii="DejaVu Sans" w:hAnsi="DejaVu Sans" w:eastAsia="DejaVu Sans"/>
          <w:b w:val="0"/>
          <w:i w:val="0"/>
          <w:sz w:val="21"/>
        </w:rPr>
        <w:t>Pearson correlation is used to test whether transformed macroeconomic variables have statistically significant linear relationships with BIST 100 daily returns.</w:t>
      </w:r>
    </w:p>
    <w:p>
      <w:pPr>
        <w:pStyle w:val="ListBullet"/>
      </w:pPr>
      <w:r>
        <w:rPr>
          <w:rFonts w:ascii="DejaVu Sans" w:hAnsi="DejaVu Sans" w:eastAsia="DejaVu Sans"/>
          <w:b w:val="0"/>
          <w:i w:val="0"/>
          <w:sz w:val="21"/>
        </w:rPr>
        <w:t>Null hypothesis: there is no statistically significant linear relationship.</w:t>
      </w:r>
    </w:p>
    <w:p>
      <w:pPr>
        <w:pStyle w:val="ListBullet"/>
      </w:pPr>
      <w:r>
        <w:rPr>
          <w:rFonts w:ascii="DejaVu Sans" w:hAnsi="DejaVu Sans" w:eastAsia="DejaVu Sans"/>
          <w:b w:val="0"/>
          <w:i w:val="0"/>
          <w:sz w:val="21"/>
        </w:rPr>
        <w:t>Alternative hypothesis: there is a statistically significant linear relationship.</w:t>
      </w:r>
    </w:p>
    <w:p>
      <w:r>
        <w:rPr>
          <w:rFonts w:ascii="DejaVu Sans" w:hAnsi="DejaVu Sans" w:eastAsia="DejaVu Sans"/>
          <w:b w:val="0"/>
          <w:i w:val="0"/>
          <w:sz w:val="21"/>
        </w:rPr>
        <w:t>The variables are aligned by date before testing.</w:t>
      </w:r>
    </w:p>
    <w:p>
      <w:pPr>
        <w:spacing w:before="120" w:after="40"/>
      </w:pPr>
      <w:r>
        <w:rPr>
          <w:rFonts w:ascii="DejaVu Sans" w:hAnsi="DejaVu Sans" w:eastAsia="DejaVu Sans"/>
          <w:b/>
          <w:i w:val="0"/>
          <w:color w:val="2F75B5"/>
          <w:sz w:val="23"/>
        </w:rPr>
        <w:t>6.3 Granger causality test</w:t>
      </w:r>
    </w:p>
    <w:p>
      <w:r>
        <w:rPr>
          <w:rFonts w:ascii="DejaVu Sans" w:hAnsi="DejaVu Sans" w:eastAsia="DejaVu Sans"/>
          <w:b w:val="0"/>
          <w:i w:val="0"/>
          <w:sz w:val="21"/>
        </w:rPr>
        <w:t>Granger causality is used to test whether past macroeconomic values contain predictive information for BIST 100 returns.</w:t>
      </w:r>
    </w:p>
    <w:p>
      <w:pPr>
        <w:pStyle w:val="ListBullet"/>
      </w:pPr>
      <w:r>
        <w:rPr>
          <w:rFonts w:ascii="DejaVu Sans" w:hAnsi="DejaVu Sans" w:eastAsia="DejaVu Sans"/>
          <w:b w:val="0"/>
          <w:i w:val="0"/>
          <w:sz w:val="21"/>
        </w:rPr>
        <w:t>Null hypothesis: the macro variable does not Granger-cause BIST 100 returns.</w:t>
      </w:r>
    </w:p>
    <w:p>
      <w:pPr>
        <w:pStyle w:val="ListBullet"/>
      </w:pPr>
      <w:r>
        <w:rPr>
          <w:rFonts w:ascii="DejaVu Sans" w:hAnsi="DejaVu Sans" w:eastAsia="DejaVu Sans"/>
          <w:b w:val="0"/>
          <w:i w:val="0"/>
          <w:sz w:val="21"/>
        </w:rPr>
        <w:t>Alternative hypothesis: the macro variable provides predictive information for BIST 100 returns.</w:t>
      </w:r>
    </w:p>
    <w:p>
      <w:r>
        <w:rPr>
          <w:rFonts w:ascii="DejaVu Sans" w:hAnsi="DejaVu Sans" w:eastAsia="DejaVu Sans"/>
          <w:b w:val="0"/>
          <w:i w:val="0"/>
          <w:sz w:val="21"/>
        </w:rPr>
        <w:t>This test is interpreted carefully. Granger causality does not prove true economic causality; it only tests whether one series helps predict another series.</w:t>
      </w:r>
    </w:p>
    <w:p>
      <w:pPr>
        <w:spacing w:before="200" w:after="60"/>
      </w:pPr>
      <w:r>
        <w:rPr>
          <w:rFonts w:ascii="DejaVu Sans" w:hAnsi="DejaVu Sans" w:eastAsia="DejaVu Sans"/>
          <w:b/>
          <w:i w:val="0"/>
          <w:color w:val="1F4E79"/>
          <w:sz w:val="26"/>
        </w:rPr>
        <w:t>7. Machine-learning methodology</w:t>
      </w:r>
    </w:p>
    <w:p>
      <w:r>
        <w:rPr>
          <w:rFonts w:ascii="DejaVu Sans" w:hAnsi="DejaVu Sans" w:eastAsia="DejaVu Sans"/>
          <w:b w:val="0"/>
          <w:i w:val="0"/>
          <w:sz w:val="21"/>
        </w:rPr>
        <w:t>The ML stage compares baseline market-only models with macro-enriched models.</w:t>
      </w:r>
    </w:p>
    <w:p>
      <w:pPr>
        <w:spacing w:before="120" w:after="40"/>
      </w:pPr>
      <w:r>
        <w:rPr>
          <w:rFonts w:ascii="DejaVu Sans" w:hAnsi="DejaVu Sans" w:eastAsia="DejaVu Sans"/>
          <w:b/>
          <w:i w:val="0"/>
          <w:color w:val="2F75B5"/>
          <w:sz w:val="23"/>
        </w:rPr>
        <w:t>7.1 Prediction target</w:t>
      </w:r>
    </w:p>
    <w:p>
      <w:r>
        <w:rPr>
          <w:rFonts w:ascii="DejaVu Sans" w:hAnsi="DejaVu Sans" w:eastAsia="DejaVu Sans"/>
          <w:b w:val="0"/>
          <w:i w:val="0"/>
          <w:sz w:val="21"/>
        </w:rPr>
        <w:t>The main task is classification. The target is next-day BIST 100 direction:</w:t>
      </w:r>
    </w:p>
    <w:p>
      <w:pPr>
        <w:pStyle w:val="ListBullet"/>
      </w:pPr>
      <w:r>
        <w:rPr>
          <w:rFonts w:ascii="DejaVu Sans" w:hAnsi="DejaVu Sans" w:eastAsia="DejaVu Sans"/>
          <w:b w:val="0"/>
          <w:i w:val="0"/>
          <w:sz w:val="21"/>
        </w:rPr>
        <w:t>1: next-day BIST 100 return is positive</w:t>
      </w:r>
    </w:p>
    <w:p>
      <w:pPr>
        <w:pStyle w:val="ListBullet"/>
      </w:pPr>
      <w:r>
        <w:rPr>
          <w:rFonts w:ascii="DejaVu Sans" w:hAnsi="DejaVu Sans" w:eastAsia="DejaVu Sans"/>
          <w:b w:val="0"/>
          <w:i w:val="0"/>
          <w:sz w:val="21"/>
        </w:rPr>
        <w:t>0: next-day BIST 100 return is zero or negative</w:t>
      </w:r>
    </w:p>
    <w:p>
      <w:r>
        <w:rPr>
          <w:rFonts w:ascii="DejaVu Sans" w:hAnsi="DejaVu Sans" w:eastAsia="DejaVu Sans"/>
          <w:b w:val="0"/>
          <w:i w:val="0"/>
          <w:sz w:val="21"/>
        </w:rPr>
        <w:t>This target is more appropriate than raw price prediction because raw stock prices are usually non-stationary. Direction prediction gives a clearer way to test whether macroeconomic variables add useful information.</w:t>
      </w:r>
    </w:p>
    <w:p>
      <w:r>
        <w:rPr>
          <w:rFonts w:ascii="DejaVu Sans" w:hAnsi="DejaVu Sans" w:eastAsia="DejaVu Sans"/>
          <w:b w:val="0"/>
          <w:i w:val="0"/>
          <w:sz w:val="21"/>
        </w:rPr>
        <w:t>A secondary regression task is also included to predict next-day return magnitude, but the classification task is the main focus.</w:t>
      </w:r>
    </w:p>
    <w:p>
      <w:pPr>
        <w:spacing w:before="120" w:after="40"/>
      </w:pPr>
      <w:r>
        <w:rPr>
          <w:rFonts w:ascii="DejaVu Sans" w:hAnsi="DejaVu Sans" w:eastAsia="DejaVu Sans"/>
          <w:b/>
          <w:i w:val="0"/>
          <w:color w:val="2F75B5"/>
          <w:sz w:val="23"/>
        </w:rPr>
        <w:t>7.2 Baseline feature set</w:t>
      </w:r>
    </w:p>
    <w:p>
      <w:r>
        <w:rPr>
          <w:rFonts w:ascii="DejaVu Sans" w:hAnsi="DejaVu Sans" w:eastAsia="DejaVu Sans"/>
          <w:b w:val="0"/>
          <w:i w:val="0"/>
          <w:sz w:val="21"/>
        </w:rPr>
        <w:t>The baseline feature set uses only historical market variables:</w:t>
      </w:r>
    </w:p>
    <w:p>
      <w:pPr>
        <w:pStyle w:val="ListBullet"/>
      </w:pPr>
      <w:r>
        <w:rPr>
          <w:rFonts w:ascii="DejaVu Sans" w:hAnsi="DejaVu Sans" w:eastAsia="DejaVu Sans"/>
          <w:b w:val="0"/>
          <w:i w:val="0"/>
          <w:sz w:val="21"/>
        </w:rPr>
        <w:t>Lagged BIST 100 returns</w:t>
      </w:r>
    </w:p>
    <w:p>
      <w:pPr>
        <w:pStyle w:val="ListBullet"/>
      </w:pPr>
      <w:r>
        <w:rPr>
          <w:rFonts w:ascii="DejaVu Sans" w:hAnsi="DejaVu Sans" w:eastAsia="DejaVu Sans"/>
          <w:b w:val="0"/>
          <w:i w:val="0"/>
          <w:sz w:val="21"/>
        </w:rPr>
        <w:t>Lagged GARAN returns</w:t>
      </w:r>
    </w:p>
    <w:p>
      <w:pPr>
        <w:pStyle w:val="ListBullet"/>
      </w:pPr>
      <w:r>
        <w:rPr>
          <w:rFonts w:ascii="DejaVu Sans" w:hAnsi="DejaVu Sans" w:eastAsia="DejaVu Sans"/>
          <w:b w:val="0"/>
          <w:i w:val="0"/>
          <w:sz w:val="21"/>
        </w:rPr>
        <w:t>BIST 100 rolling mean</w:t>
      </w:r>
    </w:p>
    <w:p>
      <w:pPr>
        <w:pStyle w:val="ListBullet"/>
      </w:pPr>
      <w:r>
        <w:rPr>
          <w:rFonts w:ascii="DejaVu Sans" w:hAnsi="DejaVu Sans" w:eastAsia="DejaVu Sans"/>
          <w:b w:val="0"/>
          <w:i w:val="0"/>
          <w:sz w:val="21"/>
        </w:rPr>
        <w:t>BIST 100 rolling volatility</w:t>
      </w:r>
    </w:p>
    <w:p>
      <w:pPr>
        <w:spacing w:before="120" w:after="40"/>
      </w:pPr>
      <w:r>
        <w:rPr>
          <w:rFonts w:ascii="DejaVu Sans" w:hAnsi="DejaVu Sans" w:eastAsia="DejaVu Sans"/>
          <w:b/>
          <w:i w:val="0"/>
          <w:color w:val="2F75B5"/>
          <w:sz w:val="23"/>
        </w:rPr>
        <w:t>7.3 Macro-enriched feature set</w:t>
      </w:r>
    </w:p>
    <w:p>
      <w:r>
        <w:rPr>
          <w:rFonts w:ascii="DejaVu Sans" w:hAnsi="DejaVu Sans" w:eastAsia="DejaVu Sans"/>
          <w:b w:val="0"/>
          <w:i w:val="0"/>
          <w:sz w:val="21"/>
        </w:rPr>
        <w:t>The macro-enriched feature set adds lagged macroeconomic variables:</w:t>
      </w:r>
    </w:p>
    <w:p>
      <w:pPr>
        <w:pStyle w:val="ListBullet"/>
      </w:pPr>
      <w:r>
        <w:rPr>
          <w:rFonts w:ascii="DejaVu Sans" w:hAnsi="DejaVu Sans" w:eastAsia="DejaVu Sans"/>
          <w:b w:val="0"/>
          <w:i w:val="0"/>
          <w:sz w:val="21"/>
        </w:rPr>
        <w:t>Lagged USD/TRY returns</w:t>
      </w:r>
    </w:p>
    <w:p>
      <w:pPr>
        <w:pStyle w:val="ListBullet"/>
      </w:pPr>
      <w:r>
        <w:rPr>
          <w:rFonts w:ascii="DejaVu Sans" w:hAnsi="DejaVu Sans" w:eastAsia="DejaVu Sans"/>
          <w:b w:val="0"/>
          <w:i w:val="0"/>
          <w:sz w:val="21"/>
        </w:rPr>
        <w:t>Lagged CPI changes</w:t>
      </w:r>
    </w:p>
    <w:p>
      <w:pPr>
        <w:pStyle w:val="ListBullet"/>
      </w:pPr>
      <w:r>
        <w:rPr>
          <w:rFonts w:ascii="DejaVu Sans" w:hAnsi="DejaVu Sans" w:eastAsia="DejaVu Sans"/>
          <w:b w:val="0"/>
          <w:i w:val="0"/>
          <w:sz w:val="21"/>
        </w:rPr>
        <w:t>Lagged policy-rate changes</w:t>
      </w:r>
    </w:p>
    <w:p>
      <w:r>
        <w:rPr>
          <w:rFonts w:ascii="DejaVu Sans" w:hAnsi="DejaVu Sans" w:eastAsia="DejaVu Sans"/>
          <w:b w:val="0"/>
          <w:i w:val="0"/>
          <w:sz w:val="21"/>
        </w:rPr>
        <w:t>This setup directly tests whether TCMB EVDS variables add predictive value beyond market history.</w:t>
      </w:r>
    </w:p>
    <w:p>
      <w:pPr>
        <w:spacing w:before="120" w:after="40"/>
      </w:pPr>
      <w:r>
        <w:rPr>
          <w:rFonts w:ascii="DejaVu Sans" w:hAnsi="DejaVu Sans" w:eastAsia="DejaVu Sans"/>
          <w:b/>
          <w:i w:val="0"/>
          <w:color w:val="2F75B5"/>
          <w:sz w:val="23"/>
        </w:rPr>
        <w:t>7.4 Models</w:t>
      </w:r>
    </w:p>
    <w:p>
      <w:r>
        <w:rPr>
          <w:rFonts w:ascii="DejaVu Sans" w:hAnsi="DejaVu Sans" w:eastAsia="DejaVu Sans"/>
          <w:b w:val="0"/>
          <w:i w:val="0"/>
          <w:sz w:val="21"/>
        </w:rPr>
        <w:t>Classification models:</w:t>
      </w:r>
    </w:p>
    <w:p>
      <w:pPr>
        <w:pStyle w:val="ListBullet"/>
      </w:pPr>
      <w:r>
        <w:rPr>
          <w:rFonts w:ascii="DejaVu Sans" w:hAnsi="DejaVu Sans" w:eastAsia="DejaVu Sans"/>
          <w:b w:val="0"/>
          <w:i w:val="0"/>
          <w:sz w:val="21"/>
        </w:rPr>
        <w:t>Dummy Classifier</w:t>
      </w:r>
    </w:p>
    <w:p>
      <w:pPr>
        <w:pStyle w:val="ListBullet"/>
      </w:pPr>
      <w:r>
        <w:rPr>
          <w:rFonts w:ascii="DejaVu Sans" w:hAnsi="DejaVu Sans" w:eastAsia="DejaVu Sans"/>
          <w:b w:val="0"/>
          <w:i w:val="0"/>
          <w:sz w:val="21"/>
        </w:rPr>
        <w:t>Logistic Regression</w:t>
      </w:r>
    </w:p>
    <w:p>
      <w:pPr>
        <w:pStyle w:val="ListBullet"/>
      </w:pPr>
      <w:r>
        <w:rPr>
          <w:rFonts w:ascii="DejaVu Sans" w:hAnsi="DejaVu Sans" w:eastAsia="DejaVu Sans"/>
          <w:b w:val="0"/>
          <w:i w:val="0"/>
          <w:sz w:val="21"/>
        </w:rPr>
        <w:t>Random Forest Classifier</w:t>
      </w:r>
    </w:p>
    <w:p>
      <w:pPr>
        <w:pStyle w:val="ListBullet"/>
      </w:pPr>
      <w:r>
        <w:rPr>
          <w:rFonts w:ascii="DejaVu Sans" w:hAnsi="DejaVu Sans" w:eastAsia="DejaVu Sans"/>
          <w:b w:val="0"/>
          <w:i w:val="0"/>
          <w:sz w:val="21"/>
        </w:rPr>
        <w:t>Gradient Boosting Classifier</w:t>
      </w:r>
    </w:p>
    <w:p>
      <w:r>
        <w:rPr>
          <w:rFonts w:ascii="DejaVu Sans" w:hAnsi="DejaVu Sans" w:eastAsia="DejaVu Sans"/>
          <w:b w:val="0"/>
          <w:i w:val="0"/>
          <w:sz w:val="21"/>
        </w:rPr>
        <w:t>Secondary regression models:</w:t>
      </w:r>
    </w:p>
    <w:p>
      <w:pPr>
        <w:pStyle w:val="ListBullet"/>
      </w:pPr>
      <w:r>
        <w:rPr>
          <w:rFonts w:ascii="DejaVu Sans" w:hAnsi="DejaVu Sans" w:eastAsia="DejaVu Sans"/>
          <w:b w:val="0"/>
          <w:i w:val="0"/>
          <w:sz w:val="21"/>
        </w:rPr>
        <w:t>Ridge Regression</w:t>
      </w:r>
    </w:p>
    <w:p>
      <w:pPr>
        <w:pStyle w:val="ListBullet"/>
      </w:pPr>
      <w:r>
        <w:rPr>
          <w:rFonts w:ascii="DejaVu Sans" w:hAnsi="DejaVu Sans" w:eastAsia="DejaVu Sans"/>
          <w:b w:val="0"/>
          <w:i w:val="0"/>
          <w:sz w:val="21"/>
        </w:rPr>
        <w:t>Random Forest Regressor</w:t>
      </w:r>
    </w:p>
    <w:p>
      <w:r>
        <w:rPr>
          <w:rFonts w:ascii="DejaVu Sans" w:hAnsi="DejaVu Sans" w:eastAsia="DejaVu Sans"/>
          <w:b w:val="0"/>
          <w:i w:val="0"/>
          <w:sz w:val="21"/>
        </w:rPr>
        <w:t>The Dummy Classifier is included as a simple benchmark. The other models are used to compare linear and nonlinear approaches.</w:t>
      </w:r>
    </w:p>
    <w:p>
      <w:pPr>
        <w:spacing w:before="120" w:after="40"/>
      </w:pPr>
      <w:r>
        <w:rPr>
          <w:rFonts w:ascii="DejaVu Sans" w:hAnsi="DejaVu Sans" w:eastAsia="DejaVu Sans"/>
          <w:b/>
          <w:i w:val="0"/>
          <w:color w:val="2F75B5"/>
          <w:sz w:val="23"/>
        </w:rPr>
        <w:t>7.5 Validation</w:t>
      </w:r>
    </w:p>
    <w:p>
      <w:r>
        <w:rPr>
          <w:rFonts w:ascii="DejaVu Sans" w:hAnsi="DejaVu Sans" w:eastAsia="DejaVu Sans"/>
          <w:b w:val="0"/>
          <w:i w:val="0"/>
          <w:sz w:val="21"/>
        </w:rPr>
        <w:t>Because the dataset is time-series data, the project uses a chronological train-test split. The first 80% of observations are used for training, and the last 20% are used for testing.</w:t>
      </w:r>
    </w:p>
    <w:p>
      <w:r>
        <w:rPr>
          <w:rFonts w:ascii="DejaVu Sans" w:hAnsi="DejaVu Sans" w:eastAsia="DejaVu Sans"/>
          <w:b w:val="0"/>
          <w:i w:val="0"/>
          <w:sz w:val="21"/>
        </w:rPr>
        <w:t>This avoids the main problem of random splitting in time-series work: future observations leaking into the training process.</w:t>
      </w:r>
    </w:p>
    <w:p>
      <w:pPr>
        <w:spacing w:before="120" w:after="40"/>
      </w:pPr>
      <w:r>
        <w:rPr>
          <w:rFonts w:ascii="DejaVu Sans" w:hAnsi="DejaVu Sans" w:eastAsia="DejaVu Sans"/>
          <w:b/>
          <w:i w:val="0"/>
          <w:color w:val="2F75B5"/>
          <w:sz w:val="23"/>
        </w:rPr>
        <w:t>7.6 Evaluation metrics</w:t>
      </w:r>
    </w:p>
    <w:p>
      <w:r>
        <w:rPr>
          <w:rFonts w:ascii="DejaVu Sans" w:hAnsi="DejaVu Sans" w:eastAsia="DejaVu Sans"/>
          <w:b w:val="0"/>
          <w:i w:val="0"/>
          <w:sz w:val="21"/>
        </w:rPr>
        <w:t>Classification metrics:</w:t>
      </w:r>
    </w:p>
    <w:p>
      <w:pPr>
        <w:pStyle w:val="ListBullet"/>
      </w:pPr>
      <w:r>
        <w:rPr>
          <w:rFonts w:ascii="DejaVu Sans" w:hAnsi="DejaVu Sans" w:eastAsia="DejaVu Sans"/>
          <w:b w:val="0"/>
          <w:i w:val="0"/>
          <w:sz w:val="21"/>
        </w:rPr>
        <w:t>Accuracy</w:t>
      </w:r>
    </w:p>
    <w:p>
      <w:pPr>
        <w:pStyle w:val="ListBullet"/>
      </w:pPr>
      <w:r>
        <w:rPr>
          <w:rFonts w:ascii="DejaVu Sans" w:hAnsi="DejaVu Sans" w:eastAsia="DejaVu Sans"/>
          <w:b w:val="0"/>
          <w:i w:val="0"/>
          <w:sz w:val="21"/>
        </w:rPr>
        <w:t>Precision</w:t>
      </w:r>
    </w:p>
    <w:p>
      <w:pPr>
        <w:pStyle w:val="ListBullet"/>
      </w:pPr>
      <w:r>
        <w:rPr>
          <w:rFonts w:ascii="DejaVu Sans" w:hAnsi="DejaVu Sans" w:eastAsia="DejaVu Sans"/>
          <w:b w:val="0"/>
          <w:i w:val="0"/>
          <w:sz w:val="21"/>
        </w:rPr>
        <w:t>Recall</w:t>
      </w:r>
    </w:p>
    <w:p>
      <w:pPr>
        <w:pStyle w:val="ListBullet"/>
      </w:pPr>
      <w:r>
        <w:rPr>
          <w:rFonts w:ascii="DejaVu Sans" w:hAnsi="DejaVu Sans" w:eastAsia="DejaVu Sans"/>
          <w:b w:val="0"/>
          <w:i w:val="0"/>
          <w:sz w:val="21"/>
        </w:rPr>
        <w:t>F1-score</w:t>
      </w:r>
    </w:p>
    <w:p>
      <w:pPr>
        <w:pStyle w:val="ListBullet"/>
      </w:pPr>
      <w:r>
        <w:rPr>
          <w:rFonts w:ascii="DejaVu Sans" w:hAnsi="DejaVu Sans" w:eastAsia="DejaVu Sans"/>
          <w:b w:val="0"/>
          <w:i w:val="0"/>
          <w:sz w:val="21"/>
        </w:rPr>
        <w:t>ROC-AUC</w:t>
      </w:r>
    </w:p>
    <w:p>
      <w:r>
        <w:rPr>
          <w:rFonts w:ascii="DejaVu Sans" w:hAnsi="DejaVu Sans" w:eastAsia="DejaVu Sans"/>
          <w:b w:val="0"/>
          <w:i w:val="0"/>
          <w:sz w:val="21"/>
        </w:rPr>
        <w:t>Regression metrics:</w:t>
      </w:r>
    </w:p>
    <w:p>
      <w:pPr>
        <w:pStyle w:val="ListBullet"/>
      </w:pPr>
      <w:r>
        <w:rPr>
          <w:rFonts w:ascii="DejaVu Sans" w:hAnsi="DejaVu Sans" w:eastAsia="DejaVu Sans"/>
          <w:b w:val="0"/>
          <w:i w:val="0"/>
          <w:sz w:val="21"/>
        </w:rPr>
        <w:t>Mean Absolute Error</w:t>
      </w:r>
    </w:p>
    <w:p>
      <w:pPr>
        <w:pStyle w:val="ListBullet"/>
      </w:pPr>
      <w:r>
        <w:rPr>
          <w:rFonts w:ascii="DejaVu Sans" w:hAnsi="DejaVu Sans" w:eastAsia="DejaVu Sans"/>
          <w:b w:val="0"/>
          <w:i w:val="0"/>
          <w:sz w:val="21"/>
        </w:rPr>
        <w:t>Root Mean Squared Error</w:t>
      </w:r>
    </w:p>
    <w:p>
      <w:pPr>
        <w:pStyle w:val="ListBullet"/>
      </w:pPr>
      <w:r>
        <w:rPr>
          <w:rFonts w:ascii="DejaVu Sans" w:hAnsi="DejaVu Sans" w:eastAsia="DejaVu Sans"/>
          <w:b w:val="0"/>
          <w:i w:val="0"/>
          <w:sz w:val="21"/>
        </w:rPr>
        <w:t>R-squared</w:t>
      </w:r>
    </w:p>
    <w:p>
      <w:r>
        <w:rPr>
          <w:rFonts w:ascii="DejaVu Sans" w:hAnsi="DejaVu Sans" w:eastAsia="DejaVu Sans"/>
          <w:b w:val="0"/>
          <w:i w:val="0"/>
          <w:sz w:val="21"/>
        </w:rPr>
        <w:t>The most important comparison is baseline versus macro-enriched model performance, especially F1-score and ROC-AUC.</w:t>
      </w:r>
    </w:p>
    <w:p>
      <w:pPr>
        <w:spacing w:before="200" w:after="60"/>
      </w:pPr>
      <w:r>
        <w:rPr>
          <w:rFonts w:ascii="DejaVu Sans" w:hAnsi="DejaVu Sans" w:eastAsia="DejaVu Sans"/>
          <w:b/>
          <w:i w:val="0"/>
          <w:color w:val="1F4E79"/>
          <w:sz w:val="26"/>
        </w:rPr>
        <w:t>8. Expected contribution</w:t>
      </w:r>
    </w:p>
    <w:p>
      <w:r>
        <w:rPr>
          <w:rFonts w:ascii="DejaVu Sans" w:hAnsi="DejaVu Sans" w:eastAsia="DejaVu Sans"/>
          <w:b w:val="0"/>
          <w:i w:val="0"/>
          <w:sz w:val="21"/>
        </w:rPr>
        <w:t>The contribution of this project is the comparison itself. Instead of only applying ML to stock prices, the project checks whether macroeconomic enrichment changes the quality of the analysis and prediction.</w:t>
      </w:r>
    </w:p>
    <w:p>
      <w:r>
        <w:rPr>
          <w:rFonts w:ascii="DejaVu Sans" w:hAnsi="DejaVu Sans" w:eastAsia="DejaVu Sans"/>
          <w:b w:val="0"/>
          <w:i w:val="0"/>
          <w:sz w:val="21"/>
        </w:rPr>
        <w:t>If macro-enriched models perform better, this suggests that TCMB EVDS variables contain useful predictive information for BIST 100 daily direction. If they do not perform better, that result is still useful because it shows that these macro variables may not improve short-term prediction in this dataset.</w:t>
      </w:r>
    </w:p>
    <w:p>
      <w:pPr>
        <w:spacing w:before="200" w:after="60"/>
      </w:pPr>
      <w:r>
        <w:rPr>
          <w:rFonts w:ascii="DejaVu Sans" w:hAnsi="DejaVu Sans" w:eastAsia="DejaVu Sans"/>
          <w:b/>
          <w:i w:val="0"/>
          <w:color w:val="1F4E79"/>
          <w:sz w:val="26"/>
        </w:rPr>
        <w:t>9. Limitations</w:t>
      </w:r>
    </w:p>
    <w:p>
      <w:r>
        <w:rPr>
          <w:rFonts w:ascii="DejaVu Sans" w:hAnsi="DejaVu Sans" w:eastAsia="DejaVu Sans"/>
          <w:b w:val="0"/>
          <w:i w:val="0"/>
          <w:sz w:val="21"/>
        </w:rPr>
        <w:t>The project has several limitations:</w:t>
      </w:r>
    </w:p>
    <w:p>
      <w:pPr>
        <w:pStyle w:val="ListBullet"/>
      </w:pPr>
      <w:r>
        <w:rPr>
          <w:rFonts w:ascii="DejaVu Sans" w:hAnsi="DejaVu Sans" w:eastAsia="DejaVu Sans"/>
          <w:b w:val="0"/>
          <w:i w:val="0"/>
          <w:sz w:val="21"/>
        </w:rPr>
        <w:t>Financial markets are noisy and affected by many unobserved factors.</w:t>
      </w:r>
    </w:p>
    <w:p>
      <w:pPr>
        <w:pStyle w:val="ListBullet"/>
      </w:pPr>
      <w:r>
        <w:rPr>
          <w:rFonts w:ascii="DejaVu Sans" w:hAnsi="DejaVu Sans" w:eastAsia="DejaVu Sans"/>
          <w:b w:val="0"/>
          <w:i w:val="0"/>
          <w:sz w:val="21"/>
        </w:rPr>
        <w:t>Macroeconomic variables may be released at lower frequencies than daily stock prices.</w:t>
      </w:r>
    </w:p>
    <w:p>
      <w:pPr>
        <w:pStyle w:val="ListBullet"/>
      </w:pPr>
      <w:r>
        <w:rPr>
          <w:rFonts w:ascii="DejaVu Sans" w:hAnsi="DejaVu Sans" w:eastAsia="DejaVu Sans"/>
          <w:b w:val="0"/>
          <w:i w:val="0"/>
          <w:sz w:val="21"/>
        </w:rPr>
        <w:t>Granger causality does not prove true causality.</w:t>
      </w:r>
    </w:p>
    <w:p>
      <w:pPr>
        <w:pStyle w:val="ListBullet"/>
      </w:pPr>
      <w:r>
        <w:rPr>
          <w:rFonts w:ascii="DejaVu Sans" w:hAnsi="DejaVu Sans" w:eastAsia="DejaVu Sans"/>
          <w:b w:val="0"/>
          <w:i w:val="0"/>
          <w:sz w:val="21"/>
        </w:rPr>
        <w:t>Short-term market direction is difficult to predict.</w:t>
      </w:r>
    </w:p>
    <w:p>
      <w:pPr>
        <w:pStyle w:val="ListBullet"/>
      </w:pPr>
      <w:r>
        <w:rPr>
          <w:rFonts w:ascii="DejaVu Sans" w:hAnsi="DejaVu Sans" w:eastAsia="DejaVu Sans"/>
          <w:b w:val="0"/>
          <w:i w:val="0"/>
          <w:sz w:val="21"/>
        </w:rPr>
        <w:t>Results may depend on the selected period, variables, and model setup.</w:t>
      </w:r>
    </w:p>
    <w:p>
      <w:pPr>
        <w:spacing w:before="200" w:after="60"/>
      </w:pPr>
      <w:r>
        <w:rPr>
          <w:rFonts w:ascii="DejaVu Sans" w:hAnsi="DejaVu Sans" w:eastAsia="DejaVu Sans"/>
          <w:b/>
          <w:i w:val="0"/>
          <w:color w:val="1F4E79"/>
          <w:sz w:val="26"/>
        </w:rPr>
        <w:t>10. Final pipeline</w:t>
      </w:r>
    </w:p>
    <w:p>
      <w:r>
        <w:rPr>
          <w:rFonts w:ascii="DejaVu Sans" w:hAnsi="DejaVu Sans" w:eastAsia="DejaVu Sans"/>
          <w:b w:val="0"/>
          <w:i w:val="0"/>
          <w:sz w:val="21"/>
        </w:rPr>
        <w:t>The final project pipeline is:</w:t>
      </w:r>
    </w:p>
    <w:p>
      <w:r>
        <w:rPr>
          <w:rFonts w:ascii="DejaVu Sans" w:hAnsi="DejaVu Sans" w:eastAsia="DejaVu Sans"/>
          <w:b w:val="0"/>
          <w:i w:val="0"/>
          <w:sz w:val="21"/>
        </w:rPr>
        <w:t>Data collection -&gt; EDA -&gt; Hypothesis testing -&gt; ML modeling -&gt; Baseline vs macro-enriched comparison</w:t>
      </w:r>
    </w:p>
    <w:p>
      <w:r>
        <w:rPr>
          <w:rFonts w:ascii="DejaVu Sans" w:hAnsi="DejaVu Sans" w:eastAsia="DejaVu Sans"/>
          <w:b w:val="0"/>
          <w:i w:val="0"/>
          <w:sz w:val="21"/>
        </w:rPr>
        <w:t>This keeps the proposal, EDA, hypothesis testing, and ML implementation connected to the same research question.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DejaVu Sans" w:hAnsi="DejaVu Sans" w:eastAsia="DejaVu Sans"/>
      <w:sz w:val="21"/>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DejaVu Sans" w:hAnsi="DejaVu Sans" w:eastAsia="DejaVu Sans"/>
      <w:sz w:val="21"/>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DejaVu Sans"/>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DejaVu Sans" w:hAnsi="DejaVu Sans" w:eastAsia="DejaVu Sans"/>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DejaVu Sans" w:hAnsi="DejaVu Sans" w:eastAsia="DejaVu Sans"/>
      <w:color w:val="243F60" w:themeColor="accent1" w:themeShade="7F"/>
      <w:sz w:val="2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DejaVu Sans" w:hAnsi="DejaVu Sans" w:eastAsia="DejaVu Sans"/>
      <w:i/>
      <w:iCs/>
      <w:color w:val="243F60" w:themeColor="accent1" w:themeShade="7F"/>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DejaVu Sans" w:hAnsi="DejaVu Sans" w:eastAsia="DejaVu Sans"/>
      <w:i/>
      <w:iCs/>
      <w:color w:val="404040" w:themeColor="text1" w:themeTint="BF"/>
      <w:sz w:val="21"/>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DejaVu Sans" w:hAnsi="DejaVu Sans" w:eastAsia="DejaVu Sans"/>
      <w:color w:val="4F81BD" w:themeColor="accent1"/>
      <w:sz w:val="2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DejaVu Sans" w:hAnsi="DejaVu Sans" w:eastAsia="DejaVu Sans"/>
      <w:i/>
      <w:iCs/>
      <w:color w:val="404040" w:themeColor="text1" w:themeTint="BF"/>
      <w:sz w:val="2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DejaVu Sans" w:hAnsi="DejaVu Sans" w:eastAsia="DejaVu Sans"/>
      <w:sz w:val="21"/>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eastAsia="DejaVu Sans"/>
      <w:color w:val="17365D" w:themeColor="text2" w:themeShade="BF"/>
      <w:spacing w:val="5"/>
      <w:kern w:val="28"/>
      <w:sz w:val="2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eastAsia="DejaVu Sans"/>
      <w:i/>
      <w:iCs/>
      <w:color w:val="4F81BD" w:themeColor="accent1"/>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DejaVu Sans" w:hAnsi="DejaVu Sans" w:eastAsia="DejaVu Sans"/>
      <w:sz w:val="21"/>
    </w:rPr>
  </w:style>
  <w:style w:type="paragraph" w:styleId="BodyText">
    <w:name w:val="Body Text"/>
    <w:basedOn w:val="Normal"/>
    <w:link w:val="BodyTextChar"/>
    <w:uiPriority w:val="99"/>
    <w:unhideWhenUsed/>
    <w:rsid w:val="00AA1D8D"/>
    <w:pPr>
      <w:spacing w:after="120"/>
    </w:pPr>
    <w:rPr>
      <w:rFonts w:ascii="DejaVu Sans" w:hAnsi="DejaVu Sans" w:eastAsia="DejaVu San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DejaVu Sans" w:hAnsi="DejaVu Sans" w:eastAsia="DejaVu Sans"/>
      <w:sz w:val="21"/>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DejaVu Sans" w:hAnsi="DejaVu Sans" w:eastAsia="DejaVu Sans"/>
      <w:sz w:val="21"/>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DejaVu Sans" w:hAnsi="DejaVu Sans" w:eastAsia="DejaVu Sans"/>
      <w:sz w:val="21"/>
    </w:rPr>
  </w:style>
  <w:style w:type="paragraph" w:styleId="List2">
    <w:name w:val="List 2"/>
    <w:basedOn w:val="Normal"/>
    <w:uiPriority w:val="99"/>
    <w:unhideWhenUsed/>
    <w:rsid w:val="00326F90"/>
    <w:pPr>
      <w:ind w:left="720" w:hanging="360"/>
      <w:contextualSpacing/>
    </w:pPr>
    <w:rPr>
      <w:rFonts w:ascii="DejaVu Sans" w:hAnsi="DejaVu Sans" w:eastAsia="DejaVu Sans"/>
      <w:sz w:val="21"/>
    </w:rPr>
  </w:style>
  <w:style w:type="paragraph" w:styleId="List3">
    <w:name w:val="List 3"/>
    <w:basedOn w:val="Normal"/>
    <w:uiPriority w:val="99"/>
    <w:unhideWhenUsed/>
    <w:rsid w:val="00326F90"/>
    <w:pPr>
      <w:ind w:left="1080" w:hanging="360"/>
      <w:contextualSpacing/>
    </w:pPr>
    <w:rPr>
      <w:rFonts w:ascii="DejaVu Sans" w:hAnsi="DejaVu Sans" w:eastAsia="DejaVu Sans"/>
      <w:sz w:val="21"/>
    </w:rPr>
  </w:style>
  <w:style w:type="paragraph" w:styleId="ListBullet">
    <w:name w:val="List Bullet"/>
    <w:basedOn w:val="Normal"/>
    <w:uiPriority w:val="99"/>
    <w:unhideWhenUsed/>
    <w:rsid w:val="00326F90"/>
    <w:pPr>
      <w:numPr>
        <w:numId w:val="1"/>
      </w:numPr>
      <w:contextualSpacing/>
    </w:pPr>
    <w:rPr>
      <w:rFonts w:ascii="DejaVu Sans" w:hAnsi="DejaVu Sans" w:eastAsia="DejaVu Sans"/>
      <w:sz w:val="21"/>
    </w:rPr>
  </w:style>
  <w:style w:type="paragraph" w:styleId="ListBullet2">
    <w:name w:val="List Bullet 2"/>
    <w:basedOn w:val="Normal"/>
    <w:uiPriority w:val="99"/>
    <w:unhideWhenUsed/>
    <w:rsid w:val="00326F90"/>
    <w:pPr>
      <w:numPr>
        <w:numId w:val="2"/>
      </w:numPr>
      <w:contextualSpacing/>
    </w:pPr>
    <w:rPr>
      <w:rFonts w:ascii="DejaVu Sans" w:hAnsi="DejaVu Sans" w:eastAsia="DejaVu Sans"/>
      <w:sz w:val="21"/>
    </w:rPr>
  </w:style>
  <w:style w:type="paragraph" w:styleId="ListBullet3">
    <w:name w:val="List Bullet 3"/>
    <w:basedOn w:val="Normal"/>
    <w:uiPriority w:val="99"/>
    <w:unhideWhenUsed/>
    <w:rsid w:val="00326F90"/>
    <w:pPr>
      <w:numPr>
        <w:numId w:val="3"/>
      </w:numPr>
      <w:contextualSpacing/>
    </w:pPr>
    <w:rPr>
      <w:rFonts w:ascii="DejaVu Sans" w:hAnsi="DejaVu Sans" w:eastAsia="DejaVu Sans"/>
      <w:sz w:val="21"/>
    </w:rPr>
  </w:style>
  <w:style w:type="paragraph" w:styleId="ListNumber">
    <w:name w:val="List Number"/>
    <w:basedOn w:val="Normal"/>
    <w:uiPriority w:val="99"/>
    <w:unhideWhenUsed/>
    <w:rsid w:val="00326F90"/>
    <w:pPr>
      <w:numPr>
        <w:numId w:val="5"/>
      </w:numPr>
      <w:contextualSpacing/>
    </w:pPr>
    <w:rPr>
      <w:rFonts w:ascii="DejaVu Sans" w:hAnsi="DejaVu Sans" w:eastAsia="DejaVu Sans"/>
      <w:sz w:val="21"/>
    </w:rPr>
  </w:style>
  <w:style w:type="paragraph" w:styleId="ListNumber2">
    <w:name w:val="List Number 2"/>
    <w:basedOn w:val="Normal"/>
    <w:uiPriority w:val="99"/>
    <w:unhideWhenUsed/>
    <w:rsid w:val="0029639D"/>
    <w:pPr>
      <w:numPr>
        <w:numId w:val="6"/>
      </w:numPr>
      <w:contextualSpacing/>
    </w:pPr>
    <w:rPr>
      <w:rFonts w:ascii="DejaVu Sans" w:hAnsi="DejaVu Sans" w:eastAsia="DejaVu Sans"/>
      <w:sz w:val="21"/>
    </w:rPr>
  </w:style>
  <w:style w:type="paragraph" w:styleId="ListNumber3">
    <w:name w:val="List Number 3"/>
    <w:basedOn w:val="Normal"/>
    <w:uiPriority w:val="99"/>
    <w:unhideWhenUsed/>
    <w:rsid w:val="0029639D"/>
    <w:pPr>
      <w:numPr>
        <w:numId w:val="7"/>
      </w:numPr>
      <w:contextualSpacing/>
    </w:pPr>
    <w:rPr>
      <w:rFonts w:ascii="DejaVu Sans" w:hAnsi="DejaVu Sans" w:eastAsia="DejaVu Sans"/>
      <w:sz w:val="21"/>
    </w:rPr>
  </w:style>
  <w:style w:type="paragraph" w:styleId="ListContinue">
    <w:name w:val="List Continue"/>
    <w:basedOn w:val="Normal"/>
    <w:uiPriority w:val="99"/>
    <w:unhideWhenUsed/>
    <w:rsid w:val="0029639D"/>
    <w:pPr>
      <w:spacing w:after="120"/>
      <w:ind w:left="360"/>
      <w:contextualSpacing/>
    </w:pPr>
    <w:rPr>
      <w:rFonts w:ascii="DejaVu Sans" w:hAnsi="DejaVu Sans" w:eastAsia="DejaVu Sans"/>
      <w:sz w:val="21"/>
    </w:rPr>
  </w:style>
  <w:style w:type="paragraph" w:styleId="ListContinue2">
    <w:name w:val="List Continue 2"/>
    <w:basedOn w:val="Normal"/>
    <w:uiPriority w:val="99"/>
    <w:unhideWhenUsed/>
    <w:rsid w:val="0029639D"/>
    <w:pPr>
      <w:spacing w:after="120"/>
      <w:ind w:left="720"/>
      <w:contextualSpacing/>
    </w:pPr>
    <w:rPr>
      <w:rFonts w:ascii="DejaVu Sans" w:hAnsi="DejaVu Sans" w:eastAsia="DejaVu Sans"/>
      <w:sz w:val="21"/>
    </w:rPr>
  </w:style>
  <w:style w:type="paragraph" w:styleId="ListContinue3">
    <w:name w:val="List Continue 3"/>
    <w:basedOn w:val="Normal"/>
    <w:uiPriority w:val="99"/>
    <w:unhideWhenUsed/>
    <w:rsid w:val="0029639D"/>
    <w:pPr>
      <w:spacing w:after="120"/>
      <w:ind w:left="1080"/>
      <w:contextualSpacing/>
    </w:pPr>
    <w:rPr>
      <w:rFonts w:ascii="DejaVu Sans" w:hAnsi="DejaVu Sans" w:eastAsia="DejaVu Sans"/>
      <w:sz w:val="21"/>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DejaVu Sans" w:hAnsi="DejaVu Sans" w:eastAsia="DejaVu Sans"/>
      <w:sz w:val="21"/>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DejaVu Sans" w:hAnsi="DejaVu Sans" w:eastAsia="DejaVu Sans"/>
      <w:i/>
      <w:iCs/>
      <w:color w:val="000000" w:themeColor="text1"/>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DejaVu Sans" w:hAnsi="DejaVu Sans" w:eastAsia="DejaVu Sans"/>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DejaVu Sans" w:hAnsi="DejaVu Sans" w:eastAsia="DejaVu Sans"/>
      <w:b/>
      <w:bCs/>
      <w:i/>
      <w:iCs/>
      <w:color w:val="4F81BD" w:themeColor="accent1"/>
      <w:sz w:val="2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DejaVu Sans" w:hAnsi="DejaVu Sans" w:eastAsia="DejaVu Sans"/>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