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Backend Engineer with 7+ years of experience in designing and implementing scalable microservices architecture, I'm excited to leverage my skills to drive DoorDash's global infrastructure system. With expertise in Python, Go, and Docker, I've successfully led teams and mentored junior staff to deliver high-quality solutions. My passion for innovative problem-solving, strong communication, and adaptability will enable me to thrive in a fast-paced environment. Additionally, my proficiency in RESTful APIs, WebSockets, and data visualization will allow me to contribute to DoorDash's 3-sided marketplace. I'm thrilled to bring my technical expertise and leadership skills to support DoorDash's rapid growth and expansion.</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Go, 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Docker, Microservices, WebSockets, Data Visualization, Communication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Leadership, Organization, Presentation, Problem Solving, Adaptability</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tech expo, increasing event efficiency by 25%</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and mentored junior staff</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real-time analytics dashboard using Python and React, enabling clients to monitor KPIs and generate actionable reports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Integrated WebSockets for live data updates</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2025-07-25T06:04:40Z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2025-07-25T06:04:40Z</dcterms:modified>
  <dc:creator/>
  <dc:description/>
  <dc:identifier/>
  <dc:language/>
  <dc:subject/>
</cp:coreProperties>
</file>