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Backend Engineer with 7+ years of experience in designing and implementing scalable microservices architecture using Python, Go, and Docker, I am confident in my ability to build and maintain large-scale infrastructure systems. With expertise in NLP, machine learning, and data analysis, I can leverage these skills to optimize DoorDash's logistics engine. Additionally, I have successfully managed teams of engineers and mentored junior staff, making me an effective leader. My proficiency in multiple programming languages including Python, Go, and Java, as well as my experience with API development, database design, and simulation tools make me a strong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Go, 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Integration, Docker, Microservices, NLP, Public Speaking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Communication, Leadership, Motivation, Organization</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tech expo, increasing event efficiency by 25%</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communication plans and managed a team of 20 volunteers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Delivered sessions to 80+ attendees, receiving positive feedback for clarity and motivation</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automating customer support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2025-07-28T23:19:45Z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2025-07-28T23:19:45Z</dcterms:modified>
  <dc:creator/>
  <dc:description/>
  <dc:identifier/>
  <dc:language/>
  <dc:subject/>
</cp:coreProperties>
</file>