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2957"/>
          <w:sz w:val="22"/>
          <w:szCs w:val="22"/>
        </w:rPr>
        <w:t xml:space="preserve">HOLMSTONE</w:t>
      </w:r>
    </w:p>
    <w:p>
      <w:pPr>
        <w:spacing w:after="260"/>
      </w:pPr>
      <w:r>
        <w:rPr>
          <w:i/>
          <w:iCs/>
          <w:color w:val="64748b"/>
          <w:sz w:val="18"/>
          <w:szCs w:val="18"/>
        </w:rPr>
        <w:t xml:space="preserve">Energy Simple and Transparent</w:t>
      </w:r>
    </w:p>
    <w:p>
      <w:pPr>
        <w:pStyle w:val="Title"/>
        <w:spacing w:after="100"/>
      </w:pPr>
      <w:r>
        <w:rPr>
          <w:b/>
          <w:bCs/>
          <w:color w:val="1c2957"/>
        </w:rPr>
        <w:t xml:space="preserve">Utility Recovery &amp; Meter Accuracy Review</w:t>
      </w:r>
    </w:p>
    <w:p>
      <w:pPr>
        <w:spacing w:after="200"/>
      </w:pPr>
      <w:r>
        <w:rPr>
          <w:b/>
          <w:bCs/>
          <w:color w:val="64748b"/>
          <w:sz w:val="22"/>
          <w:szCs w:val="22"/>
        </w:rPr>
        <w:t xml:space="preserve">All Sites - Consumption-per-Day and Under/Over-Recovery Analysis</w:t>
      </w:r>
    </w:p>
    <w:p>
      <w:pPr>
        <w:spacing w:after="120"/>
      </w:pPr>
      <w:r>
        <w:rPr>
          <w:b w:val="false"/>
          <w:bCs w:val="false"/>
          <w:i w:val="false"/>
          <w:iCs w:val="false"/>
          <w:color w:val="64748b"/>
          <w:sz w:val="21"/>
          <w:szCs w:val="21"/>
        </w:rPr>
        <w:t xml:space="preserve">Prepared: August 2026</w:t>
      </w:r>
    </w:p>
    <w:p>
      <w:pPr>
        <w:spacing w:after="120"/>
      </w:pPr>
      <w:r>
        <w:rPr>
          <w:b w:val="false"/>
          <w:bCs w:val="false"/>
          <w:i w:val="false"/>
          <w:iCs w:val="false"/>
          <w:sz w:val="21"/>
          <w:szCs w:val="21"/>
        </w:rPr>
        <w:t xml:space="preserve"> </w:t>
      </w:r>
    </w:p>
    <w:p>
      <w:pPr>
        <w:pStyle w:val="Heading2"/>
        <w:spacing w:after="100" w:before="240"/>
      </w:pPr>
      <w:r>
        <w:rPr>
          <w:b/>
          <w:bCs/>
          <w:color w:val="1c2957"/>
        </w:rPr>
        <w:t xml:space="preserve">Purpose</w:t>
      </w:r>
    </w:p>
    <w:p>
      <w:pPr>
        <w:pStyle w:val="ListParagraph"/>
        <w:numPr>
          <w:ilvl w:val="0"/>
          <w:numId w:val="2"/>
        </w:numPr>
        <w:spacing w:after="100"/>
      </w:pPr>
      <w:r>
        <w:t xml:space="preserve">This report explains, site by site, WHY each utility account is currently over- or under-recovered - focused on two things: how consumption-per-day compares between our own billed meter reading and the real municipal statement, and whether either meter appears to be within reasonable accuracy tolerance.</w:t>
      </w:r>
    </w:p>
    <w:p>
      <w:pPr>
        <w:pStyle w:val="ListParagraph"/>
        <w:numPr>
          <w:ilvl w:val="0"/>
          <w:numId w:val="2"/>
        </w:numPr>
        <w:spacing w:after="100"/>
      </w:pPr>
      <w:r>
        <w:t xml:space="preserve">Property Rates, Refuse and Sundry are excluded throughout - these are real municipal-only costs that are never billed through to the client, so including them would always show a large "under-recovery" that has nothing to do with utility metering accuracy.</w:t>
      </w:r>
    </w:p>
    <w:p>
      <w:pPr>
        <w:pStyle w:val="Heading2"/>
        <w:spacing w:after="100" w:before="240"/>
      </w:pPr>
      <w:r>
        <w:rPr>
          <w:b/>
          <w:bCs/>
          <w:color w:val="1c2957"/>
        </w:rPr>
        <w:t xml:space="preserve">Method</w:t>
      </w:r>
    </w:p>
    <w:p>
      <w:pPr>
        <w:pStyle w:val="ListParagraph"/>
        <w:numPr>
          <w:ilvl w:val="0"/>
          <w:numId w:val="2"/>
        </w:numPr>
        <w:spacing w:after="100"/>
      </w:pPr>
      <w:r>
        <w:t xml:space="preserve">"Our Avg/Day" = our own billed reading for that month, divided by our own billing period length in days.</w:t>
      </w:r>
    </w:p>
    <w:p>
      <w:pPr>
        <w:pStyle w:val="ListParagraph"/>
        <w:numPr>
          <w:ilvl w:val="0"/>
          <w:numId w:val="2"/>
        </w:numPr>
        <w:spacing w:after="100"/>
      </w:pPr>
      <w:r>
        <w:t xml:space="preserve">"Municipal Avg/Day" = the real Ekurhuleni/City Power statement reading for the best-overlapping period, divided by that statement's own reading-period length in days - normalising both sides removes distortion from periods of different lengths (e.g. a combined 61-day statement).</w:t>
      </w:r>
    </w:p>
    <w:p>
      <w:pPr>
        <w:pStyle w:val="ListParagraph"/>
        <w:numPr>
          <w:ilvl w:val="0"/>
          <w:numId w:val="2"/>
        </w:numPr>
        <w:spacing w:after="100"/>
      </w:pPr>
      <w:r>
        <w:t xml:space="preserve">"Variance" = (Our Avg/Day - Municipal Avg/Day) / Municipal Avg/Day. Colour key used throughout every table in this report:</w:t>
      </w:r>
    </w:p>
    <w:p>
      <w:pPr>
        <w:pStyle w:val="ListParagraph"/>
        <w:numPr>
          <w:ilvl w:val="1"/>
          <w:numId w:val="2"/>
        </w:numPr>
        <w:spacing w:after="100"/>
      </w:pPr>
      <w:r>
        <w:t xml:space="preserve">within 10% - normal, expected day-to-day/reading noise.</w:t>
      </w:r>
    </w:p>
    <w:p>
      <w:pPr>
        <w:pStyle w:val="ListParagraph"/>
        <w:numPr>
          <w:ilvl w:val="1"/>
          <w:numId w:val="2"/>
        </w:numPr>
        <w:spacing w:after="100"/>
      </w:pPr>
      <w:r>
        <w:t xml:space="preserve">10% to 25% - worth watching, not yet a red flag.</w:t>
      </w:r>
    </w:p>
    <w:p>
      <w:pPr>
        <w:pStyle w:val="ListParagraph"/>
        <w:numPr>
          <w:ilvl w:val="1"/>
          <w:numId w:val="2"/>
        </w:numPr>
        <w:spacing w:after="100"/>
      </w:pPr>
      <w:r>
        <w:t xml:space="preserve">25% or more - flagged for follow-up (either a real usage event, or a likely estimated/placeholder municipal read).</w:t>
      </w:r>
    </w:p>
    <w:p>
      <w:pPr>
        <w:pStyle w:val="ListParagraph"/>
        <w:numPr>
          <w:ilvl w:val="0"/>
          <w:numId w:val="2"/>
        </w:numPr>
        <w:spacing w:after="100"/>
      </w:pPr>
      <w:r>
        <w:t xml:space="preserve">"CoV" (coefficient of variation) measures how much a meter's own daily reading moves around from month to month. A LOW CoV means a steady, consistent reading; a HIGH CoV means an erratic one. Comparing our CoV against the municipal CoV is often more revealing than any single month's variance - a meter that is consistently steady while the other side swings wildly points to an estimate/read problem on the volatile side, not a real change in usage.</w:t>
      </w:r>
    </w:p>
    <w:p>
      <w:r>
        <w:br w:type="page"/>
      </w:r>
    </w:p>
    <w:p>
      <w:pPr>
        <w:pStyle w:val="Heading1"/>
        <w:spacing w:after="120" w:before="0"/>
      </w:pPr>
      <w:r>
        <w:rPr>
          <w:b/>
          <w:bCs/>
          <w:color w:val="1c2957"/>
        </w:rPr>
        <w:t xml:space="preserve">Portfolio Summary</w:t>
      </w:r>
    </w:p>
    <w:p>
      <w:pPr>
        <w:spacing w:after="200"/>
      </w:pPr>
      <w:r>
        <w:rPr>
          <w:i/>
          <w:iCs/>
          <w:color w:val="64748b"/>
          <w:sz w:val="20"/>
          <w:szCs w:val="20"/>
        </w:rPr>
        <w:t xml:space="preserve">Net Electricity + Water + Sewer recovery per site, all overlapping months of data. Detail for each site follows on its own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200"/>
        <w:gridCol w:w="2600"/>
      </w:tblGrid>
      <w:tr>
        <w:trPr>
          <w:tblHeader/>
        </w:trPr>
        <w:tc>
          <w:tcPr>
            <w:tcW w:type="dxa" w:w="4560"/>
            <w:shd w:fill="1c2957" w:val="clear"/>
            <w:tcMar>
              <w:top w:type="dxa" w:w="60"/>
              <w:left w:type="dxa" w:w="100"/>
              <w:bottom w:type="dxa" w:w="60"/>
              <w:right w:type="dxa" w:w="100"/>
            </w:tcMar>
          </w:tcPr>
          <w:p>
            <w:pPr>
              <w:jc w:val="left"/>
            </w:pPr>
            <w:r>
              <w:rPr>
                <w:b/>
                <w:bCs/>
                <w:i w:val="false"/>
                <w:iCs w:val="false"/>
                <w:color w:val="ffffff"/>
                <w:sz w:val="18"/>
                <w:szCs w:val="18"/>
              </w:rPr>
              <w:t xml:space="preserve">Site</w:t>
            </w:r>
          </w:p>
        </w:tc>
        <w:tc>
          <w:tcPr>
            <w:tcW w:type="dxa" w:w="22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2600"/>
            <w:shd w:fill="1c2957" w:val="clear"/>
            <w:tcMar>
              <w:top w:type="dxa" w:w="60"/>
              <w:left w:type="dxa" w:w="100"/>
              <w:bottom w:type="dxa" w:w="60"/>
              <w:right w:type="dxa" w:w="100"/>
            </w:tcMar>
          </w:tcPr>
          <w:p>
            <w:pPr>
              <w:jc w:val="left"/>
            </w:pPr>
            <w:r>
              <w:rPr>
                <w:b/>
                <w:bCs/>
                <w:i w:val="false"/>
                <w:iCs w:val="false"/>
                <w:color w:val="ffffff"/>
                <w:sz w:val="18"/>
                <w:szCs w:val="18"/>
              </w:rPr>
              <w:t xml:space="preserve">Data Window</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8 Field Street</w:t>
            </w:r>
          </w:p>
        </w:tc>
        <w:tc>
          <w:tcPr>
            <w:tcW w:type="dxa" w:w="2200"/>
            <w:tcMar>
              <w:top w:type="dxa" w:w="60"/>
              <w:left w:type="dxa" w:w="100"/>
              <w:bottom w:type="dxa" w:w="60"/>
              <w:right w:type="dxa" w:w="100"/>
            </w:tcMar>
          </w:tcPr>
          <w:p>
            <w:pPr>
              <w:jc w:val="right"/>
            </w:pPr>
            <w:r>
              <w:rPr>
                <w:b/>
                <w:bCs/>
                <w:i w:val="false"/>
                <w:iCs w:val="false"/>
                <w:color w:val="0a7a33"/>
                <w:sz w:val="18"/>
                <w:szCs w:val="18"/>
              </w:rPr>
              <w:t xml:space="preserve">+R158,491</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Sep 25 - Jun 26 (10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Bob Martin</w:t>
            </w:r>
          </w:p>
        </w:tc>
        <w:tc>
          <w:tcPr>
            <w:tcW w:type="dxa" w:w="2200"/>
            <w:tcMar>
              <w:top w:type="dxa" w:w="60"/>
              <w:left w:type="dxa" w:w="100"/>
              <w:bottom w:type="dxa" w:w="60"/>
              <w:right w:type="dxa" w:w="100"/>
            </w:tcMar>
          </w:tcPr>
          <w:p>
            <w:pPr>
              <w:jc w:val="right"/>
            </w:pPr>
            <w:r>
              <w:rPr>
                <w:b/>
                <w:bCs/>
                <w:i w:val="false"/>
                <w:iCs w:val="false"/>
                <w:color w:val="b81c1c"/>
                <w:sz w:val="18"/>
                <w:szCs w:val="18"/>
              </w:rPr>
              <w:t xml:space="preserve">-R67,494</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Dec 25 - Jun 26 (7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Loper Road - Sandvic</w:t>
            </w:r>
          </w:p>
        </w:tc>
        <w:tc>
          <w:tcPr>
            <w:tcW w:type="dxa" w:w="2200"/>
            <w:tcMar>
              <w:top w:type="dxa" w:w="60"/>
              <w:left w:type="dxa" w:w="100"/>
              <w:bottom w:type="dxa" w:w="60"/>
              <w:right w:type="dxa" w:w="100"/>
            </w:tcMar>
          </w:tcPr>
          <w:p>
            <w:pPr>
              <w:jc w:val="right"/>
            </w:pPr>
            <w:r>
              <w:rPr>
                <w:b/>
                <w:bCs/>
                <w:i w:val="false"/>
                <w:iCs w:val="false"/>
                <w:color w:val="b81c1c"/>
                <w:sz w:val="18"/>
                <w:szCs w:val="18"/>
              </w:rPr>
              <w:t xml:space="preserve">-R12,114</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Dec 25 - Jun 26 (6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AutoZone</w:t>
            </w:r>
          </w:p>
        </w:tc>
        <w:tc>
          <w:tcPr>
            <w:tcW w:type="dxa" w:w="2200"/>
            <w:tcMar>
              <w:top w:type="dxa" w:w="60"/>
              <w:left w:type="dxa" w:w="100"/>
              <w:bottom w:type="dxa" w:w="60"/>
              <w:right w:type="dxa" w:w="100"/>
            </w:tcMar>
          </w:tcPr>
          <w:p>
            <w:pPr>
              <w:jc w:val="right"/>
            </w:pPr>
            <w:r>
              <w:rPr>
                <w:b/>
                <w:bCs/>
                <w:i w:val="false"/>
                <w:iCs w:val="false"/>
                <w:color w:val="b81c1c"/>
                <w:sz w:val="18"/>
                <w:szCs w:val="18"/>
              </w:rPr>
              <w:t xml:space="preserve">-R168,366</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Dec 25 - Jun 26 (6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Cranbrook Flavours</w:t>
            </w:r>
          </w:p>
        </w:tc>
        <w:tc>
          <w:tcPr>
            <w:tcW w:type="dxa" w:w="2200"/>
            <w:tcMar>
              <w:top w:type="dxa" w:w="60"/>
              <w:left w:type="dxa" w:w="100"/>
              <w:bottom w:type="dxa" w:w="60"/>
              <w:right w:type="dxa" w:w="100"/>
            </w:tcMar>
          </w:tcPr>
          <w:p>
            <w:pPr>
              <w:jc w:val="right"/>
            </w:pPr>
            <w:r>
              <w:rPr>
                <w:b/>
                <w:bCs/>
                <w:i w:val="false"/>
                <w:iCs w:val="false"/>
                <w:color w:val="b81c1c"/>
                <w:sz w:val="18"/>
                <w:szCs w:val="18"/>
              </w:rPr>
              <w:t xml:space="preserve">-R38,117</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Nov 25 - Jun 26 (4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Wingfield Business Park</w:t>
            </w:r>
          </w:p>
        </w:tc>
        <w:tc>
          <w:tcPr>
            <w:tcW w:type="dxa" w:w="2200"/>
            <w:tcMar>
              <w:top w:type="dxa" w:w="60"/>
              <w:left w:type="dxa" w:w="100"/>
              <w:bottom w:type="dxa" w:w="60"/>
              <w:right w:type="dxa" w:w="100"/>
            </w:tcMar>
          </w:tcPr>
          <w:p>
            <w:pPr>
              <w:jc w:val="right"/>
            </w:pPr>
            <w:r>
              <w:rPr>
                <w:b/>
                <w:bCs/>
                <w:i w:val="false"/>
                <w:iCs w:val="false"/>
                <w:color w:val="0a7a33"/>
                <w:sz w:val="18"/>
                <w:szCs w:val="18"/>
              </w:rPr>
              <w:t xml:space="preserve">+R1,170,646</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Jun 25 - Jun 26 (13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City Deep Industrial Park - Industrial Park (Industrial A &amp; B accounts)</w:t>
            </w:r>
          </w:p>
        </w:tc>
        <w:tc>
          <w:tcPr>
            <w:tcW w:type="dxa" w:w="2200"/>
            <w:tcMar>
              <w:top w:type="dxa" w:w="60"/>
              <w:left w:type="dxa" w:w="100"/>
              <w:bottom w:type="dxa" w:w="60"/>
              <w:right w:type="dxa" w:w="100"/>
            </w:tcMar>
          </w:tcPr>
          <w:p>
            <w:pPr>
              <w:jc w:val="right"/>
            </w:pPr>
            <w:r>
              <w:rPr>
                <w:b/>
                <w:bCs/>
                <w:i w:val="false"/>
                <w:iCs w:val="false"/>
                <w:color w:val="0a7a33"/>
                <w:sz w:val="18"/>
                <w:szCs w:val="18"/>
              </w:rPr>
              <w:t xml:space="preserve">+R622,037</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Sep 25 - Jun 26 (10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City Deep Industrial Park - City Deep (Rittle account)</w:t>
            </w:r>
          </w:p>
        </w:tc>
        <w:tc>
          <w:tcPr>
            <w:tcW w:type="dxa" w:w="2200"/>
            <w:tcMar>
              <w:top w:type="dxa" w:w="60"/>
              <w:left w:type="dxa" w:w="100"/>
              <w:bottom w:type="dxa" w:w="60"/>
              <w:right w:type="dxa" w:w="100"/>
            </w:tcMar>
          </w:tcPr>
          <w:p>
            <w:pPr>
              <w:jc w:val="right"/>
            </w:pPr>
            <w:r>
              <w:rPr>
                <w:b/>
                <w:bCs/>
                <w:i w:val="false"/>
                <w:iCs w:val="false"/>
                <w:color w:val="b81c1c"/>
                <w:sz w:val="18"/>
                <w:szCs w:val="18"/>
              </w:rPr>
              <w:t xml:space="preserve">-R366,706</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Sep 25 - Jun 26 (10 months of overlapping data)</w:t>
            </w:r>
          </w:p>
        </w:tc>
      </w:tr>
      <w:tr>
        <w:tc>
          <w:tcPr>
            <w:tcW w:type="dxa" w:w="4560"/>
            <w:tcMar>
              <w:top w:type="dxa" w:w="60"/>
              <w:left w:type="dxa" w:w="100"/>
              <w:bottom w:type="dxa" w:w="60"/>
              <w:right w:type="dxa" w:w="100"/>
            </w:tcMar>
          </w:tcPr>
          <w:p>
            <w:pPr>
              <w:jc w:val="left"/>
            </w:pPr>
            <w:r>
              <w:rPr>
                <w:b w:val="false"/>
                <w:bCs w:val="false"/>
                <w:i w:val="false"/>
                <w:iCs w:val="false"/>
                <w:sz w:val="18"/>
                <w:szCs w:val="18"/>
              </w:rPr>
              <w:t xml:space="preserve">City Deep Industrial Park - Mini Park (Mini account)</w:t>
            </w:r>
          </w:p>
        </w:tc>
        <w:tc>
          <w:tcPr>
            <w:tcW w:type="dxa" w:w="2200"/>
            <w:tcMar>
              <w:top w:type="dxa" w:w="60"/>
              <w:left w:type="dxa" w:w="100"/>
              <w:bottom w:type="dxa" w:w="60"/>
              <w:right w:type="dxa" w:w="100"/>
            </w:tcMar>
          </w:tcPr>
          <w:p>
            <w:pPr>
              <w:jc w:val="right"/>
            </w:pPr>
            <w:r>
              <w:rPr>
                <w:b/>
                <w:bCs/>
                <w:i w:val="false"/>
                <w:iCs w:val="false"/>
                <w:color w:val="0a7a33"/>
                <w:sz w:val="18"/>
                <w:szCs w:val="18"/>
              </w:rPr>
              <w:t xml:space="preserve">+R578,313</w:t>
            </w:r>
          </w:p>
        </w:tc>
        <w:tc>
          <w:tcPr>
            <w:tcW w:type="dxa" w:w="2600"/>
            <w:tcMar>
              <w:top w:type="dxa" w:w="60"/>
              <w:left w:type="dxa" w:w="100"/>
              <w:bottom w:type="dxa" w:w="60"/>
              <w:right w:type="dxa" w:w="100"/>
            </w:tcMar>
          </w:tcPr>
          <w:p>
            <w:pPr>
              <w:jc w:val="left"/>
            </w:pPr>
            <w:r>
              <w:rPr>
                <w:b w:val="false"/>
                <w:bCs w:val="false"/>
                <w:i w:val="false"/>
                <w:iCs w:val="false"/>
                <w:color w:val="64748b"/>
                <w:sz w:val="16"/>
                <w:szCs w:val="16"/>
              </w:rPr>
              <w:t xml:space="preserve">Sep 25 - Jun 26 (10 months of overlapping data)</w:t>
            </w:r>
          </w:p>
        </w:tc>
      </w:tr>
    </w:tbl>
    <w:p>
      <w:r>
        <w:br w:type="page"/>
      </w:r>
    </w:p>
    <w:p>
      <w:pPr>
        <w:pStyle w:val="Heading1"/>
        <w:spacing w:after="120" w:before="0"/>
      </w:pPr>
      <w:r>
        <w:rPr>
          <w:b/>
          <w:bCs/>
          <w:color w:val="1c2957"/>
        </w:rPr>
        <w:t xml:space="preserve">8 Field Street</w:t>
      </w:r>
    </w:p>
    <w:p>
      <w:pPr>
        <w:spacing w:after="200"/>
      </w:pPr>
      <w:r>
        <w:rPr>
          <w:i/>
          <w:iCs/>
          <w:color w:val="64748b"/>
          <w:sz w:val="20"/>
          <w:szCs w:val="20"/>
        </w:rPr>
        <w:t xml:space="preserve">Sep 25 - Jun 26 (10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+R166,404</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-R5,716</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-R2,196</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0a7a33"/>
                <w:sz w:val="18"/>
                <w:szCs w:val="18"/>
              </w:rPr>
              <w:t xml:space="preserve">+R158,491</w:t>
            </w:r>
          </w:p>
        </w:tc>
        <w:tc>
          <w:tcPr>
            <w:tcW w:type="dxa" w:w="3560"/>
            <w:shd w:fill="f1f5f9" w:val="clear"/>
            <w:tcMar>
              <w:top w:type="dxa" w:w="60"/>
              <w:left w:type="dxa" w:w="100"/>
              <w:bottom w:type="dxa" w:w="60"/>
              <w:right w:type="dxa" w:w="100"/>
            </w:tcMar>
          </w:tcPr>
          <w:p>
            <w:pPr>
              <w:jc w:val="left"/>
            </w:pPr>
            <w:r>
              <w:rPr>
                <w:b/>
                <w:bCs/>
                <w:i w:val="false"/>
                <w:iCs w:val="false"/>
                <w:color w:val="0a7a33"/>
                <w:sz w:val="18"/>
                <w:szCs w:val="18"/>
              </w:rPr>
              <w:t xml:space="preserve">Net over-recovered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meters agree closely: </w:t>
      </w:r>
      <w:r>
        <w:t xml:space="preserve">monthly variance never exceeds 3.2% in either direction, and our own day-to-day usage volatility (10.5%) is almost identical to the municipal side (10.3%). The two meters are effectively tracking the same real consumption every month.</w:t>
      </w:r>
    </w:p>
    <w:p>
      <w:pPr>
        <w:pStyle w:val="ListParagraph"/>
        <w:numPr>
          <w:ilvl w:val="0"/>
          <w:numId w:val="2"/>
        </w:numPr>
        <w:spacing w:after="100"/>
      </w:pPr>
      <w:r>
        <w:rPr>
          <w:b/>
          <w:bCs/>
          <w:color w:val="1c2957"/>
        </w:rPr>
        <w:t xml:space="preserve">Electricity result: </w:t>
      </w:r>
      <w:r>
        <w:t xml:space="preserve">+R166,404 over-recovered across 10 months - a small, consistent margin (not a metering issue), reflecting the agreed billing tariff sitting slightly above the municipal rate.</w:t>
      </w:r>
    </w:p>
    <w:p>
      <w:pPr>
        <w:pStyle w:val="ListParagraph"/>
        <w:numPr>
          <w:ilvl w:val="0"/>
          <w:numId w:val="2"/>
        </w:numPr>
        <w:spacing w:after="100"/>
      </w:pPr>
      <w:r>
        <w:rPr>
          <w:b/>
          <w:bCs/>
          <w:color w:val="1c2957"/>
        </w:rPr>
        <w:t xml:space="preserve">Water/Sewer - noisy but immaterial: </w:t>
      </w:r>
      <w:r>
        <w:t xml:space="preserve">5 of 10 months show a &gt;25% variance, but this is a very low-volume account (4-7 kL/day), so small absolute differences read as large percentages. The municipal reading is far more volatile (53.9% CoV) than ours (17.2%) - e.g. October 2025 the municipal reading collapsed to just 0.27 kL/day, an implausible one-off, most likely an estimated read.</w:t>
      </w:r>
    </w:p>
    <w:p>
      <w:pPr>
        <w:pStyle w:val="ListParagraph"/>
        <w:numPr>
          <w:ilvl w:val="0"/>
          <w:numId w:val="2"/>
        </w:numPr>
        <w:spacing w:after="100"/>
      </w:pPr>
      <w:r>
        <w:rPr>
          <w:b/>
          <w:bCs/>
          <w:color w:val="1c2957"/>
        </w:rPr>
        <w:t xml:space="preserve">Water/Sewer result: </w:t>
      </w:r>
      <w:r>
        <w:t xml:space="preserve">-R5,716 / -R2,196 under-recovered - both figures are small enough to be rounding/estimate noise on the municipal side rather than a genuine loss.</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6.87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13.50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-49.1%</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7.03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0.27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+772.0%</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4.07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6.83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-40.5%</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5.42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4.46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+34.4%</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5.73 kL/day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-18.0%</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4.93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7.68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-35.8%</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6.15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5.74 kL/day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+7.1%</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7.26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2.90 kL/day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+19.0%</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6.91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6.73 kL/day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-3.4%</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6.43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6.43 kL/day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Bob Martin</w:t>
      </w:r>
    </w:p>
    <w:p>
      <w:pPr>
        <w:spacing w:after="200"/>
      </w:pPr>
      <w:r>
        <w:rPr>
          <w:i/>
          <w:iCs/>
          <w:color w:val="64748b"/>
          <w:sz w:val="20"/>
          <w:szCs w:val="20"/>
        </w:rPr>
        <w:t xml:space="preserve">Dec 25 - Jun 26 (7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-R26,991</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-R29,271</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-R11,233</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b81c1c"/>
                <w:sz w:val="18"/>
                <w:szCs w:val="18"/>
              </w:rPr>
              <w:t xml:space="preserve">-R67,494</w:t>
            </w:r>
          </w:p>
        </w:tc>
        <w:tc>
          <w:tcPr>
            <w:tcW w:type="dxa" w:w="3560"/>
            <w:shd w:fill="f1f5f9" w:val="clear"/>
            <w:tcMar>
              <w:top w:type="dxa" w:w="60"/>
              <w:left w:type="dxa" w:w="100"/>
              <w:bottom w:type="dxa" w:w="60"/>
              <w:right w:type="dxa" w:w="100"/>
            </w:tcMar>
          </w:tcPr>
          <w:p>
            <w:pPr>
              <w:jc w:val="left"/>
            </w:pPr>
            <w:r>
              <w:rPr>
                <w:b/>
                <w:bCs/>
                <w:i w:val="false"/>
                <w:iCs w:val="false"/>
                <w:color w:val="b81c1c"/>
                <w:sz w:val="18"/>
                <w:szCs w:val="18"/>
              </w:rPr>
              <w:t xml:space="preserve">Net under-recovered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balanced, tiny consistent gap: </w:t>
      </w:r>
      <w:r>
        <w:t xml:space="preserve">variance sits at a steady ~-1% every single month, and both sides move together in lockstep (our CoV and municipal CoV are identical at 30.4%). This is a stable pricing/rounding difference, not an accuracy problem.</w:t>
      </w:r>
    </w:p>
    <w:p>
      <w:pPr>
        <w:pStyle w:val="ListParagraph"/>
        <w:numPr>
          <w:ilvl w:val="0"/>
          <w:numId w:val="2"/>
        </w:numPr>
        <w:spacing w:after="100"/>
      </w:pPr>
      <w:r>
        <w:rPr>
          <w:b/>
          <w:bCs/>
          <w:color w:val="1c2957"/>
        </w:rPr>
        <w:t xml:space="preserve">Electricity result: </w:t>
      </w:r>
      <w:r>
        <w:t xml:space="preserve">-R26,991 under-recovered across 7 months - immaterial relative to the ~R3,300/month average bill.</w:t>
      </w:r>
    </w:p>
    <w:p>
      <w:pPr>
        <w:pStyle w:val="ListParagraph"/>
        <w:numPr>
          <w:ilvl w:val="0"/>
          <w:numId w:val="2"/>
        </w:numPr>
        <w:spacing w:after="100"/>
      </w:pPr>
      <w:r>
        <w:rPr>
          <w:b/>
          <w:bCs/>
          <w:color w:val="1c2957"/>
        </w:rPr>
        <w:t xml:space="preserve">Water/Sewer - this is a billing gap, not a meter issue: </w:t>
      </w:r>
      <w:r>
        <w:t xml:space="preserve">our own billing shows R0 (0 kL) in 6 of the 7 overlapping months, while Ekurhuleni charged real water/sewer every month without exception. The one month it was billed (May 2026), our reading (3.45 kL/day) matched the municipal reading (3.82 kL/day) almost exactly - proving the metering itself is fine when we actually invoice it.</w:t>
      </w:r>
    </w:p>
    <w:p>
      <w:pPr>
        <w:pStyle w:val="ListParagraph"/>
        <w:numPr>
          <w:ilvl w:val="0"/>
          <w:numId w:val="2"/>
        </w:numPr>
        <w:spacing w:after="100"/>
      </w:pPr>
      <w:r>
        <w:rPr>
          <w:b/>
          <w:bCs/>
          <w:color w:val="1c2957"/>
        </w:rPr>
        <w:t xml:space="preserve">Water/Sewer result: </w:t>
      </w:r>
      <w:r>
        <w:t xml:space="preserve">-R29,271 / -R11,233 under-recovered - this is recoverable by simply invoicing water/sewer every month going forward, not a dispute with the municipality.</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Sep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Oct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Nov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4.03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0.53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3.75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3.39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1.16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3.45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3.82 kL/day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0.0%</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3.68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Loper Road - Sandvic</w:t>
      </w:r>
    </w:p>
    <w:p>
      <w:pPr>
        <w:spacing w:after="200"/>
      </w:pPr>
      <w:r>
        <w:rPr>
          <w:i/>
          <w:iCs/>
          <w:color w:val="64748b"/>
          <w:sz w:val="20"/>
          <w:szCs w:val="20"/>
        </w:rPr>
        <w:t xml:space="preserve">Dec 25 - Jun 26 (6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+R8,789</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-R15,097</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-R5,805</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b81c1c"/>
                <w:sz w:val="18"/>
                <w:szCs w:val="18"/>
              </w:rPr>
              <w:t xml:space="preserve">-R12,114</w:t>
            </w:r>
          </w:p>
        </w:tc>
        <w:tc>
          <w:tcPr>
            <w:tcW w:type="dxa" w:w="3560"/>
            <w:shd w:fill="f1f5f9" w:val="clear"/>
            <w:tcMar>
              <w:top w:type="dxa" w:w="60"/>
              <w:left w:type="dxa" w:w="100"/>
              <w:bottom w:type="dxa" w:w="60"/>
              <w:right w:type="dxa" w:w="100"/>
            </w:tcMar>
          </w:tcPr>
          <w:p>
            <w:pPr>
              <w:jc w:val="left"/>
            </w:pPr>
            <w:r>
              <w:rPr>
                <w:b/>
                <w:bCs/>
                <w:i w:val="false"/>
                <w:iCs w:val="false"/>
                <w:color w:val="b81c1c"/>
                <w:sz w:val="18"/>
                <w:szCs w:val="18"/>
              </w:rPr>
              <w:t xml:space="preserve">Net under-recovered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tight agreement: </w:t>
      </w:r>
      <w:r>
        <w:t xml:space="preserve">variance is within ~1.8% every month except April 2026 (-15.5%), which lines up with the known account-changeover statement that combined April and May consumption into one 61-day read (see the Municipal Account page notes) - a one-off, explainable event.</w:t>
      </w:r>
    </w:p>
    <w:p>
      <w:pPr>
        <w:pStyle w:val="ListParagraph"/>
        <w:numPr>
          <w:ilvl w:val="0"/>
          <w:numId w:val="2"/>
        </w:numPr>
        <w:spacing w:after="100"/>
      </w:pPr>
      <w:r>
        <w:rPr>
          <w:b/>
          <w:bCs/>
          <w:color w:val="1c2957"/>
        </w:rPr>
        <w:t xml:space="preserve">Electricity result: </w:t>
      </w:r>
      <w:r>
        <w:t xml:space="preserve">+R8,789 over-recovered across 6 months - effectively break-even.</w:t>
      </w:r>
    </w:p>
    <w:p>
      <w:pPr>
        <w:pStyle w:val="ListParagraph"/>
        <w:numPr>
          <w:ilvl w:val="0"/>
          <w:numId w:val="2"/>
        </w:numPr>
        <w:spacing w:after="100"/>
      </w:pPr>
      <w:r>
        <w:rPr>
          <w:b/>
          <w:bCs/>
          <w:color w:val="1c2957"/>
        </w:rPr>
        <w:t xml:space="preserve">Water/Sewer - same billing gap as Bob Martin: </w:t>
      </w:r>
      <w:r>
        <w:t xml:space="preserve">our billing shows 0 kL water in all 6 overlapping months, while Ekurhuleni billed real water/sewer at R49.11/kL and R18.91/kL throughout. There is no metering discrepancy to explain here - water/sewer simply is not being invoiced to this tenant yet.</w:t>
      </w:r>
    </w:p>
    <w:p>
      <w:pPr>
        <w:pStyle w:val="ListParagraph"/>
        <w:numPr>
          <w:ilvl w:val="0"/>
          <w:numId w:val="2"/>
        </w:numPr>
        <w:spacing w:after="100"/>
      </w:pPr>
      <w:r>
        <w:rPr>
          <w:b/>
          <w:bCs/>
          <w:color w:val="1c2957"/>
        </w:rPr>
        <w:t xml:space="preserve">Water/Sewer result: </w:t>
      </w:r>
      <w:r>
        <w:t xml:space="preserve">-R15,097 / -R5,805 under-recovered - fully recoverable by adding water/sewer to this site's monthly invoice.</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Sep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Oct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Nov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1.72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2.21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1.93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0.61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May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1.23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AutoZone</w:t>
      </w:r>
    </w:p>
    <w:p>
      <w:pPr>
        <w:spacing w:after="200"/>
      </w:pPr>
      <w:r>
        <w:rPr>
          <w:i/>
          <w:iCs/>
          <w:color w:val="64748b"/>
          <w:sz w:val="20"/>
          <w:szCs w:val="20"/>
        </w:rPr>
        <w:t xml:space="preserve">Dec 25 - Jun 26 (6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+R297,876</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-R268,949</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-R197,293</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b81c1c"/>
                <w:sz w:val="18"/>
                <w:szCs w:val="18"/>
              </w:rPr>
              <w:t xml:space="preserve">-R168,366</w:t>
            </w:r>
          </w:p>
        </w:tc>
        <w:tc>
          <w:tcPr>
            <w:tcW w:type="dxa" w:w="3560"/>
            <w:shd w:fill="f1f5f9" w:val="clear"/>
            <w:tcMar>
              <w:top w:type="dxa" w:w="60"/>
              <w:left w:type="dxa" w:w="100"/>
              <w:bottom w:type="dxa" w:w="60"/>
              <w:right w:type="dxa" w:w="100"/>
            </w:tcMar>
          </w:tcPr>
          <w:p>
            <w:pPr>
              <w:jc w:val="left"/>
            </w:pPr>
            <w:r>
              <w:rPr>
                <w:b/>
                <w:bCs/>
                <w:i w:val="false"/>
                <w:iCs w:val="false"/>
                <w:color w:val="b81c1c"/>
                <w:sz w:val="18"/>
                <w:szCs w:val="18"/>
              </w:rPr>
              <w:t xml:space="preserve">Net under-recovered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solid, no red flags: </w:t>
      </w:r>
      <w:r>
        <w:t xml:space="preserve">variance stays within 15% across all overlapping months; +R297,876 over-recovered across 6 months.</w:t>
      </w:r>
    </w:p>
    <w:p>
      <w:pPr>
        <w:pStyle w:val="ListParagraph"/>
        <w:numPr>
          <w:ilvl w:val="0"/>
          <w:numId w:val="2"/>
        </w:numPr>
        <w:spacing w:after="100"/>
      </w:pPr>
      <w:r>
        <w:rPr>
          <w:b/>
          <w:bCs/>
          <w:color w:val="1c2957"/>
        </w:rPr>
        <w:t xml:space="preserve">Water - the standout finding on the whole portfolio: </w:t>
      </w:r>
      <w:r>
        <w:t xml:space="preserve">our own meter is remarkably constant at ~25 kL/day, every single month (CoV just 0.9%) - exactly what you would expect from a stable retail operation with no seasonal swing. The municipal reading, by contrast, is wildly erratic (CoV 81%): 11 kL/day in April 2026, 51 kL/day in May, then 113 kL/day in June - a swing of more than 10x on an account whose real usage plainly has not moved.</w:t>
      </w:r>
    </w:p>
    <w:p>
      <w:pPr>
        <w:pStyle w:val="ListParagraph"/>
        <w:numPr>
          <w:ilvl w:val="0"/>
          <w:numId w:val="2"/>
        </w:numPr>
        <w:spacing w:after="100"/>
      </w:pPr>
      <w:r>
        <w:rPr>
          <w:b/>
          <w:bCs/>
          <w:color w:val="1c2957"/>
        </w:rPr>
        <w:t xml:space="preserve">Interpretation: </w:t>
      </w:r>
      <w:r>
        <w:t xml:space="preserve">a flat line on our side against a sawtooth on the municipal side is the signature of Ekurhuleni estimating this meter for several months and then "catching up" with a correction read - not evidence that AutoZone's real consumption changed. This should be raised directly with Ekurhuleni as a formal query, using our own steady sub-metered readings as the supporting evidence.</w:t>
      </w:r>
    </w:p>
    <w:p>
      <w:pPr>
        <w:pStyle w:val="ListParagraph"/>
        <w:numPr>
          <w:ilvl w:val="0"/>
          <w:numId w:val="2"/>
        </w:numPr>
        <w:spacing w:after="100"/>
      </w:pPr>
      <w:r>
        <w:rPr>
          <w:b/>
          <w:bCs/>
          <w:color w:val="1c2957"/>
        </w:rPr>
        <w:t xml:space="preserve">Water result: </w:t>
      </w:r>
      <w:r>
        <w:t xml:space="preserve">-R268,949 under-recovered across 6 months - by far the largest single utility exposure in the portfolio, and one where the data supports disputing the municipal readings rather than accepting them as ground truth.</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Sep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Oct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Nov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25.32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28.64 kL/day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+24.6%</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24.61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28.32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-29.1%</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Feb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24.81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20.15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-36.4%</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25.00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10.97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+128.0%</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25.05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51.00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-62.9%</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25.18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113.13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-77.7%</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Cranbrook Flavours</w:t>
      </w:r>
    </w:p>
    <w:p>
      <w:pPr>
        <w:spacing w:after="200"/>
      </w:pPr>
      <w:r>
        <w:rPr>
          <w:i/>
          <w:iCs/>
          <w:color w:val="64748b"/>
          <w:sz w:val="20"/>
          <w:szCs w:val="20"/>
        </w:rPr>
        <w:t xml:space="preserve">Nov 25 - Jun 26 (4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+R15,755</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-R38,877</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-R14,996</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b81c1c"/>
                <w:sz w:val="18"/>
                <w:szCs w:val="18"/>
              </w:rPr>
              <w:t xml:space="preserve">-R38,117</w:t>
            </w:r>
          </w:p>
        </w:tc>
        <w:tc>
          <w:tcPr>
            <w:tcW w:type="dxa" w:w="3560"/>
            <w:shd w:fill="f1f5f9" w:val="clear"/>
            <w:tcMar>
              <w:top w:type="dxa" w:w="60"/>
              <w:left w:type="dxa" w:w="100"/>
              <w:bottom w:type="dxa" w:w="60"/>
              <w:right w:type="dxa" w:w="100"/>
            </w:tcMar>
          </w:tcPr>
          <w:p>
            <w:pPr>
              <w:jc w:val="left"/>
            </w:pPr>
            <w:r>
              <w:rPr>
                <w:b/>
                <w:bCs/>
                <w:i w:val="false"/>
                <w:iCs w:val="false"/>
                <w:color w:val="b81c1c"/>
                <w:sz w:val="18"/>
                <w:szCs w:val="18"/>
              </w:rPr>
              <w:t xml:space="preserve">Net under-recovered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Data caveat: </w:t>
      </w:r>
      <w:r>
        <w:t xml:space="preserve">only 3-4 months of overlapping billing/municipal data are available so far - treat the conclusions below as preliminary until more months land.</w:t>
      </w:r>
    </w:p>
    <w:p>
      <w:pPr>
        <w:pStyle w:val="ListParagraph"/>
        <w:numPr>
          <w:ilvl w:val="0"/>
          <w:numId w:val="2"/>
        </w:numPr>
        <w:spacing w:after="100"/>
      </w:pPr>
      <w:r>
        <w:rPr>
          <w:b/>
          <w:bCs/>
          <w:color w:val="1c2957"/>
        </w:rPr>
        <w:t xml:space="preserve">Electricity - erratic municipal readings: </w:t>
      </w:r>
      <w:r>
        <w:t xml:space="preserve">November 2025 shows a +416% variance (the municipal statement recorded only ~30 kWh for the whole month against our metered ~155 kWh/day - clearly a placeholder/estimated read), while May and June 2026 run the other way, with municipal readings ~40% above ours.</w:t>
      </w:r>
    </w:p>
    <w:p>
      <w:pPr>
        <w:pStyle w:val="ListParagraph"/>
        <w:numPr>
          <w:ilvl w:val="0"/>
          <w:numId w:val="2"/>
        </w:numPr>
        <w:spacing w:after="100"/>
      </w:pPr>
      <w:r>
        <w:rPr>
          <w:b/>
          <w:bCs/>
          <w:color w:val="1c2957"/>
        </w:rPr>
        <w:t xml:space="preserve">Electricity result: </w:t>
      </w:r>
      <w:r>
        <w:t xml:space="preserve">+R15,755 over-recovered across the available months.</w:t>
      </w:r>
    </w:p>
    <w:p>
      <w:pPr>
        <w:pStyle w:val="ListParagraph"/>
        <w:numPr>
          <w:ilvl w:val="0"/>
          <w:numId w:val="2"/>
        </w:numPr>
        <w:spacing w:after="100"/>
      </w:pPr>
      <w:r>
        <w:rPr>
          <w:b/>
          <w:bCs/>
          <w:color w:val="1c2957"/>
        </w:rPr>
        <w:t xml:space="preserve">Water/Sewer - same billing-gap pattern as Bob Martin/Loper Road: </w:t>
      </w:r>
      <w:r>
        <w:t xml:space="preserve">our own billing shows 0 kL every month while Ekurhuleni billed real water/sewer consumption throughout.</w:t>
      </w:r>
    </w:p>
    <w:p>
      <w:pPr>
        <w:pStyle w:val="ListParagraph"/>
        <w:numPr>
          <w:ilvl w:val="0"/>
          <w:numId w:val="2"/>
        </w:numPr>
        <w:spacing w:after="100"/>
      </w:pPr>
      <w:r>
        <w:rPr>
          <w:b/>
          <w:bCs/>
          <w:color w:val="1c2957"/>
        </w:rPr>
        <w:t xml:space="preserve">Water/Sewer result: </w:t>
      </w:r>
      <w:r>
        <w:t xml:space="preserve">-R38,877 / -R14,996 under-recovered - recoverable by invoicing water/sewer, pending confirmation once more months of data are available.</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Sep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Oct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Dec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Jan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Feb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4.80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Apr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7.64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0.00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7.97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-100.0%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Wingfield Business Park</w:t>
      </w:r>
    </w:p>
    <w:p>
      <w:pPr>
        <w:spacing w:after="200"/>
      </w:pPr>
      <w:r>
        <w:rPr>
          <w:i/>
          <w:iCs/>
          <w:color w:val="64748b"/>
          <w:sz w:val="20"/>
          <w:szCs w:val="20"/>
        </w:rPr>
        <w:t xml:space="preserve">Jun 25 - Jun 26 (13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+R1,786,322</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-R447,261</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-R168,415</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0a7a33"/>
                <w:sz w:val="18"/>
                <w:szCs w:val="18"/>
              </w:rPr>
              <w:t xml:space="preserve">+R1,170,646</w:t>
            </w:r>
          </w:p>
        </w:tc>
        <w:tc>
          <w:tcPr>
            <w:tcW w:type="dxa" w:w="3560"/>
            <w:shd w:fill="f1f5f9" w:val="clear"/>
            <w:tcMar>
              <w:top w:type="dxa" w:w="60"/>
              <w:left w:type="dxa" w:w="100"/>
              <w:bottom w:type="dxa" w:w="60"/>
              <w:right w:type="dxa" w:w="100"/>
            </w:tcMar>
          </w:tcPr>
          <w:p>
            <w:pPr>
              <w:jc w:val="left"/>
            </w:pPr>
            <w:r>
              <w:rPr>
                <w:b/>
                <w:bCs/>
                <w:i w:val="false"/>
                <w:iCs w:val="false"/>
                <w:color w:val="0a7a33"/>
                <w:sz w:val="18"/>
                <w:szCs w:val="18"/>
              </w:rPr>
              <w:t xml:space="preserve">Net over-recovered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reasonable agreement: </w:t>
      </w:r>
      <w:r>
        <w:t xml:space="preserve">only 1 of 13 months is flagged (Feb 2026, +37.4%); the Rand gap is a tariff/pricing-structure story rather than a volume-accuracy one, since daily kWh usage tracks closely on both sides.</w:t>
      </w:r>
    </w:p>
    <w:p>
      <w:pPr>
        <w:pStyle w:val="ListParagraph"/>
        <w:numPr>
          <w:ilvl w:val="0"/>
          <w:numId w:val="2"/>
        </w:numPr>
        <w:spacing w:after="100"/>
      </w:pPr>
      <w:r>
        <w:rPr>
          <w:b/>
          <w:bCs/>
          <w:color w:val="1c2957"/>
        </w:rPr>
        <w:t xml:space="preserve">Electricity result: </w:t>
      </w:r>
      <w:r>
        <w:t xml:space="preserve">+R1,786,322 over-recovered across 13 months - reflects the billed tariff margin, not a meter mismatch.</w:t>
      </w:r>
    </w:p>
    <w:p>
      <w:pPr>
        <w:pStyle w:val="ListParagraph"/>
        <w:numPr>
          <w:ilvl w:val="0"/>
          <w:numId w:val="2"/>
        </w:numPr>
        <w:spacing w:after="100"/>
      </w:pPr>
      <w:r>
        <w:rPr>
          <w:b/>
          <w:bCs/>
          <w:color w:val="1c2957"/>
        </w:rPr>
        <w:t xml:space="preserve">Water/Sewer - a genuine, structural gap: </w:t>
      </w:r>
      <w:r>
        <w:t xml:space="preserve">every single month (13 of 13) is flagged, with a consistent negative bias of roughly -30% to -70% - our billed volume is routinely half or less of what the municipal bulk meter measures. Because this pattern repeats every month rather than appearing as random noise, it points to unmetered or unsub-metered water use (common areas, irrigation, fire systems) that the bulk meter captures but tenant-level billing does not.</w:t>
      </w:r>
    </w:p>
    <w:p>
      <w:pPr>
        <w:pStyle w:val="ListParagraph"/>
        <w:numPr>
          <w:ilvl w:val="0"/>
          <w:numId w:val="2"/>
        </w:numPr>
        <w:spacing w:after="100"/>
      </w:pPr>
      <w:r>
        <w:rPr>
          <w:b/>
          <w:bCs/>
          <w:color w:val="1c2957"/>
        </w:rPr>
        <w:t xml:space="preserve">Recommendation: </w:t>
      </w:r>
      <w:r>
        <w:t xml:space="preserve">a physical walk-through/audit of Wingfield's water reticulation to identify what the bulk meter is picking up that isn't currently sub-metered to tenants.</w:t>
      </w:r>
    </w:p>
    <w:p>
      <w:pPr>
        <w:pStyle w:val="ListParagraph"/>
        <w:numPr>
          <w:ilvl w:val="0"/>
          <w:numId w:val="2"/>
        </w:numPr>
        <w:spacing w:after="100"/>
      </w:pPr>
      <w:r>
        <w:rPr>
          <w:b/>
          <w:bCs/>
          <w:color w:val="1c2957"/>
        </w:rPr>
        <w:t xml:space="preserve">Water/Sewer result: </w:t>
      </w:r>
      <w:r>
        <w:t xml:space="preserve">-R447,261 / -R168,415 under-recovered - the largest recurring exposure in the portfolio, and one that needs a site audit rather than a billing fix.</w:t>
      </w:r>
    </w:p>
    <w:p>
      <w:pPr>
        <w:pStyle w:val="Heading2"/>
        <w:spacing w:after="100" w:before="240"/>
      </w:pPr>
      <w:r>
        <w:rPr>
          <w:b/>
          <w:bCs/>
          <w:color w:val="1c2957"/>
        </w:rPr>
        <w:t xml:space="preserve">Meter Accuracy - Average Daily Usage (kL)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bCs/>
                <w:i w:val="false"/>
                <w:iCs w:val="false"/>
                <w:sz w:val="18"/>
                <w:szCs w:val="18"/>
              </w:rPr>
              <w:t xml:space="preserve">Jun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17.99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33.36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-49.4%</w:t>
            </w:r>
          </w:p>
        </w:tc>
      </w:tr>
      <w:tr>
        <w:tc>
          <w:tcPr>
            <w:tcW w:type="dxa" w:w="1500"/>
            <w:tcMar>
              <w:top w:type="dxa" w:w="60"/>
              <w:left w:type="dxa" w:w="100"/>
              <w:bottom w:type="dxa" w:w="60"/>
              <w:right w:type="dxa" w:w="100"/>
            </w:tcMar>
          </w:tcPr>
          <w:p>
            <w:pPr>
              <w:jc w:val="left"/>
            </w:pPr>
            <w:r>
              <w:rPr>
                <w:b/>
                <w:bCs/>
                <w:i w:val="false"/>
                <w:iCs w:val="false"/>
                <w:sz w:val="18"/>
                <w:szCs w:val="18"/>
              </w:rPr>
              <w:t xml:space="preserve">Jul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26.82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39.17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-41.0%</w:t>
            </w:r>
          </w:p>
        </w:tc>
      </w:tr>
      <w:tr>
        <w:tc>
          <w:tcPr>
            <w:tcW w:type="dxa" w:w="1500"/>
            <w:tcMar>
              <w:top w:type="dxa" w:w="60"/>
              <w:left w:type="dxa" w:w="100"/>
              <w:bottom w:type="dxa" w:w="60"/>
              <w:right w:type="dxa" w:w="100"/>
            </w:tcMar>
          </w:tcPr>
          <w:p>
            <w:pPr>
              <w:jc w:val="left"/>
            </w:pPr>
            <w:r>
              <w:rPr>
                <w:b/>
                <w:bCs/>
                <w:i w:val="false"/>
                <w:iCs w:val="false"/>
                <w:sz w:val="18"/>
                <w:szCs w:val="18"/>
              </w:rPr>
              <w:t xml:space="preserve">Aug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17.10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32.11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-52.8%</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17.83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33.75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-31.8%</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23.84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37.97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-46.2%</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18.93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35.76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-50.3%</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20.94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33.85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-28.6%</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14.51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50.50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-65.5%</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20.68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44.50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-57.6%</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19.34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68.10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-69.7%</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18.14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46.47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-65.6%</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26.81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50.68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-55.6%</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21.12 kL/day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52.37 kL/day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-59.7%</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City Deep Industrial Park</w:t>
      </w:r>
    </w:p>
    <w:p>
      <w:pPr>
        <w:spacing w:after="200"/>
      </w:pPr>
      <w:r>
        <w:rPr>
          <w:b/>
          <w:bCs/>
          <w:color w:val="64748b"/>
          <w:sz w:val="22"/>
          <w:szCs w:val="22"/>
        </w:rPr>
        <w:t xml:space="preserve">Industrial Park (Industrial A &amp; B accounts)</w:t>
      </w:r>
    </w:p>
    <w:p>
      <w:pPr>
        <w:spacing w:after="200"/>
      </w:pPr>
      <w:r>
        <w:rPr>
          <w:i/>
          <w:iCs/>
          <w:color w:val="64748b"/>
          <w:sz w:val="20"/>
          <w:szCs w:val="20"/>
        </w:rPr>
        <w:t xml:space="preserve">Sep 25 - Jun 26 (10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+R1,909,834</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-R1,540,123</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+R252,327</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0a7a33"/>
                <w:sz w:val="18"/>
                <w:szCs w:val="18"/>
              </w:rPr>
              <w:t xml:space="preserve">+R622,037</w:t>
            </w:r>
          </w:p>
        </w:tc>
        <w:tc>
          <w:tcPr>
            <w:tcW w:type="dxa" w:w="3560"/>
            <w:shd w:fill="f1f5f9" w:val="clear"/>
            <w:tcMar>
              <w:top w:type="dxa" w:w="60"/>
              <w:left w:type="dxa" w:w="100"/>
              <w:bottom w:type="dxa" w:w="60"/>
              <w:right w:type="dxa" w:w="100"/>
            </w:tcMar>
          </w:tcPr>
          <w:p>
            <w:pPr>
              <w:jc w:val="left"/>
            </w:pPr>
            <w:r>
              <w:rPr>
                <w:b/>
                <w:bCs/>
                <w:i w:val="false"/>
                <w:iCs w:val="false"/>
                <w:color w:val="0a7a33"/>
                <w:sz w:val="18"/>
                <w:szCs w:val="18"/>
              </w:rPr>
              <w:t xml:space="preserve">Net over-recovered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erratic municipal readings, not a fault on our side: </w:t>
      </w:r>
      <w:r>
        <w:t xml:space="preserve">9 of 10 months are flagged; the municipal side is highly volatile (CoV 52.4%) against our steady, consistent billing (CoV 16.8%). Several municipal readings are implausibly low for two large industrial accounts combined - November 2025 averaged just 580 kWh/day, June 2026 only 232 kWh/day - consistent with estimated/placeholder municipal reads that get corrected later.</w:t>
      </w:r>
    </w:p>
    <w:p>
      <w:pPr>
        <w:pStyle w:val="ListParagraph"/>
        <w:numPr>
          <w:ilvl w:val="0"/>
          <w:numId w:val="2"/>
        </w:numPr>
        <w:spacing w:after="100"/>
      </w:pPr>
      <w:r>
        <w:rPr>
          <w:b/>
          <w:bCs/>
          <w:color w:val="1c2957"/>
        </w:rPr>
        <w:t xml:space="preserve">Electricity result: </w:t>
      </w:r>
      <w:r>
        <w:t xml:space="preserve">+R1,909,834 over-recovered across 10 months - this reflects real consumption we are billing correctly against municipal statements that understate usage in most months, not an over-billing risk.</w:t>
      </w:r>
    </w:p>
    <w:p>
      <w:pPr>
        <w:pStyle w:val="ListParagraph"/>
        <w:numPr>
          <w:ilvl w:val="0"/>
          <w:numId w:val="2"/>
        </w:numPr>
        <w:spacing w:after="100"/>
      </w:pPr>
      <w:r>
        <w:rPr>
          <w:b/>
          <w:bCs/>
          <w:color w:val="1c2957"/>
        </w:rPr>
        <w:t xml:space="preserve">Water/Sewer - same underlying volume noise, split Rand outcome: </w:t>
      </w:r>
      <w:r>
        <w:t xml:space="preserve">water and sewer share the identical consumption reading (same meter, different tariff), so both utilities show the same erratic variance pattern month to month. The Rand outcome diverges purely because of the different tariff rates applied - Water: -R1,540,123 under-recovered; Sewer: +R252,327 over-recovered.</w:t>
      </w:r>
    </w:p>
    <w:p>
      <w:pPr>
        <w:pStyle w:val="Heading2"/>
        <w:spacing w:after="100" w:before="240"/>
      </w:pPr>
      <w:r>
        <w:rPr>
          <w:b/>
          <w:bCs/>
          <w:color w:val="1c2957"/>
        </w:rPr>
        <w:t xml:space="preserve">Meter Accuracy - Average Daily Usage (kWh)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13912.44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4853.24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+286.4%</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13980.56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5007.37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+52.8%</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14591.71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579.80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+139.7%</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15653.39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7720.33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+23.9%</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8627.89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5983.18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+55.9%</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11808.79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9107.35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+44.1%</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10822.20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7651.03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+32.0%</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11072.55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9032.03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+26.8%</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11092.22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7600.30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+50.8%</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10968.79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232.49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+4618.0%</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r>
        <w:br w:type="page"/>
      </w:r>
    </w:p>
    <w:p>
      <w:pPr>
        <w:pStyle w:val="Heading1"/>
        <w:spacing w:after="120" w:before="0"/>
      </w:pPr>
      <w:r>
        <w:rPr>
          <w:b/>
          <w:bCs/>
          <w:color w:val="1c2957"/>
        </w:rPr>
        <w:t xml:space="preserve">City Deep Industrial Park</w:t>
      </w:r>
    </w:p>
    <w:p>
      <w:pPr>
        <w:spacing w:after="200"/>
      </w:pPr>
      <w:r>
        <w:rPr>
          <w:b/>
          <w:bCs/>
          <w:color w:val="64748b"/>
          <w:sz w:val="22"/>
          <w:szCs w:val="22"/>
        </w:rPr>
        <w:t xml:space="preserve">City Deep (Rittle account)</w:t>
      </w:r>
    </w:p>
    <w:p>
      <w:pPr>
        <w:spacing w:after="200"/>
      </w:pPr>
      <w:r>
        <w:rPr>
          <w:i/>
          <w:iCs/>
          <w:color w:val="64748b"/>
          <w:sz w:val="20"/>
          <w:szCs w:val="20"/>
        </w:rPr>
        <w:t xml:space="preserve">Sep 25 - Jun 26 (10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-R310,444</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-R29,292</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b81c1c"/>
                <w:sz w:val="18"/>
                <w:szCs w:val="18"/>
              </w:rPr>
              <w:t xml:space="preserve">-R26,971</w:t>
            </w:r>
          </w:p>
        </w:tc>
        <w:tc>
          <w:tcPr>
            <w:tcW w:type="dxa" w:w="3560"/>
            <w:tcMar>
              <w:top w:type="dxa" w:w="60"/>
              <w:left w:type="dxa" w:w="100"/>
              <w:bottom w:type="dxa" w:w="60"/>
              <w:right w:type="dxa" w:w="100"/>
            </w:tcMar>
          </w:tcPr>
          <w:p>
            <w:pPr>
              <w:jc w:val="left"/>
            </w:pPr>
            <w:r>
              <w:rPr>
                <w:b w:val="false"/>
                <w:bCs w:val="false"/>
                <w:i w:val="false"/>
                <w:iCs w:val="false"/>
                <w:color w:val="b81c1c"/>
                <w:sz w:val="18"/>
                <w:szCs w:val="18"/>
              </w:rPr>
              <w:t xml:space="preserve">Under-recovered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b81c1c"/>
                <w:sz w:val="18"/>
                <w:szCs w:val="18"/>
              </w:rPr>
              <w:t xml:space="preserve">-R366,706</w:t>
            </w:r>
          </w:p>
        </w:tc>
        <w:tc>
          <w:tcPr>
            <w:tcW w:type="dxa" w:w="3560"/>
            <w:shd w:fill="f1f5f9" w:val="clear"/>
            <w:tcMar>
              <w:top w:type="dxa" w:w="60"/>
              <w:left w:type="dxa" w:w="100"/>
              <w:bottom w:type="dxa" w:w="60"/>
              <w:right w:type="dxa" w:w="100"/>
            </w:tcMar>
          </w:tcPr>
          <w:p>
            <w:pPr>
              <w:jc w:val="left"/>
            </w:pPr>
            <w:r>
              <w:rPr>
                <w:b/>
                <w:bCs/>
                <w:i w:val="false"/>
                <w:iCs w:val="false"/>
                <w:color w:val="b81c1c"/>
                <w:sz w:val="18"/>
                <w:szCs w:val="18"/>
              </w:rPr>
              <w:t xml:space="preserve">Net under-recovered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the key finding on this account: </w:t>
      </w:r>
      <w:r>
        <w:t xml:space="preserve">7 of 10 months are flagged, with the municipal side highly erratic (CoV 69.4%) against our steady billing (CoV 14.7%). The underlying cause is visible in Ekurhuleni's own statement detail: reactive energy (kVARh) charges run 3-6x our active kWh reading in almost every month (see table below), while the demand charge is billed at a flat 70 kVA in effectively every one of the 10 months regardless of actual load - a classic signature of an estimated, not measured, demand/reactive reading being carried forward month after month.</w:t>
      </w:r>
    </w:p>
    <w:p>
      <w:pPr>
        <w:pStyle w:val="ListParagraph"/>
        <w:numPr>
          <w:ilvl w:val="0"/>
          <w:numId w:val="2"/>
        </w:numPr>
        <w:spacing w:after="100"/>
      </w:pPr>
      <w:r>
        <w:rPr>
          <w:b/>
          <w:bCs/>
          <w:color w:val="1c2957"/>
        </w:rPr>
        <w:t xml:space="preserve">The correction: </w:t>
      </w:r>
      <w:r>
        <w:t xml:space="preserve">in June 2026 the reactive reading suddenly collapsed to 7,350 kVARh (in line with real load for the first time all year) - consistent with a genuine meter read finally landing that month after many months of estimates.</w:t>
      </w:r>
    </w:p>
    <w:p>
      <w:pPr>
        <w:pStyle w:val="ListParagraph"/>
        <w:numPr>
          <w:ilvl w:val="0"/>
          <w:numId w:val="2"/>
        </w:numPr>
        <w:spacing w:after="100"/>
      </w:pPr>
      <w:r>
        <w:rPr>
          <w:b/>
          <w:bCs/>
          <w:color w:val="1c2957"/>
        </w:rPr>
        <w:t xml:space="preserve">Electricity result: </w:t>
      </w:r>
      <w:r>
        <w:t xml:space="preserve">-R310,444 under-recovered across 10 months. Because our own billing is based on measured kWh only and does not carry Ekurhuleni's reactive-energy estimate swings, this under-recovery is a tariff-structure/estimate issue on the municipal side, not a fault in our own metering - worth raising directly with Ekurhuleni, supported by the pattern below.</w:t>
      </w:r>
    </w:p>
    <w:p>
      <w:pPr>
        <w:pStyle w:val="ListParagraph"/>
        <w:numPr>
          <w:ilvl w:val="0"/>
          <w:numId w:val="2"/>
        </w:numPr>
        <w:spacing w:after="100"/>
      </w:pPr>
      <w:r>
        <w:rPr>
          <w:b/>
          <w:bCs/>
          <w:color w:val="1c2957"/>
        </w:rPr>
        <w:t xml:space="preserve">Water/Sewer: </w:t>
      </w:r>
      <w:r>
        <w:t xml:space="preserve">-R29,292 / -R26,971 under-recovered - smaller, with moderate volatility on both sides (municipal CoV 29.2%, ours 30.0%) and no single dominant driver.</w:t>
      </w:r>
    </w:p>
    <w:p>
      <w:pPr>
        <w:pStyle w:val="Heading2"/>
        <w:spacing w:after="100" w:before="240"/>
      </w:pPr>
      <w:r>
        <w:rPr>
          <w:b/>
          <w:bCs/>
          <w:color w:val="1c2957"/>
        </w:rPr>
        <w:t xml:space="preserve">Meter Accuracy - Average Daily Usage (kWh)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490.58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303.48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+72.8%</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487.17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313.54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-23.6%</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514.50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329.41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+56.2%</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574.18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334.05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+26.0%</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667.40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531.41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+67.5%</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750.67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546.64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+52.6%</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607.71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633.20 kWh/day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-7.3%</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582.40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1777.99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-67.2%</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516.39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547.87 kWh/day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-2.6%</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486.90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653.07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-25.4%</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p>
      <w:pPr>
        <w:pStyle w:val="Heading2"/>
        <w:spacing w:after="100" w:before="240"/>
      </w:pPr>
      <w:r>
        <w:rPr>
          <w:b/>
          <w:bCs/>
          <w:color w:val="1c2957"/>
        </w:rPr>
        <w:t xml:space="preserve">Ekurhuleni Statement Detail - Active vs Reactive Energy</w:t>
      </w:r>
    </w:p>
    <w:p>
      <w:pPr>
        <w:spacing w:after="120"/>
      </w:pPr>
      <w:r>
        <w:rPr>
          <w:b w:val="false"/>
          <w:bCs w:val="false"/>
          <w:i/>
          <w:iCs/>
          <w:color w:val="64748b"/>
          <w:sz w:val="18"/>
          <w:szCs w:val="18"/>
        </w:rPr>
        <w:t xml:space="preserve">Reactive energy (kVARh) and demand (kVA) readings pulled directly from each month's Ekurhuleni statement - not part of the standard Recovery comparison above, shown here because it explains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00"/>
        <w:gridCol w:w="15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200"/>
            <w:shd w:fill="1c2957" w:val="clear"/>
            <w:tcMar>
              <w:top w:type="dxa" w:w="60"/>
              <w:left w:type="dxa" w:w="100"/>
              <w:bottom w:type="dxa" w:w="60"/>
              <w:right w:type="dxa" w:w="100"/>
            </w:tcMar>
          </w:tcPr>
          <w:p>
            <w:pPr>
              <w:jc w:val="right"/>
            </w:pPr>
            <w:r>
              <w:rPr>
                <w:b/>
                <w:bCs/>
                <w:i w:val="false"/>
                <w:iCs w:val="false"/>
                <w:color w:val="ffffff"/>
                <w:sz w:val="18"/>
                <w:szCs w:val="18"/>
              </w:rPr>
              <w:t xml:space="preserve">Active kWh</w:t>
            </w:r>
          </w:p>
        </w:tc>
        <w:tc>
          <w:tcPr>
            <w:tcW w:type="dxa" w:w="2200"/>
            <w:shd w:fill="1c2957" w:val="clear"/>
            <w:tcMar>
              <w:top w:type="dxa" w:w="60"/>
              <w:left w:type="dxa" w:w="100"/>
              <w:bottom w:type="dxa" w:w="60"/>
              <w:right w:type="dxa" w:w="100"/>
            </w:tcMar>
          </w:tcPr>
          <w:p>
            <w:pPr>
              <w:jc w:val="right"/>
            </w:pPr>
            <w:r>
              <w:rPr>
                <w:b/>
                <w:bCs/>
                <w:i w:val="false"/>
                <w:iCs w:val="false"/>
                <w:color w:val="ffffff"/>
                <w:sz w:val="18"/>
                <w:szCs w:val="18"/>
              </w:rPr>
              <w:t xml:space="preserve">Reactive kVARh</w:t>
            </w:r>
          </w:p>
        </w:tc>
        <w:tc>
          <w:tcPr>
            <w:tcW w:type="dxa" w:w="1900"/>
            <w:shd w:fill="1c2957" w:val="clear"/>
            <w:tcMar>
              <w:top w:type="dxa" w:w="60"/>
              <w:left w:type="dxa" w:w="100"/>
              <w:bottom w:type="dxa" w:w="60"/>
              <w:right w:type="dxa" w:w="100"/>
            </w:tcMar>
          </w:tcPr>
          <w:p>
            <w:pPr>
              <w:jc w:val="right"/>
            </w:pPr>
            <w:r>
              <w:rPr>
                <w:b/>
                <w:bCs/>
                <w:i w:val="false"/>
                <w:iCs w:val="false"/>
                <w:color w:val="ffffff"/>
                <w:sz w:val="18"/>
                <w:szCs w:val="18"/>
              </w:rPr>
              <w:t xml:space="preserve">Reactive/Active</w:t>
            </w:r>
          </w:p>
        </w:tc>
        <w:tc>
          <w:tcPr>
            <w:tcW w:type="dxa" w:w="1560"/>
            <w:shd w:fill="1c2957" w:val="clear"/>
            <w:tcMar>
              <w:top w:type="dxa" w:w="60"/>
              <w:left w:type="dxa" w:w="100"/>
              <w:bottom w:type="dxa" w:w="60"/>
              <w:right w:type="dxa" w:w="100"/>
            </w:tcMar>
          </w:tcPr>
          <w:p>
            <w:pPr>
              <w:jc w:val="right"/>
            </w:pPr>
            <w:r>
              <w:rPr>
                <w:b/>
                <w:bCs/>
                <w:i w:val="false"/>
                <w:iCs w:val="false"/>
                <w:color w:val="ffffff"/>
                <w:sz w:val="18"/>
                <w:szCs w:val="18"/>
              </w:rPr>
              <w:t xml:space="preserve">Demand kVA Billed</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8,801</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45,030</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5.12x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9,698</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49,622</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5.12x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10,541</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59,546</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5.65x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10,022</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49,788</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4.97x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15,942</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64,685</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4.06x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14,759</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59,886</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4.06x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18,363</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68,119</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3.71x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53,340</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82,864</w:t>
            </w:r>
          </w:p>
        </w:tc>
        <w:tc>
          <w:tcPr>
            <w:tcW w:type="dxa" w:w="1900"/>
            <w:tcMar>
              <w:top w:type="dxa" w:w="60"/>
              <w:left w:type="dxa" w:w="100"/>
              <w:bottom w:type="dxa" w:w="60"/>
              <w:right w:type="dxa" w:w="100"/>
            </w:tcMar>
          </w:tcPr>
          <w:p>
            <w:pPr>
              <w:jc w:val="right"/>
            </w:pPr>
            <w:r>
              <w:rPr>
                <w:b/>
                <w:bCs/>
                <w:i w:val="false"/>
                <w:iCs w:val="false"/>
                <w:color w:val="52525b"/>
                <w:sz w:val="18"/>
                <w:szCs w:val="18"/>
              </w:rPr>
              <w:t xml:space="preserve">1.55x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16,436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97,882</w:t>
            </w:r>
          </w:p>
        </w:tc>
        <w:tc>
          <w:tcPr>
            <w:tcW w:type="dxa" w:w="1900"/>
            <w:tcMar>
              <w:top w:type="dxa" w:w="60"/>
              <w:left w:type="dxa" w:w="100"/>
              <w:bottom w:type="dxa" w:w="60"/>
              <w:right w:type="dxa" w:w="100"/>
            </w:tcMar>
          </w:tcPr>
          <w:p>
            <w:pPr>
              <w:jc w:val="right"/>
            </w:pPr>
            <w:r>
              <w:rPr>
                <w:b/>
                <w:bCs/>
                <w:i w:val="false"/>
                <w:iCs w:val="false"/>
                <w:color w:val="b81c1c"/>
                <w:sz w:val="18"/>
                <w:szCs w:val="18"/>
              </w:rPr>
              <w:t xml:space="preserve">5.96x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18,939</w:t>
            </w:r>
          </w:p>
        </w:tc>
        <w:tc>
          <w:tcPr>
            <w:tcW w:type="dxa" w:w="2200"/>
            <w:tcMar>
              <w:top w:type="dxa" w:w="60"/>
              <w:left w:type="dxa" w:w="100"/>
              <w:bottom w:type="dxa" w:w="60"/>
              <w:right w:type="dxa" w:w="100"/>
            </w:tcMar>
          </w:tcPr>
          <w:p>
            <w:pPr>
              <w:jc w:val="right"/>
            </w:pPr>
            <w:r>
              <w:rPr>
                <w:b w:val="false"/>
                <w:bCs w:val="false"/>
                <w:i w:val="false"/>
                <w:iCs w:val="false"/>
                <w:sz w:val="18"/>
                <w:szCs w:val="18"/>
              </w:rPr>
              <w:t xml:space="preserve">7,350</w:t>
            </w:r>
          </w:p>
        </w:tc>
        <w:tc>
          <w:tcPr>
            <w:tcW w:type="dxa" w:w="1900"/>
            <w:tcMar>
              <w:top w:type="dxa" w:w="60"/>
              <w:left w:type="dxa" w:w="100"/>
              <w:bottom w:type="dxa" w:w="60"/>
              <w:right w:type="dxa" w:w="100"/>
            </w:tcMar>
          </w:tcPr>
          <w:p>
            <w:pPr>
              <w:jc w:val="right"/>
            </w:pPr>
            <w:r>
              <w:rPr>
                <w:b/>
                <w:bCs/>
                <w:i w:val="false"/>
                <w:iCs w:val="false"/>
                <w:color w:val="0a7a33"/>
                <w:sz w:val="18"/>
                <w:szCs w:val="18"/>
              </w:rPr>
              <w:t xml:space="preserve">0.39x</w:t>
            </w:r>
          </w:p>
        </w:tc>
        <w:tc>
          <w:tcPr>
            <w:tcW w:type="dxa" w:w="1560"/>
            <w:tcMar>
              <w:top w:type="dxa" w:w="60"/>
              <w:left w:type="dxa" w:w="100"/>
              <w:bottom w:type="dxa" w:w="60"/>
              <w:right w:type="dxa" w:w="100"/>
            </w:tcMar>
          </w:tcPr>
          <w:p>
            <w:pPr>
              <w:jc w:val="right"/>
            </w:pPr>
            <w:r>
              <w:rPr>
                <w:b w:val="false"/>
                <w:bCs w:val="false"/>
                <w:i w:val="false"/>
                <w:iCs w:val="false"/>
                <w:color w:val="52525b"/>
                <w:sz w:val="18"/>
                <w:szCs w:val="18"/>
              </w:rPr>
              <w:t xml:space="preserve">70.0</w:t>
            </w:r>
          </w:p>
        </w:tc>
      </w:tr>
    </w:tbl>
    <w:p>
      <w:r>
        <w:br w:type="page"/>
      </w:r>
    </w:p>
    <w:p>
      <w:pPr>
        <w:pStyle w:val="Heading1"/>
        <w:spacing w:after="120" w:before="0"/>
      </w:pPr>
      <w:r>
        <w:rPr>
          <w:b/>
          <w:bCs/>
          <w:color w:val="1c2957"/>
        </w:rPr>
        <w:t xml:space="preserve">City Deep Industrial Park</w:t>
      </w:r>
    </w:p>
    <w:p>
      <w:pPr>
        <w:spacing w:after="200"/>
      </w:pPr>
      <w:r>
        <w:rPr>
          <w:b/>
          <w:bCs/>
          <w:color w:val="64748b"/>
          <w:sz w:val="22"/>
          <w:szCs w:val="22"/>
        </w:rPr>
        <w:t xml:space="preserve">Mini Park (Mini account)</w:t>
      </w:r>
    </w:p>
    <w:p>
      <w:pPr>
        <w:spacing w:after="200"/>
      </w:pPr>
      <w:r>
        <w:rPr>
          <w:i/>
          <w:iCs/>
          <w:color w:val="64748b"/>
          <w:sz w:val="20"/>
          <w:szCs w:val="20"/>
        </w:rPr>
        <w:t xml:space="preserve">Sep 25 - Jun 26 (10 months of overlapping data)</w:t>
      </w:r>
    </w:p>
    <w:p>
      <w:pPr>
        <w:pStyle w:val="Heading2"/>
        <w:spacing w:after="100" w:before="240"/>
      </w:pPr>
      <w:r>
        <w:rPr>
          <w:b/>
          <w:bCs/>
          <w:color w:val="1c2957"/>
        </w:rPr>
        <w:t xml:space="preserve">Recovery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c2957" w:val="clear"/>
            <w:tcMar>
              <w:top w:type="dxa" w:w="60"/>
              <w:left w:type="dxa" w:w="100"/>
              <w:bottom w:type="dxa" w:w="60"/>
              <w:right w:type="dxa" w:w="100"/>
            </w:tcMar>
          </w:tcPr>
          <w:p>
            <w:pPr>
              <w:jc w:val="left"/>
            </w:pPr>
            <w:r>
              <w:rPr>
                <w:b/>
                <w:bCs/>
                <w:i w:val="false"/>
                <w:iCs w:val="false"/>
                <w:color w:val="ffffff"/>
                <w:sz w:val="18"/>
                <w:szCs w:val="18"/>
              </w:rPr>
              <w:t xml:space="preserve">Utility</w:t>
            </w:r>
          </w:p>
        </w:tc>
        <w:tc>
          <w:tcPr>
            <w:tcW w:type="dxa" w:w="2600"/>
            <w:shd w:fill="1c2957" w:val="clear"/>
            <w:tcMar>
              <w:top w:type="dxa" w:w="60"/>
              <w:left w:type="dxa" w:w="100"/>
              <w:bottom w:type="dxa" w:w="60"/>
              <w:right w:type="dxa" w:w="100"/>
            </w:tcMar>
          </w:tcPr>
          <w:p>
            <w:pPr>
              <w:jc w:val="right"/>
            </w:pPr>
            <w:r>
              <w:rPr>
                <w:b/>
                <w:bCs/>
                <w:i w:val="false"/>
                <w:iCs w:val="false"/>
                <w:color w:val="ffffff"/>
                <w:sz w:val="18"/>
                <w:szCs w:val="18"/>
              </w:rPr>
              <w:t xml:space="preserve">Net Recovery (Excl VAT)</w:t>
            </w:r>
          </w:p>
        </w:tc>
        <w:tc>
          <w:tcPr>
            <w:tcW w:type="dxa" w:w="3560"/>
            <w:shd w:fill="1c2957" w:val="clear"/>
            <w:tcMar>
              <w:top w:type="dxa" w:w="60"/>
              <w:left w:type="dxa" w:w="100"/>
              <w:bottom w:type="dxa" w:w="60"/>
              <w:right w:type="dxa" w:w="100"/>
            </w:tcMar>
          </w:tcPr>
          <w:p>
            <w:pPr>
              <w:jc w:val="left"/>
            </w:pPr>
            <w:r>
              <w:rPr>
                <w:b/>
                <w:bCs/>
                <w:i w:val="false"/>
                <w:iCs w:val="false"/>
                <w:color w:val="ffffff"/>
                <w:sz w:val="18"/>
                <w:szCs w:val="18"/>
              </w:rPr>
              <w:t xml:space="preserve">Reading</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Electricity</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+R477,690</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Water</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+R50,123</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tcMar>
              <w:top w:type="dxa" w:w="60"/>
              <w:left w:type="dxa" w:w="100"/>
              <w:bottom w:type="dxa" w:w="60"/>
              <w:right w:type="dxa" w:w="100"/>
            </w:tcMar>
          </w:tcPr>
          <w:p>
            <w:pPr>
              <w:jc w:val="left"/>
            </w:pPr>
            <w:r>
              <w:rPr>
                <w:b w:val="false"/>
                <w:bCs w:val="false"/>
                <w:i w:val="false"/>
                <w:iCs w:val="false"/>
                <w:sz w:val="18"/>
                <w:szCs w:val="18"/>
              </w:rPr>
              <w:t xml:space="preserve">Sewer</w:t>
            </w:r>
          </w:p>
        </w:tc>
        <w:tc>
          <w:tcPr>
            <w:tcW w:type="dxa" w:w="2600"/>
            <w:tcMar>
              <w:top w:type="dxa" w:w="60"/>
              <w:left w:type="dxa" w:w="100"/>
              <w:bottom w:type="dxa" w:w="60"/>
              <w:right w:type="dxa" w:w="100"/>
            </w:tcMar>
          </w:tcPr>
          <w:p>
            <w:pPr>
              <w:jc w:val="right"/>
            </w:pPr>
            <w:r>
              <w:rPr>
                <w:b/>
                <w:bCs/>
                <w:i w:val="false"/>
                <w:iCs w:val="false"/>
                <w:color w:val="0a7a33"/>
                <w:sz w:val="18"/>
                <w:szCs w:val="18"/>
              </w:rPr>
              <w:t xml:space="preserve">+R50,500</w:t>
            </w:r>
          </w:p>
        </w:tc>
        <w:tc>
          <w:tcPr>
            <w:tcW w:type="dxa" w:w="3560"/>
            <w:tcMar>
              <w:top w:type="dxa" w:w="60"/>
              <w:left w:type="dxa" w:w="100"/>
              <w:bottom w:type="dxa" w:w="60"/>
              <w:right w:type="dxa" w:w="100"/>
            </w:tcMar>
          </w:tcPr>
          <w:p>
            <w:pPr>
              <w:jc w:val="left"/>
            </w:pPr>
            <w:r>
              <w:rPr>
                <w:b w:val="false"/>
                <w:bCs w:val="false"/>
                <w:i w:val="false"/>
                <w:iCs w:val="false"/>
                <w:color w:val="0a7a33"/>
                <w:sz w:val="18"/>
                <w:szCs w:val="18"/>
              </w:rPr>
              <w:t xml:space="preserve">Over-recovered</w:t>
            </w:r>
          </w:p>
        </w:tc>
      </w:tr>
      <w:tr>
        <w:tc>
          <w:tcPr>
            <w:tcW w:type="dxa" w:w="3200"/>
            <w:shd w:fill="f1f5f9" w:val="clear"/>
            <w:tcMar>
              <w:top w:type="dxa" w:w="60"/>
              <w:left w:type="dxa" w:w="100"/>
              <w:bottom w:type="dxa" w:w="60"/>
              <w:right w:type="dxa" w:w="100"/>
            </w:tcMar>
          </w:tcPr>
          <w:p>
            <w:pPr>
              <w:jc w:val="left"/>
            </w:pPr>
            <w:r>
              <w:rPr>
                <w:b/>
                <w:bCs/>
                <w:i w:val="false"/>
                <w:iCs w:val="false"/>
                <w:sz w:val="18"/>
                <w:szCs w:val="18"/>
              </w:rPr>
              <w:t xml:space="preserve">TOTAL</w:t>
            </w:r>
          </w:p>
        </w:tc>
        <w:tc>
          <w:tcPr>
            <w:tcW w:type="dxa" w:w="2600"/>
            <w:shd w:fill="f1f5f9" w:val="clear"/>
            <w:tcMar>
              <w:top w:type="dxa" w:w="60"/>
              <w:left w:type="dxa" w:w="100"/>
              <w:bottom w:type="dxa" w:w="60"/>
              <w:right w:type="dxa" w:w="100"/>
            </w:tcMar>
          </w:tcPr>
          <w:p>
            <w:pPr>
              <w:jc w:val="right"/>
            </w:pPr>
            <w:r>
              <w:rPr>
                <w:b/>
                <w:bCs/>
                <w:i w:val="false"/>
                <w:iCs w:val="false"/>
                <w:color w:val="0a7a33"/>
                <w:sz w:val="18"/>
                <w:szCs w:val="18"/>
              </w:rPr>
              <w:t xml:space="preserve">+R578,313</w:t>
            </w:r>
          </w:p>
        </w:tc>
        <w:tc>
          <w:tcPr>
            <w:tcW w:type="dxa" w:w="3560"/>
            <w:shd w:fill="f1f5f9" w:val="clear"/>
            <w:tcMar>
              <w:top w:type="dxa" w:w="60"/>
              <w:left w:type="dxa" w:w="100"/>
              <w:bottom w:type="dxa" w:w="60"/>
              <w:right w:type="dxa" w:w="100"/>
            </w:tcMar>
          </w:tcPr>
          <w:p>
            <w:pPr>
              <w:jc w:val="left"/>
            </w:pPr>
            <w:r>
              <w:rPr>
                <w:b/>
                <w:bCs/>
                <w:i w:val="false"/>
                <w:iCs w:val="false"/>
                <w:color w:val="0a7a33"/>
                <w:sz w:val="18"/>
                <w:szCs w:val="18"/>
              </w:rPr>
              <w:t xml:space="preserve">Net over-recovered</w:t>
            </w:r>
          </w:p>
        </w:tc>
      </w:tr>
    </w:tbl>
    <w:p>
      <w:pPr>
        <w:pStyle w:val="Heading2"/>
        <w:spacing w:after="100" w:before="240"/>
      </w:pPr>
      <w:r>
        <w:rPr>
          <w:b/>
          <w:bCs/>
          <w:color w:val="1c2957"/>
        </w:rPr>
        <w:t xml:space="preserve">Why</w:t>
      </w:r>
    </w:p>
    <w:p>
      <w:pPr>
        <w:pStyle w:val="ListParagraph"/>
        <w:numPr>
          <w:ilvl w:val="0"/>
          <w:numId w:val="2"/>
        </w:numPr>
        <w:spacing w:after="100"/>
      </w:pPr>
      <w:r>
        <w:rPr>
          <w:b/>
          <w:bCs/>
          <w:color w:val="1c2957"/>
        </w:rPr>
        <w:t xml:space="preserve">Electricity - the most balanced account in the portfolio: </w:t>
      </w:r>
      <w:r>
        <w:t xml:space="preserve">only 4 of 10 months are flagged, and municipal volatility (CoV 30.6%) is moderate rather than extreme. January 2026 is the outlier (+89.8%), where the municipal reading dropped sharply for that one month only.</w:t>
      </w:r>
    </w:p>
    <w:p>
      <w:pPr>
        <w:pStyle w:val="ListParagraph"/>
        <w:numPr>
          <w:ilvl w:val="0"/>
          <w:numId w:val="2"/>
        </w:numPr>
        <w:spacing w:after="100"/>
      </w:pPr>
      <w:r>
        <w:rPr>
          <w:b/>
          <w:bCs/>
          <w:color w:val="1c2957"/>
        </w:rPr>
        <w:t xml:space="preserve">Electricity result: </w:t>
      </w:r>
      <w:r>
        <w:t xml:space="preserve">+R477,690 over-recovered across 10 months - a healthy, explainable margin.</w:t>
      </w:r>
    </w:p>
    <w:p>
      <w:pPr>
        <w:pStyle w:val="ListParagraph"/>
        <w:numPr>
          <w:ilvl w:val="0"/>
          <w:numId w:val="2"/>
        </w:numPr>
        <w:spacing w:after="100"/>
      </w:pPr>
      <w:r>
        <w:rPr>
          <w:b/>
          <w:bCs/>
          <w:color w:val="1c2957"/>
        </w:rPr>
        <w:t xml:space="preserve">Water/Sewer - one of the few utilities in slight over-recovery: </w:t>
      </w:r>
      <w:r>
        <w:t xml:space="preserve">both sides move together closely (municipal CoV 31.1% vs ours 25.5%); January 2026 is again the outlier (+311%, again a low municipal reading that month).</w:t>
      </w:r>
    </w:p>
    <w:p>
      <w:pPr>
        <w:pStyle w:val="ListParagraph"/>
        <w:numPr>
          <w:ilvl w:val="0"/>
          <w:numId w:val="2"/>
        </w:numPr>
        <w:spacing w:after="100"/>
      </w:pPr>
      <w:r>
        <w:rPr>
          <w:b/>
          <w:bCs/>
          <w:color w:val="1c2957"/>
        </w:rPr>
        <w:t xml:space="preserve">Water/Sewer result: </w:t>
      </w:r>
      <w:r>
        <w:t xml:space="preserve">+R50,123 / +R50,500 over-recovered - this account requires no corrective action.</w:t>
      </w:r>
    </w:p>
    <w:p>
      <w:pPr>
        <w:pStyle w:val="Heading2"/>
        <w:spacing w:after="100" w:before="240"/>
      </w:pPr>
      <w:r>
        <w:rPr>
          <w:b/>
          <w:bCs/>
          <w:color w:val="1c2957"/>
        </w:rPr>
        <w:t xml:space="preserve">Meter Accuracy - Average Daily Usage (kWh)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shd w:fill="1c2957" w:val="clear"/>
            <w:tcMar>
              <w:top w:type="dxa" w:w="60"/>
              <w:left w:type="dxa" w:w="100"/>
              <w:bottom w:type="dxa" w:w="60"/>
              <w:right w:type="dxa" w:w="100"/>
            </w:tcMar>
          </w:tcPr>
          <w:p>
            <w:pPr>
              <w:jc w:val="left"/>
            </w:pPr>
            <w:r>
              <w:rPr>
                <w:b/>
                <w:bCs/>
                <w:i w:val="false"/>
                <w:iCs w:val="false"/>
                <w:color w:val="ffffff"/>
                <w:sz w:val="18"/>
                <w:szCs w:val="18"/>
              </w:rPr>
              <w:t xml:space="preserve">Month</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Our Avg/Day</w:t>
            </w:r>
          </w:p>
        </w:tc>
        <w:tc>
          <w:tcPr>
            <w:tcW w:type="dxa" w:w="2400"/>
            <w:shd w:fill="1c2957" w:val="clear"/>
            <w:tcMar>
              <w:top w:type="dxa" w:w="60"/>
              <w:left w:type="dxa" w:w="100"/>
              <w:bottom w:type="dxa" w:w="60"/>
              <w:right w:type="dxa" w:w="100"/>
            </w:tcMar>
          </w:tcPr>
          <w:p>
            <w:pPr>
              <w:jc w:val="right"/>
            </w:pPr>
            <w:r>
              <w:rPr>
                <w:b/>
                <w:bCs/>
                <w:i w:val="false"/>
                <w:iCs w:val="false"/>
                <w:color w:val="ffffff"/>
                <w:sz w:val="18"/>
                <w:szCs w:val="18"/>
              </w:rPr>
              <w:t xml:space="preserve">Municipal Avg/Day</w:t>
            </w:r>
          </w:p>
        </w:tc>
        <w:tc>
          <w:tcPr>
            <w:tcW w:type="dxa" w:w="3060"/>
            <w:shd w:fill="1c2957" w:val="clear"/>
            <w:tcMar>
              <w:top w:type="dxa" w:w="60"/>
              <w:left w:type="dxa" w:w="100"/>
              <w:bottom w:type="dxa" w:w="60"/>
              <w:right w:type="dxa" w:w="100"/>
            </w:tcMar>
          </w:tcPr>
          <w:p>
            <w:pPr>
              <w:jc w:val="right"/>
            </w:pPr>
            <w:r>
              <w:rPr>
                <w:b/>
                <w:bCs/>
                <w:i w:val="false"/>
                <w:iCs w:val="false"/>
                <w:color w:val="ffffff"/>
                <w:sz w:val="18"/>
                <w:szCs w:val="18"/>
              </w:rPr>
              <w:t xml:space="preserve">Variance</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Aug 25</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r>
        <w:tc>
          <w:tcPr>
            <w:tcW w:type="dxa" w:w="1500"/>
            <w:tcMar>
              <w:top w:type="dxa" w:w="60"/>
              <w:left w:type="dxa" w:w="100"/>
              <w:bottom w:type="dxa" w:w="60"/>
              <w:right w:type="dxa" w:w="100"/>
            </w:tcMar>
          </w:tcPr>
          <w:p>
            <w:pPr>
              <w:jc w:val="left"/>
            </w:pPr>
            <w:r>
              <w:rPr>
                <w:b/>
                <w:bCs/>
                <w:i w:val="false"/>
                <w:iCs w:val="false"/>
                <w:sz w:val="18"/>
                <w:szCs w:val="18"/>
              </w:rPr>
              <w:t xml:space="preserve">Sep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2924.36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2998.52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+31.4%</w:t>
            </w:r>
          </w:p>
        </w:tc>
      </w:tr>
      <w:tr>
        <w:tc>
          <w:tcPr>
            <w:tcW w:type="dxa" w:w="1500"/>
            <w:tcMar>
              <w:top w:type="dxa" w:w="60"/>
              <w:left w:type="dxa" w:w="100"/>
              <w:bottom w:type="dxa" w:w="60"/>
              <w:right w:type="dxa" w:w="100"/>
            </w:tcMar>
          </w:tcPr>
          <w:p>
            <w:pPr>
              <w:jc w:val="left"/>
            </w:pPr>
            <w:r>
              <w:rPr>
                <w:b/>
                <w:bCs/>
                <w:i w:val="false"/>
                <w:iCs w:val="false"/>
                <w:sz w:val="18"/>
                <w:szCs w:val="18"/>
              </w:rPr>
              <w:t xml:space="preserve">Oct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2148.02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1717.03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+25.1%</w:t>
            </w:r>
          </w:p>
        </w:tc>
      </w:tr>
      <w:tr>
        <w:tc>
          <w:tcPr>
            <w:tcW w:type="dxa" w:w="1500"/>
            <w:tcMar>
              <w:top w:type="dxa" w:w="60"/>
              <w:left w:type="dxa" w:w="100"/>
              <w:bottom w:type="dxa" w:w="60"/>
              <w:right w:type="dxa" w:w="100"/>
            </w:tcMar>
          </w:tcPr>
          <w:p>
            <w:pPr>
              <w:jc w:val="left"/>
            </w:pPr>
            <w:r>
              <w:rPr>
                <w:b/>
                <w:bCs/>
                <w:i w:val="false"/>
                <w:iCs w:val="false"/>
                <w:sz w:val="18"/>
                <w:szCs w:val="18"/>
              </w:rPr>
              <w:t xml:space="preserve">Nov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2718.39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2238.31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+21.4%</w:t>
            </w:r>
          </w:p>
        </w:tc>
      </w:tr>
      <w:tr>
        <w:tc>
          <w:tcPr>
            <w:tcW w:type="dxa" w:w="1500"/>
            <w:tcMar>
              <w:top w:type="dxa" w:w="60"/>
              <w:left w:type="dxa" w:w="100"/>
              <w:bottom w:type="dxa" w:w="60"/>
              <w:right w:type="dxa" w:w="100"/>
            </w:tcMar>
          </w:tcPr>
          <w:p>
            <w:pPr>
              <w:jc w:val="left"/>
            </w:pPr>
            <w:r>
              <w:rPr>
                <w:b/>
                <w:bCs/>
                <w:i w:val="false"/>
                <w:iCs w:val="false"/>
                <w:sz w:val="18"/>
                <w:szCs w:val="18"/>
              </w:rPr>
              <w:t xml:space="preserve">Dec 25</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2113.28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1909.41 kWh/day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-9.8%</w:t>
            </w:r>
          </w:p>
        </w:tc>
      </w:tr>
      <w:tr>
        <w:tc>
          <w:tcPr>
            <w:tcW w:type="dxa" w:w="1500"/>
            <w:tcMar>
              <w:top w:type="dxa" w:w="60"/>
              <w:left w:type="dxa" w:w="100"/>
              <w:bottom w:type="dxa" w:w="60"/>
              <w:right w:type="dxa" w:w="100"/>
            </w:tcMar>
          </w:tcPr>
          <w:p>
            <w:pPr>
              <w:jc w:val="left"/>
            </w:pPr>
            <w:r>
              <w:rPr>
                <w:b/>
                <w:bCs/>
                <w:i w:val="false"/>
                <w:iCs w:val="false"/>
                <w:sz w:val="18"/>
                <w:szCs w:val="18"/>
              </w:rPr>
              <w:t xml:space="preserve">Jan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1668.49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950.19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+89.8%</w:t>
            </w:r>
          </w:p>
        </w:tc>
      </w:tr>
      <w:tr>
        <w:tc>
          <w:tcPr>
            <w:tcW w:type="dxa" w:w="1500"/>
            <w:tcMar>
              <w:top w:type="dxa" w:w="60"/>
              <w:left w:type="dxa" w:w="100"/>
              <w:bottom w:type="dxa" w:w="60"/>
              <w:right w:type="dxa" w:w="100"/>
            </w:tcMar>
          </w:tcPr>
          <w:p>
            <w:pPr>
              <w:jc w:val="left"/>
            </w:pPr>
            <w:r>
              <w:rPr>
                <w:b/>
                <w:bCs/>
                <w:i w:val="false"/>
                <w:iCs w:val="false"/>
                <w:sz w:val="18"/>
                <w:szCs w:val="18"/>
              </w:rPr>
              <w:t xml:space="preserve">Feb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2657.25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2242.52 kWh/day</w:t>
            </w:r>
          </w:p>
        </w:tc>
        <w:tc>
          <w:tcPr>
            <w:tcW w:type="dxa" w:w="3060"/>
            <w:tcMar>
              <w:top w:type="dxa" w:w="60"/>
              <w:left w:type="dxa" w:w="100"/>
              <w:bottom w:type="dxa" w:w="60"/>
              <w:right w:type="dxa" w:w="100"/>
            </w:tcMar>
          </w:tcPr>
          <w:p>
            <w:pPr>
              <w:jc w:val="right"/>
            </w:pPr>
            <w:r>
              <w:rPr>
                <w:b/>
                <w:bCs/>
                <w:i w:val="false"/>
                <w:iCs w:val="false"/>
                <w:color w:val="b81c1c"/>
                <w:sz w:val="18"/>
                <w:szCs w:val="18"/>
              </w:rPr>
              <w:t xml:space="preserve">+31.7%</w:t>
            </w:r>
          </w:p>
        </w:tc>
      </w:tr>
      <w:tr>
        <w:tc>
          <w:tcPr>
            <w:tcW w:type="dxa" w:w="1500"/>
            <w:tcMar>
              <w:top w:type="dxa" w:w="60"/>
              <w:left w:type="dxa" w:w="100"/>
              <w:bottom w:type="dxa" w:w="60"/>
              <w:right w:type="dxa" w:w="100"/>
            </w:tcMar>
          </w:tcPr>
          <w:p>
            <w:pPr>
              <w:jc w:val="left"/>
            </w:pPr>
            <w:r>
              <w:rPr>
                <w:b/>
                <w:bCs/>
                <w:i w:val="false"/>
                <w:iCs w:val="false"/>
                <w:sz w:val="18"/>
                <w:szCs w:val="18"/>
              </w:rPr>
              <w:t xml:space="preserve">Mar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2610.35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2041.47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+19.3%</w:t>
            </w:r>
          </w:p>
        </w:tc>
      </w:tr>
      <w:tr>
        <w:tc>
          <w:tcPr>
            <w:tcW w:type="dxa" w:w="1500"/>
            <w:tcMar>
              <w:top w:type="dxa" w:w="60"/>
              <w:left w:type="dxa" w:w="100"/>
              <w:bottom w:type="dxa" w:w="60"/>
              <w:right w:type="dxa" w:w="100"/>
            </w:tcMar>
          </w:tcPr>
          <w:p>
            <w:pPr>
              <w:jc w:val="left"/>
            </w:pPr>
            <w:r>
              <w:rPr>
                <w:b/>
                <w:bCs/>
                <w:i w:val="false"/>
                <w:iCs w:val="false"/>
                <w:sz w:val="18"/>
                <w:szCs w:val="18"/>
              </w:rPr>
              <w:t xml:space="preserve">Apr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2559.01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2435.52 kWh/day</w:t>
            </w:r>
          </w:p>
        </w:tc>
        <w:tc>
          <w:tcPr>
            <w:tcW w:type="dxa" w:w="3060"/>
            <w:tcMar>
              <w:top w:type="dxa" w:w="60"/>
              <w:left w:type="dxa" w:w="100"/>
              <w:bottom w:type="dxa" w:w="60"/>
              <w:right w:type="dxa" w:w="100"/>
            </w:tcMar>
          </w:tcPr>
          <w:p>
            <w:pPr>
              <w:jc w:val="right"/>
            </w:pPr>
            <w:r>
              <w:rPr>
                <w:b/>
                <w:bCs/>
                <w:i w:val="false"/>
                <w:iCs w:val="false"/>
                <w:color w:val="52525b"/>
                <w:sz w:val="18"/>
                <w:szCs w:val="18"/>
              </w:rPr>
              <w:t xml:space="preserve">+8.7%</w:t>
            </w:r>
          </w:p>
        </w:tc>
      </w:tr>
      <w:tr>
        <w:tc>
          <w:tcPr>
            <w:tcW w:type="dxa" w:w="1500"/>
            <w:tcMar>
              <w:top w:type="dxa" w:w="60"/>
              <w:left w:type="dxa" w:w="100"/>
              <w:bottom w:type="dxa" w:w="60"/>
              <w:right w:type="dxa" w:w="100"/>
            </w:tcMar>
          </w:tcPr>
          <w:p>
            <w:pPr>
              <w:jc w:val="left"/>
            </w:pPr>
            <w:r>
              <w:rPr>
                <w:b/>
                <w:bCs/>
                <w:i w:val="false"/>
                <w:iCs w:val="false"/>
                <w:sz w:val="18"/>
                <w:szCs w:val="18"/>
              </w:rPr>
              <w:t xml:space="preserve">May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2680.57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2426.50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+14.2%</w:t>
            </w:r>
          </w:p>
        </w:tc>
      </w:tr>
      <w:tr>
        <w:tc>
          <w:tcPr>
            <w:tcW w:type="dxa" w:w="1500"/>
            <w:tcMar>
              <w:top w:type="dxa" w:w="60"/>
              <w:left w:type="dxa" w:w="100"/>
              <w:bottom w:type="dxa" w:w="60"/>
              <w:right w:type="dxa" w:w="100"/>
            </w:tcMar>
          </w:tcPr>
          <w:p>
            <w:pPr>
              <w:jc w:val="left"/>
            </w:pPr>
            <w:r>
              <w:rPr>
                <w:b/>
                <w:bCs/>
                <w:i w:val="false"/>
                <w:iCs w:val="false"/>
                <w:sz w:val="18"/>
                <w:szCs w:val="18"/>
              </w:rPr>
              <w:t xml:space="preserve">Jun 26</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3215.92 kWh/day</w:t>
            </w:r>
          </w:p>
        </w:tc>
        <w:tc>
          <w:tcPr>
            <w:tcW w:type="dxa" w:w="2400"/>
            <w:tcMar>
              <w:top w:type="dxa" w:w="60"/>
              <w:left w:type="dxa" w:w="100"/>
              <w:bottom w:type="dxa" w:w="60"/>
              <w:right w:type="dxa" w:w="100"/>
            </w:tcMar>
          </w:tcPr>
          <w:p>
            <w:pPr>
              <w:jc w:val="right"/>
            </w:pPr>
            <w:r>
              <w:rPr>
                <w:b w:val="false"/>
                <w:bCs w:val="false"/>
                <w:i w:val="false"/>
                <w:iCs w:val="false"/>
                <w:sz w:val="18"/>
                <w:szCs w:val="18"/>
              </w:rPr>
              <w:t xml:space="preserve">3679.24 kWh/day</w:t>
            </w:r>
          </w:p>
        </w:tc>
        <w:tc>
          <w:tcPr>
            <w:tcW w:type="dxa" w:w="3060"/>
            <w:tcMar>
              <w:top w:type="dxa" w:w="60"/>
              <w:left w:type="dxa" w:w="100"/>
              <w:bottom w:type="dxa" w:w="60"/>
              <w:right w:type="dxa" w:w="100"/>
            </w:tcMar>
          </w:tcPr>
          <w:p>
            <w:pPr>
              <w:jc w:val="right"/>
            </w:pPr>
            <w:r>
              <w:rPr>
                <w:b/>
                <w:bCs/>
                <w:i w:val="false"/>
                <w:iCs w:val="false"/>
                <w:color w:val="b3720a"/>
                <w:sz w:val="18"/>
                <w:szCs w:val="18"/>
              </w:rPr>
              <w:t xml:space="preserve">-12.6%</w:t>
            </w:r>
          </w:p>
        </w:tc>
      </w:tr>
      <w:tr>
        <w:tc>
          <w:tcPr>
            <w:tcW w:type="dxa" w:w="1500"/>
            <w:tcMar>
              <w:top w:type="dxa" w:w="60"/>
              <w:left w:type="dxa" w:w="100"/>
              <w:bottom w:type="dxa" w:w="60"/>
              <w:right w:type="dxa" w:w="100"/>
            </w:tcMar>
          </w:tcPr>
          <w:p>
            <w:pPr>
              <w:jc w:val="left"/>
            </w:pPr>
            <w:r>
              <w:rPr>
                <w:b w:val="false"/>
                <w:bCs w:val="false"/>
                <w:i w:val="false"/>
                <w:iCs w:val="false"/>
                <w:sz w:val="18"/>
                <w:szCs w:val="18"/>
              </w:rPr>
              <w:t xml:space="preserve">Jul 26</w:t>
            </w:r>
          </w:p>
        </w:tc>
        <w:tc>
          <w:tcPr>
            <w:gridSpan w:val="3"/>
            <w:tcMar>
              <w:top w:type="dxa" w:w="60"/>
              <w:left w:type="dxa" w:w="100"/>
              <w:bottom w:type="dxa" w:w="60"/>
              <w:right w:type="dxa" w:w="100"/>
            </w:tcMar>
          </w:tcPr>
          <w:p>
            <w:pPr>
              <w:jc w:val="right"/>
            </w:pPr>
            <w:r>
              <w:rPr>
                <w:b w:val="false"/>
                <w:bCs w:val="false"/>
                <w:i/>
                <w:iCs/>
                <w:color w:val="52525b"/>
                <w:sz w:val="18"/>
                <w:szCs w:val="18"/>
              </w:rPr>
              <w:t xml:space="preserve">no overlapping data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2026-08-10T11:06:21.858Z</dcterms:created>
  <dcterms:modified xsi:type="dcterms:W3CDTF">2026-08-10T11:06:21.859Z</dcterms:modified>
</cp:coreProperties>
</file>

<file path=docProps/custom.xml><?xml version="1.0" encoding="utf-8"?>
<Properties xmlns="http://schemas.openxmlformats.org/officeDocument/2006/custom-properties" xmlns:vt="http://schemas.openxmlformats.org/officeDocument/2006/docPropsVTypes"/>
</file>