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A9504" w14:textId="77777777" w:rsidR="00256D3F" w:rsidRDefault="00CA71A6">
      <w:pPr>
        <w:pStyle w:val="Tytu"/>
        <w:spacing w:after="100"/>
      </w:pPr>
      <w:r>
        <w:t>POC: Environment Viewer</w:t>
      </w:r>
    </w:p>
    <w:p w14:paraId="56538634" w14:textId="77777777" w:rsidR="00256D3F" w:rsidRDefault="00CA71A6">
      <w:pPr>
        <w:spacing w:after="400"/>
      </w:pPr>
      <w:r>
        <w:t xml:space="preserve">User Story: </w:t>
      </w:r>
      <w:hyperlink r:id="rId5" w:history="1">
        <w:r>
          <w:rPr>
            <w:rStyle w:val="Hipercze"/>
          </w:rPr>
          <w:t xml:space="preserve">[MPP-516] POC: Rola na środowiska produkcyjne na potrzeby weryfikacji - </w:t>
        </w:r>
        <w:proofErr w:type="spellStart"/>
        <w:r>
          <w:rPr>
            <w:rStyle w:val="Hipercze"/>
          </w:rPr>
          <w:t>Jira</w:t>
        </w:r>
        <w:proofErr w:type="spellEnd"/>
      </w:hyperlink>
    </w:p>
    <w:p w14:paraId="5D506B3B" w14:textId="77777777" w:rsidR="00256D3F" w:rsidRDefault="00CA71A6">
      <w:pPr>
        <w:pStyle w:val="Nagwek1"/>
        <w:spacing w:before="300" w:after="150"/>
      </w:pPr>
      <w:r>
        <w:t>1. Cel</w:t>
      </w:r>
    </w:p>
    <w:p w14:paraId="712E9750" w14:textId="77777777" w:rsidR="00256D3F" w:rsidRDefault="00CA71A6">
      <w:pPr>
        <w:spacing w:after="160"/>
      </w:pPr>
      <w:r>
        <w:t xml:space="preserve">Celem POC było zweryfikowanie możliwości stworzenia dedykowanej roli bezpieczeństwa </w:t>
      </w:r>
      <w:proofErr w:type="spellStart"/>
      <w:r>
        <w:t>Dataverse</w:t>
      </w:r>
      <w:proofErr w:type="spellEnd"/>
      <w:r>
        <w:t xml:space="preserve"> zapewniającej deweloperom dostęp diagnostyczny do środowiska Power Platform zgodnie z zasadą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Privilege</w:t>
      </w:r>
      <w:proofErr w:type="spellEnd"/>
      <w:r>
        <w:t>, bez możliwości modyfikacji danych, konfiguracji ani komponentów środowiska.</w:t>
      </w:r>
    </w:p>
    <w:p w14:paraId="236FD2F2" w14:textId="77777777" w:rsidR="00256D3F" w:rsidRDefault="00CA71A6">
      <w:pPr>
        <w:pStyle w:val="Nagwek1"/>
        <w:spacing w:before="300" w:after="150"/>
      </w:pPr>
      <w:r>
        <w:t>2. Problem biznesowy</w:t>
      </w:r>
    </w:p>
    <w:p w14:paraId="13FC638F" w14:textId="77777777" w:rsidR="00256D3F" w:rsidRDefault="00CA71A6">
      <w:pPr>
        <w:spacing w:after="160"/>
      </w:pPr>
      <w:r>
        <w:t xml:space="preserve">Standardowe role (Environment Maker/System Administrator) zapewniają znacznie szerszy zakres uprawnień niż wymagany do analizy błędów produkcyjnych. POC miał zweryfikować możliwość zastąpienia ich dedykowanym rozwiązaniem </w:t>
      </w:r>
      <w:proofErr w:type="spellStart"/>
      <w:r>
        <w:t>read-only</w:t>
      </w:r>
      <w:proofErr w:type="spellEnd"/>
      <w:r>
        <w:t>.</w:t>
      </w:r>
    </w:p>
    <w:p w14:paraId="54843007" w14:textId="77777777" w:rsidR="00256D3F" w:rsidRDefault="00CA71A6">
      <w:pPr>
        <w:pStyle w:val="Nagwek1"/>
        <w:spacing w:before="300" w:after="150"/>
      </w:pPr>
      <w:r>
        <w:t>3. Kryteria sukcesu</w:t>
      </w:r>
    </w:p>
    <w:p w14:paraId="6E335688" w14:textId="77777777" w:rsidR="00256D3F" w:rsidRDefault="00CA71A6">
      <w:pPr>
        <w:spacing w:after="160"/>
      </w:pPr>
      <w:r>
        <w:t>POC miał potwierdzić, że rola:</w:t>
      </w:r>
    </w:p>
    <w:p w14:paraId="428B7F04" w14:textId="77777777" w:rsidR="00256D3F" w:rsidRDefault="00CA71A6">
      <w:pPr>
        <w:pStyle w:val="Akapitzlist"/>
        <w:numPr>
          <w:ilvl w:val="0"/>
          <w:numId w:val="1"/>
        </w:numPr>
        <w:spacing w:after="80"/>
      </w:pPr>
      <w:r>
        <w:t>zapewnia wystarczające uprawnienia do diagnostyki,</w:t>
      </w:r>
    </w:p>
    <w:p w14:paraId="7C948D99" w14:textId="77777777" w:rsidR="00256D3F" w:rsidRDefault="00CA71A6">
      <w:pPr>
        <w:pStyle w:val="Akapitzlist"/>
        <w:numPr>
          <w:ilvl w:val="0"/>
          <w:numId w:val="1"/>
        </w:numPr>
        <w:spacing w:after="80"/>
      </w:pPr>
      <w:r>
        <w:t xml:space="preserve">spełnia zasadę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Privilege</w:t>
      </w:r>
      <w:proofErr w:type="spellEnd"/>
      <w:r>
        <w:t>,</w:t>
      </w:r>
    </w:p>
    <w:p w14:paraId="6A091BEB" w14:textId="77777777" w:rsidR="00256D3F" w:rsidRDefault="00CA71A6">
      <w:pPr>
        <w:pStyle w:val="Akapitzlist"/>
        <w:numPr>
          <w:ilvl w:val="0"/>
          <w:numId w:val="1"/>
        </w:numPr>
        <w:spacing w:after="80"/>
      </w:pPr>
      <w:r>
        <w:t>nadaje się do użycia w środowiskach produkcyjnych,</w:t>
      </w:r>
    </w:p>
    <w:p w14:paraId="7A80F197" w14:textId="77777777" w:rsidR="00256D3F" w:rsidRDefault="00CA71A6">
      <w:pPr>
        <w:pStyle w:val="Akapitzlist"/>
        <w:numPr>
          <w:ilvl w:val="0"/>
          <w:numId w:val="1"/>
        </w:numPr>
        <w:spacing w:after="80"/>
      </w:pPr>
      <w:r>
        <w:t xml:space="preserve">może być </w:t>
      </w:r>
      <w:proofErr w:type="spellStart"/>
      <w:r>
        <w:t>reużywana</w:t>
      </w:r>
      <w:proofErr w:type="spellEnd"/>
      <w:r>
        <w:t xml:space="preserve"> na wielu środowiskach z minimalnym lub żadnym dostosowaniem.</w:t>
      </w:r>
    </w:p>
    <w:p w14:paraId="3FC12B49" w14:textId="77777777" w:rsidR="00256D3F" w:rsidRDefault="00CA71A6">
      <w:pPr>
        <w:pStyle w:val="Nagwek1"/>
        <w:spacing w:before="300" w:after="150"/>
      </w:pPr>
      <w:r>
        <w:t>4. Zakres funkcjonalny</w:t>
      </w:r>
    </w:p>
    <w:p w14:paraId="70A66C0E" w14:textId="77777777" w:rsidR="00256D3F" w:rsidRDefault="00CA71A6">
      <w:pPr>
        <w:spacing w:after="160"/>
      </w:pPr>
      <w:r>
        <w:t xml:space="preserve">Rola umożliwia podgląd: listy Solutions, komponentów </w:t>
      </w:r>
      <w:proofErr w:type="spellStart"/>
      <w:r>
        <w:t>solution</w:t>
      </w:r>
      <w:proofErr w:type="spellEnd"/>
      <w:r>
        <w:t xml:space="preserve">, tabel, kolumn, relacji, formularzy, widoków, aplikacji,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 wewnątrz Solutions, definicji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(</w:t>
      </w:r>
      <w:proofErr w:type="spellStart"/>
      <w:r>
        <w:t>read-only</w:t>
      </w:r>
      <w:proofErr w:type="spellEnd"/>
      <w:r>
        <w:t xml:space="preserve">) oraz — poprzez dedykowaną automatyzację — historii </w:t>
      </w:r>
      <w:proofErr w:type="spellStart"/>
      <w:r>
        <w:t>wykonań</w:t>
      </w:r>
      <w:proofErr w:type="spellEnd"/>
      <w:r>
        <w:t xml:space="preserve"> </w:t>
      </w:r>
      <w:proofErr w:type="spellStart"/>
      <w:r>
        <w:t>flow</w:t>
      </w:r>
      <w:proofErr w:type="spellEnd"/>
      <w:r>
        <w:t>.</w:t>
      </w:r>
    </w:p>
    <w:p w14:paraId="3B8C3B70" w14:textId="77777777" w:rsidR="00256D3F" w:rsidRDefault="00CA71A6">
      <w:pPr>
        <w:spacing w:after="160"/>
      </w:pPr>
      <w:r>
        <w:t xml:space="preserve">Rola nie umożliwia: edycji metadanych, aplikacji, </w:t>
      </w:r>
      <w:proofErr w:type="spellStart"/>
      <w:r>
        <w:t>flow</w:t>
      </w:r>
      <w:proofErr w:type="spellEnd"/>
      <w:r>
        <w:t xml:space="preserve">, </w:t>
      </w:r>
      <w:proofErr w:type="spellStart"/>
      <w:r>
        <w:t>solutions</w:t>
      </w:r>
      <w:proofErr w:type="spellEnd"/>
      <w:r>
        <w:t xml:space="preserve"> ani danych; publikowania </w:t>
      </w:r>
      <w:proofErr w:type="spellStart"/>
      <w:r>
        <w:t>customizacji</w:t>
      </w:r>
      <w:proofErr w:type="spellEnd"/>
      <w:r>
        <w:t>; administracji środowiskiem ani bezpieczeństwem.</w:t>
      </w:r>
    </w:p>
    <w:p w14:paraId="0DD11653" w14:textId="77777777" w:rsidR="00256D3F" w:rsidRDefault="00CA71A6">
      <w:pPr>
        <w:pStyle w:val="Nagwek1"/>
        <w:spacing w:before="300" w:after="150"/>
      </w:pPr>
      <w:r>
        <w:t>5. Rozważane rozwiązania</w:t>
      </w:r>
    </w:p>
    <w:p w14:paraId="29523171" w14:textId="77777777" w:rsidR="00256D3F" w:rsidRDefault="00CA71A6">
      <w:pPr>
        <w:pStyle w:val="Nagwek2"/>
        <w:spacing w:before="240" w:after="120"/>
      </w:pPr>
      <w:r>
        <w:t>Environment Maker</w:t>
      </w:r>
    </w:p>
    <w:p w14:paraId="513F73DF" w14:textId="77777777" w:rsidR="00256D3F" w:rsidRDefault="00CA71A6">
      <w:pPr>
        <w:spacing w:after="160"/>
      </w:pPr>
      <w:r>
        <w:t xml:space="preserve">Odrzucone. Zapewnia znacznie szerszy zakres uprawnień niż wymagany do prowadzenia diagnostyki i nie spełnia zasady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Privilege</w:t>
      </w:r>
      <w:proofErr w:type="spellEnd"/>
      <w:r>
        <w:t>.</w:t>
      </w:r>
    </w:p>
    <w:p w14:paraId="0A4D1838" w14:textId="77777777" w:rsidR="00256D3F" w:rsidRDefault="00CA71A6">
      <w:pPr>
        <w:pStyle w:val="Nagwek2"/>
        <w:spacing w:before="240" w:after="120"/>
      </w:pPr>
      <w:r>
        <w:t>System Administrator</w:t>
      </w:r>
    </w:p>
    <w:p w14:paraId="4AA6C687" w14:textId="77777777" w:rsidR="00256D3F" w:rsidRDefault="00CA71A6">
      <w:pPr>
        <w:spacing w:after="160"/>
      </w:pPr>
      <w:r>
        <w:t>Odrzucone. Zapewnia pełne uprawnienia administracyjne do środowiska.</w:t>
      </w:r>
    </w:p>
    <w:p w14:paraId="7B1B0CFE" w14:textId="77777777" w:rsidR="00256D3F" w:rsidRDefault="00CA71A6">
      <w:pPr>
        <w:pStyle w:val="Nagwek2"/>
        <w:spacing w:before="240" w:after="120"/>
      </w:pPr>
      <w:r>
        <w:t>Dedykowana Security Role</w:t>
      </w:r>
    </w:p>
    <w:p w14:paraId="57CE7850" w14:textId="77777777" w:rsidR="00256D3F" w:rsidRDefault="00CA71A6">
      <w:pPr>
        <w:spacing w:after="160"/>
      </w:pPr>
      <w:r>
        <w:t>Wybrane rozwiązanie. Pozwala ograniczyć uprawnienia wyłącznie do zakresu niezbędnego do prowadzenia diagnostyki.</w:t>
      </w:r>
    </w:p>
    <w:p w14:paraId="26EA81A3" w14:textId="77777777" w:rsidR="00256D3F" w:rsidRDefault="00CA71A6">
      <w:pPr>
        <w:pStyle w:val="Nagwek1"/>
        <w:spacing w:before="300" w:after="150"/>
      </w:pPr>
      <w:r>
        <w:t>6. Architektura rozwiązania</w:t>
      </w:r>
    </w:p>
    <w:p w14:paraId="0D7C0543" w14:textId="77777777" w:rsidR="00256D3F" w:rsidRDefault="00CA71A6">
      <w:pPr>
        <w:spacing w:after="160"/>
      </w:pPr>
      <w:r>
        <w:t>Rozwiązanie składa się z dwóch współpracujących elementów:</w:t>
      </w:r>
    </w:p>
    <w:p w14:paraId="69E293E9" w14:textId="77777777" w:rsidR="00256D3F" w:rsidRPr="0022792D" w:rsidRDefault="00CA71A6">
      <w:pPr>
        <w:pStyle w:val="Akapitzlist"/>
        <w:numPr>
          <w:ilvl w:val="0"/>
          <w:numId w:val="1"/>
        </w:numPr>
        <w:spacing w:after="80"/>
        <w:rPr>
          <w:lang w:val="en-US"/>
        </w:rPr>
      </w:pPr>
      <w:r w:rsidRPr="0022792D">
        <w:rPr>
          <w:lang w:val="en-US"/>
        </w:rPr>
        <w:t xml:space="preserve">Environment Viewer Security Role — </w:t>
      </w:r>
      <w:proofErr w:type="spellStart"/>
      <w:r w:rsidRPr="0022792D">
        <w:rPr>
          <w:lang w:val="en-US"/>
        </w:rPr>
        <w:t>dostęp</w:t>
      </w:r>
      <w:proofErr w:type="spellEnd"/>
      <w:r w:rsidRPr="0022792D">
        <w:rPr>
          <w:lang w:val="en-US"/>
        </w:rPr>
        <w:t xml:space="preserve"> do </w:t>
      </w:r>
      <w:proofErr w:type="spellStart"/>
      <w:r w:rsidRPr="0022792D">
        <w:rPr>
          <w:lang w:val="en-US"/>
        </w:rPr>
        <w:t>metadanych</w:t>
      </w:r>
      <w:proofErr w:type="spellEnd"/>
      <w:r w:rsidRPr="0022792D">
        <w:rPr>
          <w:lang w:val="en-US"/>
        </w:rPr>
        <w:t xml:space="preserve"> </w:t>
      </w:r>
      <w:proofErr w:type="spellStart"/>
      <w:r w:rsidRPr="0022792D">
        <w:rPr>
          <w:lang w:val="en-US"/>
        </w:rPr>
        <w:t>i</w:t>
      </w:r>
      <w:proofErr w:type="spellEnd"/>
      <w:r w:rsidRPr="0022792D">
        <w:rPr>
          <w:lang w:val="en-US"/>
        </w:rPr>
        <w:t xml:space="preserve"> </w:t>
      </w:r>
      <w:proofErr w:type="spellStart"/>
      <w:r w:rsidRPr="0022792D">
        <w:rPr>
          <w:lang w:val="en-US"/>
        </w:rPr>
        <w:t>komponentów</w:t>
      </w:r>
      <w:proofErr w:type="spellEnd"/>
      <w:r w:rsidRPr="0022792D">
        <w:rPr>
          <w:lang w:val="en-US"/>
        </w:rPr>
        <w:t xml:space="preserve"> Solution.</w:t>
      </w:r>
    </w:p>
    <w:p w14:paraId="345130CE" w14:textId="77777777" w:rsidR="00256D3F" w:rsidRDefault="00CA71A6">
      <w:pPr>
        <w:pStyle w:val="Akapitzlist"/>
        <w:numPr>
          <w:ilvl w:val="0"/>
          <w:numId w:val="1"/>
        </w:numPr>
        <w:spacing w:after="80"/>
      </w:pPr>
      <w:r>
        <w:t xml:space="preserve">Power </w:t>
      </w:r>
      <w:proofErr w:type="spellStart"/>
      <w:r>
        <w:t>Automate</w:t>
      </w:r>
      <w:proofErr w:type="spellEnd"/>
      <w:r>
        <w:t xml:space="preserve"> — automatyzacja zarządzania dostępem do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Flow</w:t>
      </w:r>
      <w:proofErr w:type="spellEnd"/>
      <w:r>
        <w:t>.</w:t>
      </w:r>
    </w:p>
    <w:p w14:paraId="29CA1C8A" w14:textId="77777777" w:rsidR="00256D3F" w:rsidRDefault="00CA71A6">
      <w:pPr>
        <w:spacing w:after="160"/>
      </w:pPr>
      <w:r>
        <w:lastRenderedPageBreak/>
        <w:t xml:space="preserve">Power </w:t>
      </w:r>
      <w:proofErr w:type="spellStart"/>
      <w:r>
        <w:t>Automate</w:t>
      </w:r>
      <w:proofErr w:type="spellEnd"/>
      <w:r>
        <w:t xml:space="preserve"> odpowiada za automatyczną synchronizację dostępu do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. W odpowiedzi na zmianę członkostwa użytkownika w grupie Microsoft </w:t>
      </w:r>
      <w:proofErr w:type="spellStart"/>
      <w:r>
        <w:t>Entra</w:t>
      </w:r>
      <w:proofErr w:type="spellEnd"/>
      <w:r>
        <w:t xml:space="preserve"> ID identyfikuje użytkownika w </w:t>
      </w:r>
      <w:proofErr w:type="spellStart"/>
      <w:r>
        <w:t>Dataverse</w:t>
      </w:r>
      <w:proofErr w:type="spellEnd"/>
      <w:r>
        <w:t xml:space="preserve">, a następnie wyszukuje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w zakresie określonym przez zmienną środowiskową </w:t>
      </w:r>
      <w:proofErr w:type="spellStart"/>
      <w:r>
        <w:t>TargetUniqueSolutionName</w:t>
      </w:r>
      <w:proofErr w:type="spellEnd"/>
      <w:r>
        <w:t xml:space="preserve"> — w ramach wskazanej solucji lub, jeśli zmienna ma wartość „</w:t>
      </w:r>
      <w:proofErr w:type="spellStart"/>
      <w:r>
        <w:t>All</w:t>
      </w:r>
      <w:proofErr w:type="spellEnd"/>
      <w:r>
        <w:t xml:space="preserve">”, we wszystkich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w środowisku — po czym nadaje lub odbiera wymagane uprawnienia dostępu. Dzięki temu proces zarządzania dostępem nie wymaga ręcznej administracji, a jego zakres można elastycznie dostosować do potrzeb danego środowiska.</w:t>
      </w:r>
    </w:p>
    <w:p w14:paraId="49B59B78" w14:textId="77777777" w:rsidR="00256D3F" w:rsidRDefault="00CA71A6">
      <w:pPr>
        <w:pStyle w:val="Nagwek2"/>
        <w:spacing w:before="240" w:after="120"/>
      </w:pPr>
      <w:r>
        <w:t>6.1 Uzasadnienie architektury rozwiązania</w:t>
      </w:r>
    </w:p>
    <w:p w14:paraId="571A336B" w14:textId="77777777" w:rsidR="00256D3F" w:rsidRDefault="00CA71A6">
      <w:pPr>
        <w:spacing w:after="160"/>
      </w:pPr>
      <w:r>
        <w:t xml:space="preserve">Pierwotnym założeniem POC było zweryfikowanie, czy wymagania diagnostyczne mogą zostać spełnione wyłącznie przy użyciu dedykowanej roli bezpieczeństwa </w:t>
      </w:r>
      <w:proofErr w:type="spellStart"/>
      <w:r>
        <w:t>Dataverse</w:t>
      </w:r>
      <w:proofErr w:type="spellEnd"/>
      <w:r>
        <w:t>.</w:t>
      </w:r>
    </w:p>
    <w:p w14:paraId="23336E22" w14:textId="77777777" w:rsidR="00256D3F" w:rsidRDefault="00CA71A6">
      <w:pPr>
        <w:spacing w:after="160"/>
      </w:pPr>
      <w:r>
        <w:t xml:space="preserve">W trakcie realizacji POC potwierdzono, że model uprawnień </w:t>
      </w:r>
      <w:proofErr w:type="spellStart"/>
      <w:r>
        <w:t>Dataverse</w:t>
      </w:r>
      <w:proofErr w:type="spellEnd"/>
      <w:r>
        <w:t xml:space="preserve"> nie obejmuje wszystkich mechanizmów odpowiedzialnych za dostęp do komponentów platformy Power Platform. Dotyczy to w szczególności historii </w:t>
      </w:r>
      <w:proofErr w:type="spellStart"/>
      <w:r>
        <w:t>wykonań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Flow</w:t>
      </w:r>
      <w:proofErr w:type="spellEnd"/>
      <w:r>
        <w:t>, której widoczność jest kontrolowana dodatkowymi mechanizmami platformy.</w:t>
      </w:r>
    </w:p>
    <w:p w14:paraId="0714D52A" w14:textId="77777777" w:rsidR="00256D3F" w:rsidRDefault="00CA71A6">
      <w:pPr>
        <w:spacing w:after="160"/>
      </w:pPr>
      <w:r>
        <w:t xml:space="preserve">W rezultacie końcowa architektura rozwiązania została rozszerzona o komponent Power </w:t>
      </w:r>
      <w:proofErr w:type="spellStart"/>
      <w:r>
        <w:t>Automate</w:t>
      </w:r>
      <w:proofErr w:type="spellEnd"/>
      <w:r>
        <w:t xml:space="preserve"> odpowiedzialny za automatyczne zarządzanie dostępem do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Flow</w:t>
      </w:r>
      <w:proofErr w:type="spellEnd"/>
      <w:r>
        <w:t>.</w:t>
      </w:r>
    </w:p>
    <w:p w14:paraId="45425252" w14:textId="77777777" w:rsidR="00256D3F" w:rsidRDefault="00CA71A6">
      <w:pPr>
        <w:spacing w:after="160"/>
      </w:pPr>
      <w:r>
        <w:t>Ostateczne rozwiązanie stanowi połączenie:</w:t>
      </w:r>
    </w:p>
    <w:p w14:paraId="1C5CF81F" w14:textId="77777777" w:rsidR="00256D3F" w:rsidRDefault="00CA71A6" w:rsidP="0022792D">
      <w:pPr>
        <w:pStyle w:val="Akapitzlist"/>
        <w:numPr>
          <w:ilvl w:val="0"/>
          <w:numId w:val="2"/>
        </w:numPr>
        <w:spacing w:after="80"/>
      </w:pPr>
      <w:r>
        <w:t xml:space="preserve">dedykowanej Security Role odpowiadającej za uprawnienia </w:t>
      </w:r>
      <w:proofErr w:type="spellStart"/>
      <w:r>
        <w:t>Dataverse</w:t>
      </w:r>
      <w:proofErr w:type="spellEnd"/>
      <w:r>
        <w:t>,</w:t>
      </w:r>
    </w:p>
    <w:p w14:paraId="198D8D41" w14:textId="4452FCD2" w:rsidR="00A83AAB" w:rsidRDefault="00CA71A6" w:rsidP="0022792D">
      <w:pPr>
        <w:pStyle w:val="Akapitzlist"/>
        <w:numPr>
          <w:ilvl w:val="0"/>
          <w:numId w:val="2"/>
        </w:numPr>
        <w:spacing w:after="80"/>
      </w:pPr>
      <w:r>
        <w:t xml:space="preserve">automatyzacji Power </w:t>
      </w:r>
      <w:proofErr w:type="spellStart"/>
      <w:r>
        <w:t>Automate</w:t>
      </w:r>
      <w:proofErr w:type="spellEnd"/>
      <w:r>
        <w:t xml:space="preserve"> odpowiedzialnej za zarządzanie dostępem do komponentów wymagających dodatkowego udostępnienia.</w:t>
      </w:r>
    </w:p>
    <w:p w14:paraId="34D5665C" w14:textId="0D9F04C1" w:rsidR="00A83AAB" w:rsidRDefault="00A83AAB" w:rsidP="0022792D">
      <w:pPr>
        <w:pStyle w:val="Akapitzlist"/>
        <w:numPr>
          <w:ilvl w:val="0"/>
          <w:numId w:val="2"/>
        </w:numPr>
        <w:spacing w:after="80"/>
      </w:pPr>
      <w:r>
        <w:t xml:space="preserve">Dodatkowym zaleceniem jest włączenie opcji Block </w:t>
      </w:r>
      <w:proofErr w:type="spellStart"/>
      <w:r>
        <w:t>unmanaged</w:t>
      </w:r>
      <w:proofErr w:type="spellEnd"/>
      <w:r>
        <w:t xml:space="preserve"> </w:t>
      </w:r>
      <w:proofErr w:type="spellStart"/>
      <w:r>
        <w:t>customizations</w:t>
      </w:r>
      <w:proofErr w:type="spellEnd"/>
      <w:r>
        <w:t xml:space="preserve"> w ustawieniach środowiska w Power Platform Admin Center (PPAC -&gt; Environment </w:t>
      </w:r>
      <w:proofErr w:type="spellStart"/>
      <w:r>
        <w:t>Settings</w:t>
      </w:r>
      <w:proofErr w:type="spellEnd"/>
      <w:r>
        <w:t xml:space="preserve"> -&gt; </w:t>
      </w:r>
      <w:proofErr w:type="spellStart"/>
      <w:r>
        <w:t>Features</w:t>
      </w:r>
      <w:proofErr w:type="spellEnd"/>
      <w:r>
        <w:t>).</w:t>
      </w:r>
    </w:p>
    <w:p w14:paraId="07D5FA4E" w14:textId="77777777" w:rsidR="0022792D" w:rsidRDefault="00A83AAB" w:rsidP="0022792D">
      <w:pPr>
        <w:spacing w:after="80"/>
      </w:pPr>
      <w:r>
        <w:t>Nadal dozwolone pozostają operacje diagnostyczne:</w:t>
      </w:r>
    </w:p>
    <w:p w14:paraId="79D585AA" w14:textId="57295E75" w:rsidR="00A83AAB" w:rsidRDefault="00A83AAB" w:rsidP="0022792D">
      <w:pPr>
        <w:pStyle w:val="Akapitzlist"/>
        <w:numPr>
          <w:ilvl w:val="0"/>
          <w:numId w:val="3"/>
        </w:numPr>
        <w:spacing w:after="80"/>
      </w:pPr>
      <w:r>
        <w:t xml:space="preserve">przeglądanie historii </w:t>
      </w:r>
      <w:proofErr w:type="spellStart"/>
      <w:r>
        <w:t>wykonań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Flow</w:t>
      </w:r>
      <w:proofErr w:type="spellEnd"/>
      <w:r>
        <w:t>,</w:t>
      </w:r>
    </w:p>
    <w:p w14:paraId="17EBB777" w14:textId="65ECFB69" w:rsidR="0022792D" w:rsidRDefault="0022792D" w:rsidP="0022792D">
      <w:pPr>
        <w:pStyle w:val="Akapitzlist"/>
        <w:numPr>
          <w:ilvl w:val="0"/>
          <w:numId w:val="3"/>
        </w:numPr>
        <w:spacing w:after="80"/>
      </w:pPr>
      <w:r>
        <w:t>przeglądanie komponentów solucji</w:t>
      </w:r>
    </w:p>
    <w:p w14:paraId="74DBE5F9" w14:textId="77777777" w:rsidR="00256D3F" w:rsidRDefault="00CA71A6">
      <w:pPr>
        <w:pStyle w:val="Nagwek1"/>
        <w:spacing w:before="300" w:after="150"/>
      </w:pPr>
      <w:r>
        <w:t>7. Komponenty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5000"/>
      </w:tblGrid>
      <w:tr w:rsidR="00256D3F" w14:paraId="01F72299" w14:textId="77777777">
        <w:trPr>
          <w:tblHeader/>
        </w:trPr>
        <w:tc>
          <w:tcPr>
            <w:tcW w:w="260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128422" w14:textId="77777777" w:rsidR="00256D3F" w:rsidRDefault="00CA71A6">
            <w:r>
              <w:rPr>
                <w:b/>
                <w:bCs/>
                <w:color w:val="FFFFFF"/>
              </w:rPr>
              <w:t>Komponent</w:t>
            </w:r>
          </w:p>
        </w:tc>
        <w:tc>
          <w:tcPr>
            <w:tcW w:w="260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63DDCC" w14:textId="77777777" w:rsidR="00256D3F" w:rsidRDefault="00CA71A6">
            <w:r>
              <w:rPr>
                <w:b/>
                <w:bCs/>
                <w:color w:val="FFFFFF"/>
              </w:rPr>
              <w:t>Nazwa</w:t>
            </w:r>
          </w:p>
        </w:tc>
        <w:tc>
          <w:tcPr>
            <w:tcW w:w="500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40C5F5" w14:textId="77777777" w:rsidR="00256D3F" w:rsidRDefault="00CA71A6">
            <w:r>
              <w:rPr>
                <w:b/>
                <w:bCs/>
                <w:color w:val="FFFFFF"/>
              </w:rPr>
              <w:t>Przeznaczenie</w:t>
            </w:r>
          </w:p>
        </w:tc>
      </w:tr>
      <w:tr w:rsidR="00256D3F" w14:paraId="566F8085" w14:textId="7777777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F6EBDA" w14:textId="77777777" w:rsidR="00256D3F" w:rsidRDefault="00CA71A6">
            <w:r>
              <w:t>Security Role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C2BA61" w14:textId="77777777" w:rsidR="00256D3F" w:rsidRDefault="00CA71A6">
            <w:r>
              <w:t>Environment Viewer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74DDD9" w14:textId="77777777" w:rsidR="00256D3F" w:rsidRDefault="00CA71A6">
            <w:r>
              <w:t>Read-</w:t>
            </w:r>
            <w:proofErr w:type="spellStart"/>
            <w:r>
              <w:t>only</w:t>
            </w:r>
            <w:proofErr w:type="spellEnd"/>
            <w:r>
              <w:t xml:space="preserve"> rola bezpieczeństwa </w:t>
            </w:r>
            <w:proofErr w:type="spellStart"/>
            <w:r>
              <w:t>Dataverse</w:t>
            </w:r>
            <w:proofErr w:type="spellEnd"/>
            <w:r>
              <w:t xml:space="preserve"> zapewniająca dostęp do metadanych wymaganych do diagnostyki</w:t>
            </w:r>
          </w:p>
        </w:tc>
      </w:tr>
      <w:tr w:rsidR="00256D3F" w14:paraId="4B079EE0" w14:textId="7777777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A256BB" w14:textId="77777777" w:rsidR="00256D3F" w:rsidRDefault="00CA71A6">
            <w:r>
              <w:t xml:space="preserve">Power </w:t>
            </w:r>
            <w:proofErr w:type="spellStart"/>
            <w:r>
              <w:t>Automate</w:t>
            </w:r>
            <w:proofErr w:type="spellEnd"/>
            <w:r>
              <w:t xml:space="preserve"> </w:t>
            </w:r>
            <w:proofErr w:type="spellStart"/>
            <w:r>
              <w:t>Flow</w:t>
            </w:r>
            <w:proofErr w:type="spellEnd"/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E60F04" w14:textId="77777777" w:rsidR="00256D3F" w:rsidRDefault="00CA71A6">
            <w:r>
              <w:t>Udostępnij komponenty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DAC015" w14:textId="77777777" w:rsidR="00256D3F" w:rsidRDefault="00CA71A6">
            <w:r>
              <w:t xml:space="preserve">Nadaje/odbiera dostęp do </w:t>
            </w:r>
            <w:proofErr w:type="spellStart"/>
            <w:r>
              <w:t>Cloud</w:t>
            </w:r>
            <w:proofErr w:type="spellEnd"/>
            <w:r>
              <w:t xml:space="preserve"> </w:t>
            </w:r>
            <w:proofErr w:type="spellStart"/>
            <w:r>
              <w:t>Flow</w:t>
            </w:r>
            <w:proofErr w:type="spellEnd"/>
            <w:r>
              <w:t xml:space="preserve"> w odpowiedzi na zmiany członkostwa w grupie </w:t>
            </w:r>
            <w:proofErr w:type="spellStart"/>
            <w:r>
              <w:t>Entra</w:t>
            </w:r>
            <w:proofErr w:type="spellEnd"/>
            <w:r>
              <w:t xml:space="preserve"> ID</w:t>
            </w:r>
          </w:p>
        </w:tc>
      </w:tr>
      <w:tr w:rsidR="00256D3F" w14:paraId="2768B1E6" w14:textId="7777777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6C885" w14:textId="77777777" w:rsidR="00256D3F" w:rsidRDefault="00CA71A6">
            <w:r>
              <w:t xml:space="preserve">Connection </w:t>
            </w:r>
            <w:proofErr w:type="spellStart"/>
            <w:r>
              <w:t>References</w:t>
            </w:r>
            <w:proofErr w:type="spellEnd"/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278BA7" w14:textId="54074606" w:rsidR="00256D3F" w:rsidRDefault="00CA71A6">
            <w:r>
              <w:t>(</w:t>
            </w:r>
            <w:r w:rsidR="0022792D">
              <w:t>5</w:t>
            </w:r>
            <w:r>
              <w:t xml:space="preserve"> połączenia)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2570E4" w14:textId="77777777" w:rsidR="00256D3F" w:rsidRDefault="00CA71A6">
            <w:r>
              <w:t xml:space="preserve">Połączenia używane przez </w:t>
            </w:r>
            <w:proofErr w:type="spellStart"/>
            <w:r>
              <w:t>cloud</w:t>
            </w:r>
            <w:proofErr w:type="spellEnd"/>
            <w:r>
              <w:t xml:space="preserve"> </w:t>
            </w:r>
            <w:proofErr w:type="spellStart"/>
            <w:r>
              <w:t>flow</w:t>
            </w:r>
            <w:proofErr w:type="spellEnd"/>
          </w:p>
        </w:tc>
      </w:tr>
      <w:tr w:rsidR="00256D3F" w14:paraId="6B217AA6" w14:textId="7777777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7D7A93" w14:textId="77777777" w:rsidR="00256D3F" w:rsidRDefault="00CA71A6">
            <w:r>
              <w:t xml:space="preserve">Environment </w:t>
            </w:r>
            <w:proofErr w:type="spellStart"/>
            <w:r>
              <w:t>Variable</w:t>
            </w:r>
            <w:proofErr w:type="spellEnd"/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D4582E" w14:textId="77777777" w:rsidR="00256D3F" w:rsidRDefault="00CA71A6">
            <w:proofErr w:type="spellStart"/>
            <w:r>
              <w:t>EntraIDSecurityGroupID</w:t>
            </w:r>
            <w:proofErr w:type="spellEnd"/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47C370" w14:textId="77777777" w:rsidR="00256D3F" w:rsidRDefault="00CA71A6">
            <w:r>
              <w:t xml:space="preserve">Przechowuje ID grupy bezpieczeństwa </w:t>
            </w:r>
            <w:proofErr w:type="spellStart"/>
            <w:r>
              <w:t>Entra</w:t>
            </w:r>
            <w:proofErr w:type="spellEnd"/>
            <w:r>
              <w:t xml:space="preserve"> ID używanej przez automatyzację</w:t>
            </w:r>
          </w:p>
        </w:tc>
      </w:tr>
      <w:tr w:rsidR="00256D3F" w14:paraId="7CA3BF48" w14:textId="7777777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B1FC5" w14:textId="77777777" w:rsidR="00256D3F" w:rsidRDefault="00CA71A6">
            <w:r>
              <w:t xml:space="preserve">Environment </w:t>
            </w:r>
            <w:proofErr w:type="spellStart"/>
            <w:r>
              <w:t>Variable</w:t>
            </w:r>
            <w:proofErr w:type="spellEnd"/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AED74D" w14:textId="77777777" w:rsidR="00256D3F" w:rsidRDefault="00CA71A6">
            <w:proofErr w:type="spellStart"/>
            <w:r>
              <w:t>TargetUniqueSolutionName</w:t>
            </w:r>
            <w:proofErr w:type="spellEnd"/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86A639" w14:textId="77777777" w:rsidR="00256D3F" w:rsidRDefault="00CA71A6">
            <w:r>
              <w:t>Przechowuje unikalną nazwę solucji, w ramach której chcemy udostępnić przepływy. W przypadku, w którym chcemy udostępnić wszystkie przepływy w środowisku, należy ustawić wartość zmiennej na „</w:t>
            </w:r>
            <w:proofErr w:type="spellStart"/>
            <w:r>
              <w:t>All</w:t>
            </w:r>
            <w:proofErr w:type="spellEnd"/>
            <w:r>
              <w:t>”</w:t>
            </w:r>
          </w:p>
        </w:tc>
      </w:tr>
    </w:tbl>
    <w:p w14:paraId="30EE208C" w14:textId="77777777" w:rsidR="00256D3F" w:rsidRDefault="00256D3F">
      <w:pPr>
        <w:spacing w:after="200"/>
      </w:pPr>
    </w:p>
    <w:p w14:paraId="6764D22C" w14:textId="77777777" w:rsidR="00256D3F" w:rsidRDefault="00CA71A6">
      <w:pPr>
        <w:pStyle w:val="Nagwek1"/>
        <w:spacing w:before="300" w:after="150"/>
      </w:pPr>
      <w:r>
        <w:t>9. Kroki wdrożenia</w:t>
      </w:r>
    </w:p>
    <w:p w14:paraId="4E50EC11" w14:textId="40D3EC4E" w:rsidR="00A37F49" w:rsidRDefault="000F7CE5" w:rsidP="0022792D">
      <w:pPr>
        <w:spacing w:after="160"/>
      </w:pPr>
      <w:r>
        <w:t>Szczegółowa instrukcja wdrożenia wraz z podziałem odpowiedzialności dostępna jest w odrębnym dokumencie: Instrukcja wdrożenia — Environment Viewer.</w:t>
      </w:r>
    </w:p>
    <w:p w14:paraId="0BD01ECD" w14:textId="14D470A3" w:rsidR="00D1222B" w:rsidRDefault="00CA71A6">
      <w:pPr>
        <w:pStyle w:val="Nagwek1"/>
        <w:spacing w:before="300" w:after="150"/>
      </w:pPr>
      <w:r>
        <w:t xml:space="preserve">10. </w:t>
      </w:r>
      <w:proofErr w:type="spellStart"/>
      <w:r>
        <w:t>Lessons</w:t>
      </w:r>
      <w:proofErr w:type="spellEnd"/>
      <w:r>
        <w:t xml:space="preserve"> </w:t>
      </w:r>
      <w:proofErr w:type="spellStart"/>
      <w:r>
        <w:t>Learned</w:t>
      </w:r>
      <w:proofErr w:type="spellEnd"/>
    </w:p>
    <w:p w14:paraId="179822C5" w14:textId="5A9698D8" w:rsidR="00256D3F" w:rsidRDefault="00CA71A6">
      <w:pPr>
        <w:pStyle w:val="Akapitzlist"/>
        <w:numPr>
          <w:ilvl w:val="0"/>
          <w:numId w:val="1"/>
        </w:numPr>
        <w:spacing w:after="80"/>
      </w:pPr>
      <w:r>
        <w:t xml:space="preserve">Security Role odpowiada wyłącznie za model uprawnień </w:t>
      </w:r>
      <w:proofErr w:type="spellStart"/>
      <w:r>
        <w:t>Dataverse</w:t>
      </w:r>
      <w:proofErr w:type="spellEnd"/>
      <w:r>
        <w:t>.</w:t>
      </w:r>
    </w:p>
    <w:p w14:paraId="427A9AE9" w14:textId="77777777" w:rsidR="00256D3F" w:rsidRDefault="00CA71A6">
      <w:pPr>
        <w:pStyle w:val="Akapitzlist"/>
        <w:numPr>
          <w:ilvl w:val="0"/>
          <w:numId w:val="1"/>
        </w:numPr>
        <w:spacing w:after="80"/>
      </w:pPr>
      <w:r>
        <w:t xml:space="preserve">Dostęp do historii </w:t>
      </w:r>
      <w:proofErr w:type="spellStart"/>
      <w:r>
        <w:t>wykonań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wymaga dodatkowego mechanizmu udostępniania.</w:t>
      </w:r>
    </w:p>
    <w:p w14:paraId="7495B116" w14:textId="77777777" w:rsidR="00256D3F" w:rsidRDefault="00CA71A6">
      <w:pPr>
        <w:pStyle w:val="Akapitzlist"/>
        <w:numPr>
          <w:ilvl w:val="0"/>
          <w:numId w:val="1"/>
        </w:numPr>
        <w:spacing w:after="80"/>
      </w:pPr>
      <w:r>
        <w:lastRenderedPageBreak/>
        <w:t xml:space="preserve">Proces udostępniania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może zostać zautomatyzowany z wykorzystaniem Power </w:t>
      </w:r>
      <w:proofErr w:type="spellStart"/>
      <w:r>
        <w:t>Automate</w:t>
      </w:r>
      <w:proofErr w:type="spellEnd"/>
      <w:r>
        <w:t>.</w:t>
      </w:r>
    </w:p>
    <w:p w14:paraId="2DB78E08" w14:textId="77777777" w:rsidR="00256D3F" w:rsidRDefault="00CA71A6">
      <w:pPr>
        <w:pStyle w:val="Akapitzlist"/>
        <w:numPr>
          <w:ilvl w:val="0"/>
          <w:numId w:val="1"/>
        </w:numPr>
        <w:spacing w:after="80"/>
      </w:pPr>
      <w:r>
        <w:t xml:space="preserve">Zarządzanie dostępem poprzez grupy Microsoft </w:t>
      </w:r>
      <w:proofErr w:type="spellStart"/>
      <w:r>
        <w:t>Entra</w:t>
      </w:r>
      <w:proofErr w:type="spellEnd"/>
      <w:r>
        <w:t xml:space="preserve"> ID upraszcza administrację.</w:t>
      </w:r>
    </w:p>
    <w:p w14:paraId="75D09841" w14:textId="77777777" w:rsidR="00256D3F" w:rsidRDefault="00CA71A6">
      <w:pPr>
        <w:pStyle w:val="Akapitzlist"/>
        <w:numPr>
          <w:ilvl w:val="0"/>
          <w:numId w:val="1"/>
        </w:numPr>
        <w:spacing w:after="80"/>
      </w:pPr>
      <w:r>
        <w:t xml:space="preserve">Zakres udostępniania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można ograniczyć do wybranej solucji lub rozszerzyć na cały environment poprzez zmienną </w:t>
      </w:r>
      <w:proofErr w:type="spellStart"/>
      <w:r>
        <w:t>TargetUniqueSolutionName</w:t>
      </w:r>
      <w:proofErr w:type="spellEnd"/>
      <w:r>
        <w:t>, co zwiększa elastyczność rozwiązania.</w:t>
      </w:r>
    </w:p>
    <w:p w14:paraId="7C61BF1F" w14:textId="77777777" w:rsidR="00735264" w:rsidRDefault="00CA71A6">
      <w:pPr>
        <w:pStyle w:val="Akapitzlist"/>
        <w:numPr>
          <w:ilvl w:val="0"/>
          <w:numId w:val="1"/>
        </w:numPr>
        <w:spacing w:after="80"/>
      </w:pPr>
      <w:r>
        <w:t>Rozwiązanie może zostać wykorzystane na kolejnych środowiskach po zmianie parametrów konfiguracyjnych.</w:t>
      </w:r>
    </w:p>
    <w:p w14:paraId="4CADD5AB" w14:textId="6434F6C6" w:rsidR="00E522FE" w:rsidRDefault="00E522FE" w:rsidP="0022792D">
      <w:pPr>
        <w:pStyle w:val="Akapitzlist"/>
        <w:numPr>
          <w:ilvl w:val="0"/>
          <w:numId w:val="1"/>
        </w:numPr>
        <w:spacing w:after="80"/>
      </w:pPr>
      <w:r>
        <w:t xml:space="preserve">Włączenie opcji Block </w:t>
      </w:r>
      <w:proofErr w:type="spellStart"/>
      <w:r>
        <w:t>unmanaged</w:t>
      </w:r>
      <w:proofErr w:type="spellEnd"/>
      <w:r>
        <w:t xml:space="preserve"> </w:t>
      </w:r>
      <w:proofErr w:type="spellStart"/>
      <w:r>
        <w:t>customizations</w:t>
      </w:r>
      <w:proofErr w:type="spellEnd"/>
      <w:r>
        <w:t xml:space="preserve"> w PPAC jest rekomendowanym uzupełnieniem rozwiązania — wzmacnia ochronę środowiska </w:t>
      </w:r>
      <w:proofErr w:type="spellStart"/>
      <w:r>
        <w:t>managed</w:t>
      </w:r>
      <w:proofErr w:type="spellEnd"/>
      <w:r>
        <w:t xml:space="preserve"> i jest natywnie wspieranym przez platformę scenariuszem diagnostycznego dostępu do historii </w:t>
      </w:r>
      <w:proofErr w:type="spellStart"/>
      <w:r>
        <w:t>wykonań</w:t>
      </w:r>
      <w:proofErr w:type="spellEnd"/>
      <w:r>
        <w:t xml:space="preserve"> </w:t>
      </w:r>
      <w:proofErr w:type="spellStart"/>
      <w:r>
        <w:t>flow</w:t>
      </w:r>
      <w:proofErr w:type="spellEnd"/>
      <w:r>
        <w:t>.</w:t>
      </w:r>
    </w:p>
    <w:p w14:paraId="37CA6F4C" w14:textId="77777777" w:rsidR="00256D3F" w:rsidRDefault="00CA71A6">
      <w:pPr>
        <w:pStyle w:val="Nagwek1"/>
        <w:spacing w:before="300" w:after="150"/>
      </w:pPr>
      <w:r>
        <w:t>11. Rekomendacja</w:t>
      </w:r>
    </w:p>
    <w:p w14:paraId="6C1C84AF" w14:textId="77777777" w:rsidR="00256D3F" w:rsidRDefault="00CA71A6">
      <w:pPr>
        <w:spacing w:after="160"/>
      </w:pPr>
      <w:r>
        <w:t xml:space="preserve">POC zakończył się sukcesem. Połączenie dedykowanej Security Role z automatyzacją Power </w:t>
      </w:r>
      <w:proofErr w:type="spellStart"/>
      <w:r>
        <w:t>Automate</w:t>
      </w:r>
      <w:proofErr w:type="spellEnd"/>
      <w:r>
        <w:t xml:space="preserve"> spełnia założenia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Privilege</w:t>
      </w:r>
      <w:proofErr w:type="spellEnd"/>
      <w:r>
        <w:t xml:space="preserve"> i może zostać wykorzystane jako standardowy mechanizm diagnostycznego dostępu do środowisk produkcyjnych.</w:t>
      </w:r>
    </w:p>
    <w:p w14:paraId="4F8FD500" w14:textId="1EF1BBAD" w:rsidR="00CA71A6" w:rsidRDefault="00CA71A6">
      <w:pPr>
        <w:spacing w:after="160"/>
      </w:pPr>
      <w:r>
        <w:t xml:space="preserve">Rekomendowanym sposobem wykorzystania rozwiązania jest wdrożenie go jako standardowego mechanizmu diagnostycznego dla środowisk produkcyjnych Power Platform, z centralnym zarządzaniem użytkownikami poprzez grupy Microsoft </w:t>
      </w:r>
      <w:proofErr w:type="spellStart"/>
      <w:r>
        <w:t>Entra</w:t>
      </w:r>
      <w:proofErr w:type="spellEnd"/>
      <w:r>
        <w:t xml:space="preserve"> ID.</w:t>
      </w:r>
    </w:p>
    <w:sectPr w:rsidR="00CA71A6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C4A57"/>
    <w:multiLevelType w:val="hybridMultilevel"/>
    <w:tmpl w:val="5C3CFDD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A065B"/>
    <w:multiLevelType w:val="hybridMultilevel"/>
    <w:tmpl w:val="0DBA19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CA39D4"/>
    <w:multiLevelType w:val="hybridMultilevel"/>
    <w:tmpl w:val="740EAA56"/>
    <w:lvl w:ilvl="0" w:tplc="3B9647A0">
      <w:start w:val="1"/>
      <w:numFmt w:val="bullet"/>
      <w:lvlText w:val="•"/>
      <w:lvlJc w:val="left"/>
    </w:lvl>
    <w:lvl w:ilvl="1" w:tplc="55703C7E">
      <w:numFmt w:val="decimal"/>
      <w:lvlText w:val=""/>
      <w:lvlJc w:val="left"/>
    </w:lvl>
    <w:lvl w:ilvl="2" w:tplc="40A80248">
      <w:numFmt w:val="decimal"/>
      <w:lvlText w:val=""/>
      <w:lvlJc w:val="left"/>
    </w:lvl>
    <w:lvl w:ilvl="3" w:tplc="BE400CF8">
      <w:numFmt w:val="decimal"/>
      <w:lvlText w:val=""/>
      <w:lvlJc w:val="left"/>
    </w:lvl>
    <w:lvl w:ilvl="4" w:tplc="E8EC4068">
      <w:numFmt w:val="decimal"/>
      <w:lvlText w:val=""/>
      <w:lvlJc w:val="left"/>
    </w:lvl>
    <w:lvl w:ilvl="5" w:tplc="511AA0F6">
      <w:numFmt w:val="decimal"/>
      <w:lvlText w:val=""/>
      <w:lvlJc w:val="left"/>
    </w:lvl>
    <w:lvl w:ilvl="6" w:tplc="92FC4526">
      <w:numFmt w:val="decimal"/>
      <w:lvlText w:val=""/>
      <w:lvlJc w:val="left"/>
    </w:lvl>
    <w:lvl w:ilvl="7" w:tplc="15580F00">
      <w:numFmt w:val="decimal"/>
      <w:lvlText w:val=""/>
      <w:lvlJc w:val="left"/>
    </w:lvl>
    <w:lvl w:ilvl="8" w:tplc="E75AE6D8">
      <w:numFmt w:val="decimal"/>
      <w:lvlText w:val=""/>
      <w:lvlJc w:val="left"/>
    </w:lvl>
  </w:abstractNum>
  <w:abstractNum w:abstractNumId="3" w15:restartNumberingAfterBreak="0">
    <w:nsid w:val="57082585"/>
    <w:multiLevelType w:val="hybridMultilevel"/>
    <w:tmpl w:val="3FB0B04C"/>
    <w:lvl w:ilvl="0" w:tplc="D056175E">
      <w:start w:val="1"/>
      <w:numFmt w:val="bullet"/>
      <w:lvlText w:val="●"/>
      <w:lvlJc w:val="left"/>
      <w:pPr>
        <w:ind w:left="720" w:hanging="360"/>
      </w:pPr>
    </w:lvl>
    <w:lvl w:ilvl="1" w:tplc="D85A995A">
      <w:start w:val="1"/>
      <w:numFmt w:val="bullet"/>
      <w:lvlText w:val="○"/>
      <w:lvlJc w:val="left"/>
      <w:pPr>
        <w:ind w:left="1440" w:hanging="360"/>
      </w:pPr>
    </w:lvl>
    <w:lvl w:ilvl="2" w:tplc="BA805DFE">
      <w:start w:val="1"/>
      <w:numFmt w:val="bullet"/>
      <w:lvlText w:val="■"/>
      <w:lvlJc w:val="left"/>
      <w:pPr>
        <w:ind w:left="2160" w:hanging="360"/>
      </w:pPr>
    </w:lvl>
    <w:lvl w:ilvl="3" w:tplc="6D40CA62">
      <w:start w:val="1"/>
      <w:numFmt w:val="bullet"/>
      <w:lvlText w:val="●"/>
      <w:lvlJc w:val="left"/>
      <w:pPr>
        <w:ind w:left="2880" w:hanging="360"/>
      </w:pPr>
    </w:lvl>
    <w:lvl w:ilvl="4" w:tplc="BED2340E">
      <w:start w:val="1"/>
      <w:numFmt w:val="bullet"/>
      <w:lvlText w:val="○"/>
      <w:lvlJc w:val="left"/>
      <w:pPr>
        <w:ind w:left="3600" w:hanging="360"/>
      </w:pPr>
    </w:lvl>
    <w:lvl w:ilvl="5" w:tplc="7F2ACDB8">
      <w:start w:val="1"/>
      <w:numFmt w:val="bullet"/>
      <w:lvlText w:val="■"/>
      <w:lvlJc w:val="left"/>
      <w:pPr>
        <w:ind w:left="4320" w:hanging="360"/>
      </w:pPr>
    </w:lvl>
    <w:lvl w:ilvl="6" w:tplc="BED461BA">
      <w:start w:val="1"/>
      <w:numFmt w:val="bullet"/>
      <w:lvlText w:val="●"/>
      <w:lvlJc w:val="left"/>
      <w:pPr>
        <w:ind w:left="5040" w:hanging="360"/>
      </w:pPr>
    </w:lvl>
    <w:lvl w:ilvl="7" w:tplc="71B2336A">
      <w:start w:val="1"/>
      <w:numFmt w:val="bullet"/>
      <w:lvlText w:val="●"/>
      <w:lvlJc w:val="left"/>
      <w:pPr>
        <w:ind w:left="5760" w:hanging="360"/>
      </w:pPr>
    </w:lvl>
    <w:lvl w:ilvl="8" w:tplc="E5B261D8">
      <w:start w:val="1"/>
      <w:numFmt w:val="bullet"/>
      <w:lvlText w:val="●"/>
      <w:lvlJc w:val="left"/>
      <w:pPr>
        <w:ind w:left="6480" w:hanging="360"/>
      </w:pPr>
    </w:lvl>
  </w:abstractNum>
  <w:num w:numId="1" w16cid:durableId="782576838">
    <w:abstractNumId w:val="3"/>
    <w:lvlOverride w:ilvl="0">
      <w:startOverride w:val="1"/>
    </w:lvlOverride>
  </w:num>
  <w:num w:numId="2" w16cid:durableId="1343585361">
    <w:abstractNumId w:val="0"/>
  </w:num>
  <w:num w:numId="3" w16cid:durableId="2038385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D3F"/>
    <w:rsid w:val="000F7CE5"/>
    <w:rsid w:val="001F5F3B"/>
    <w:rsid w:val="0022792D"/>
    <w:rsid w:val="00256D3F"/>
    <w:rsid w:val="00274664"/>
    <w:rsid w:val="00476CB9"/>
    <w:rsid w:val="00525FFA"/>
    <w:rsid w:val="00570934"/>
    <w:rsid w:val="00735264"/>
    <w:rsid w:val="00753BDA"/>
    <w:rsid w:val="00890CF2"/>
    <w:rsid w:val="008941C4"/>
    <w:rsid w:val="008A762B"/>
    <w:rsid w:val="00946D7B"/>
    <w:rsid w:val="00A37F49"/>
    <w:rsid w:val="00A83AAB"/>
    <w:rsid w:val="00B05431"/>
    <w:rsid w:val="00B55D2A"/>
    <w:rsid w:val="00B61140"/>
    <w:rsid w:val="00CA71A6"/>
    <w:rsid w:val="00D1222B"/>
    <w:rsid w:val="00E522FE"/>
    <w:rsid w:val="00F9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6D68B"/>
  <w15:docId w15:val="{4189F821-0438-4E07-9F72-B9704801B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ira.pzu.pl/jira/browse/MPP-51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customNormal.dotm</Template>
  <TotalTime>6</TotalTime>
  <Pages>3</Pages>
  <Words>873</Words>
  <Characters>5239</Characters>
  <Application>Microsoft Office Word</Application>
  <DocSecurity>0</DocSecurity>
  <Lines>43</Lines>
  <Paragraphs>12</Paragraphs>
  <ScaleCrop>false</ScaleCrop>
  <Company>Grupa PZU</Company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Marek Kwiatkowski</dc:creator>
  <cp:lastModifiedBy>Kwiatkowski Marek (FIRMA ZEWNĘTRZNA)</cp:lastModifiedBy>
  <cp:revision>12</cp:revision>
  <dcterms:created xsi:type="dcterms:W3CDTF">2026-07-02T14:04:00Z</dcterms:created>
  <dcterms:modified xsi:type="dcterms:W3CDTF">2026-07-17T11:53:00Z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d6fd914-8286-453e-8cdd-01ba4c22f429_Enabled">
    <vt:lpwstr>true</vt:lpwstr>
  </property>
  <property fmtid="{D5CDD505-2E9C-101B-9397-08002B2CF9AE}" pid="3" name="MSIP_Label_ad6fd914-8286-453e-8cdd-01ba4c22f429_SetDate">
    <vt:lpwstr>2026-07-17T10:52:33Z</vt:lpwstr>
  </property>
  <property fmtid="{D5CDD505-2E9C-101B-9397-08002B2CF9AE}" pid="4" name="MSIP_Label_ad6fd914-8286-453e-8cdd-01ba4c22f429_Method">
    <vt:lpwstr>Standard</vt:lpwstr>
  </property>
  <property fmtid="{D5CDD505-2E9C-101B-9397-08002B2CF9AE}" pid="5" name="MSIP_Label_ad6fd914-8286-453e-8cdd-01ba4c22f429_Name">
    <vt:lpwstr>Informacja chroniona</vt:lpwstr>
  </property>
  <property fmtid="{D5CDD505-2E9C-101B-9397-08002B2CF9AE}" pid="6" name="MSIP_Label_ad6fd914-8286-453e-8cdd-01ba4c22f429_SiteId">
    <vt:lpwstr>70494a27-b38e-4c71-aa33-8d5d48639f41</vt:lpwstr>
  </property>
  <property fmtid="{D5CDD505-2E9C-101B-9397-08002B2CF9AE}" pid="7" name="MSIP_Label_ad6fd914-8286-453e-8cdd-01ba4c22f429_ActionId">
    <vt:lpwstr>1ae32faf-9b24-4075-a339-b6b1d692ea51</vt:lpwstr>
  </property>
  <property fmtid="{D5CDD505-2E9C-101B-9397-08002B2CF9AE}" pid="8" name="MSIP_Label_ad6fd914-8286-453e-8cdd-01ba4c22f429_ContentBits">
    <vt:lpwstr>0</vt:lpwstr>
  </property>
</Properties>
</file>