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 Law Posting Guidelines</w:t>
      </w:r>
    </w:p>
    <w:p>
      <w:r>
        <w:t>These guidelines establish the official procedures for publishing and disseminating all lawful documents, decrees, and proclamations of the International American Republic, ensuring lawful notice and public access.</w:t>
      </w:r>
    </w:p>
    <w:p>
      <w:pPr>
        <w:pStyle w:val="Heading1"/>
      </w:pPr>
      <w:r>
        <w:t>Article I – Purpose of Public Posting</w:t>
      </w:r>
    </w:p>
    <w:p>
      <w:r>
        <w:t>Public posting serves to:</w:t>
        <w:br/>
        <w:t>- Provide legal notice to corporate, governmental, and private parties.</w:t>
        <w:br/>
        <w:t>- Establish lawful standing and international recognition.</w:t>
        <w:br/>
        <w:t>- Ensure open transparency and historical record.</w:t>
      </w:r>
    </w:p>
    <w:p>
      <w:pPr>
        <w:pStyle w:val="Heading1"/>
      </w:pPr>
      <w:r>
        <w:t>Article II – Official Posting Locations</w:t>
      </w:r>
    </w:p>
    <w:p>
      <w:r>
        <w:t>1. Digital Repository: Nanih Oba University’s official law library and record center.</w:t>
        <w:br/>
        <w:t>2. Public Bulletin Boards: Physical boards at Republic offices, embassies, or community hubs.</w:t>
        <w:br/>
        <w:t>3. Third-Party Archives: Posted in independent legal repositories (digital and physical) for international transparency.</w:t>
      </w:r>
    </w:p>
    <w:p>
      <w:pPr>
        <w:pStyle w:val="Heading1"/>
      </w:pPr>
      <w:r>
        <w:t>Article III – Required Elements in a Post</w:t>
      </w:r>
    </w:p>
    <w:p>
      <w:r>
        <w:t>Each public post must contain:</w:t>
        <w:br/>
        <w:t>- Title and Identifier</w:t>
        <w:br/>
        <w:t>- Date of Issue</w:t>
        <w:br/>
        <w:t>- Authorizing Body or Officer</w:t>
        <w:br/>
        <w:t>- Summary of Legal Effect</w:t>
        <w:br/>
        <w:t>- Optional Digital Authentication (QR code or hash)</w:t>
      </w:r>
    </w:p>
    <w:p>
      <w:pPr>
        <w:pStyle w:val="Heading1"/>
      </w:pPr>
      <w:r>
        <w:t>Article IV – Frequency and Duration</w:t>
      </w:r>
    </w:p>
    <w:p>
      <w:r>
        <w:t>1. New laws and edicts must be posted within 3 days of enactment.</w:t>
        <w:br/>
        <w:t>2. All postings must remain available for no less than 1 calendar year.</w:t>
        <w:br/>
        <w:t>3. Treaties and constitutional documents are to remain in perpetual display.</w:t>
      </w:r>
    </w:p>
    <w:p>
      <w:pPr>
        <w:pStyle w:val="Heading1"/>
      </w:pPr>
      <w:r>
        <w:t>Article V – Archiving and Authentication</w:t>
      </w:r>
    </w:p>
    <w:p>
      <w:r>
        <w:t>Nanih Oba University is responsible for archiving and authenticating all posts. Blockchain-based time-stamping and certification methods may be employed to ensure integrity and proof of publication.</w:t>
      </w:r>
    </w:p>
    <w:p>
      <w:r>
        <w:br/>
        <w:t>Issued by the Office of the Public Law Recorder</w:t>
      </w:r>
    </w:p>
    <w:p>
      <w:r>
        <w:t>Effective as of: July 04,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