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Public Notice of Jurisdiction and Sovereign Standing</w:t>
      </w:r>
    </w:p>
    <w:p>
      <w:r>
        <w:t>TO ALL CORPORATE ENTITIES, AGENCIES, AND ADMINISTRATIONS OPERATING WITHIN THE AMERICAN HEMISPHERE:</w:t>
      </w:r>
    </w:p>
    <w:p>
      <w:r>
        <w:t>Be it known, noticed, and recorded that the Nominated People of the International American Republic, by lawful right of natural, divine, and international law, hereby declare and establish their sovereign standing, jurisdictional independence, and territorial claim over all lands, persons, and affairs connected to the Organic American Republic States including Argentina, Brazil, Colombia, Costa Rica, Dominican Republic, Ecuador, El Salvador, Guatemala, Haiti, Honduras, Panama, Peru, United States of America, and Venezuela.</w:t>
      </w:r>
    </w:p>
    <w:p>
      <w:pPr>
        <w:pStyle w:val="Heading1"/>
      </w:pPr>
      <w:r>
        <w:t>Article I – Jurisdictional Declaration</w:t>
      </w:r>
    </w:p>
    <w:p>
      <w:r>
        <w:t>This Notice is established in alignment with:</w:t>
        <w:br/>
        <w:t>- Article 7 of the Act of Habana (1940)</w:t>
        <w:br/>
        <w:t>- The Montevideo Convention (1933)</w:t>
        <w:br/>
        <w:t>- The UN Declaration on the Rights of Indigenous Peoples (2007)</w:t>
        <w:br/>
        <w:t>- Public and Divine Law as ratified by the Sovereign Codified Laws of the Republic (SCOR)</w:t>
      </w:r>
    </w:p>
    <w:p>
      <w:pPr>
        <w:pStyle w:val="Heading1"/>
      </w:pPr>
      <w:r>
        <w:t>Article II – Notice to Agents</w:t>
      </w:r>
    </w:p>
    <w:p>
      <w:r>
        <w:t>All agents of corporate governance, including but not limited to federal, state, and municipal bodies, financial institutions, law enforcement entities, and regulatory boards are hereby placed on notice. No contract, jurisdiction, or presumption of authority shall be deemed valid unless established by full disclosure, mutual consent, and due recognition of the Republic’s standing under public law.</w:t>
      </w:r>
    </w:p>
    <w:p>
      <w:pPr>
        <w:pStyle w:val="Heading1"/>
      </w:pPr>
      <w:r>
        <w:t>Article III – Enactment and Effectiveness</w:t>
      </w:r>
    </w:p>
    <w:p>
      <w:r>
        <w:t>This Public Notice shall be effective upon its publication and shall remain in force in perpetuity unless otherwise amended by the Sovereign Bench of the International American Republic.</w:t>
      </w:r>
    </w:p>
    <w:p>
      <w:r>
        <w:br/>
        <w:t>Issued by the Authority of the Nominated People on this day: July 04,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