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 Codified Laws of the Republic (SCOR)</w:t>
      </w:r>
    </w:p>
    <w:p>
      <w:pPr>
        <w:pStyle w:val="Heading1"/>
      </w:pPr>
      <w:r>
        <w:t>Volume III – Civil Codes</w:t>
      </w:r>
    </w:p>
    <w:p>
      <w:r>
        <w:t>This Volume contains core legal codes governing the affairs of the International American Republic.</w:t>
      </w:r>
    </w:p>
    <w:p>
      <w:pPr>
        <w:pStyle w:val="Heading2"/>
      </w:pPr>
      <w:r>
        <w:t>Section I – Contract Law</w:t>
      </w:r>
    </w:p>
    <w:p>
      <w:r>
        <w:t>1. All contracts must include full disclosure, comprehension, consent, and mutual benefit.</w:t>
        <w:br/>
        <w:t>2. Adhesion contracts are null unless revalidated with consent.</w:t>
      </w:r>
    </w:p>
    <w:p>
      <w:pPr>
        <w:pStyle w:val="Heading2"/>
      </w:pPr>
      <w:r>
        <w:t>Section II – Property and Trust Law</w:t>
      </w:r>
    </w:p>
    <w:p>
      <w:r>
        <w:t>1. Property includes tangible and intangible assets lawfully claimed.</w:t>
        <w:br/>
        <w:t>2. Community trusts and private custodial systems are recognized.</w:t>
      </w:r>
    </w:p>
    <w:p>
      <w:pPr>
        <w:pStyle w:val="Heading2"/>
      </w:pPr>
      <w:r>
        <w:t>Section III – Commercial and Trade Law</w:t>
      </w:r>
    </w:p>
    <w:p>
      <w:r>
        <w:t>1. Commerce within the Republic is protected under sovereign trade law.</w:t>
        <w:br/>
        <w:t>2. Usury and exploitative lending are forbidden under public law.</w:t>
      </w:r>
    </w:p>
    <w:p>
      <w:r>
        <w:br/>
        <w:t>Certified and Recorded as of: July 04,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