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Codified Laws of the Republic (SCOR)</w:t>
      </w:r>
    </w:p>
    <w:p>
      <w:pPr>
        <w:pStyle w:val="Heading1"/>
      </w:pPr>
      <w:r>
        <w:t>Volume II – International Law &amp; Treaty Codex</w:t>
      </w:r>
    </w:p>
    <w:p>
      <w:r>
        <w:t>This Volume contains core legal codes governing the affairs of the International American Republic.</w:t>
      </w:r>
    </w:p>
    <w:p>
      <w:pPr>
        <w:pStyle w:val="Heading2"/>
      </w:pPr>
      <w:r>
        <w:t>Section I – Treaty Law Foundations</w:t>
      </w:r>
    </w:p>
    <w:p>
      <w:r>
        <w:t>1. The Montevideo Convention governs the recognition of statehood within the American Republic.</w:t>
        <w:br/>
        <w:t>2. All treaties must be ratified by the Council and Assembly before being binding.</w:t>
        <w:br/>
        <w:t>3. The Vienna Convention on Treaties is adopted to interpret and enforce agreements.</w:t>
      </w:r>
    </w:p>
    <w:p>
      <w:pPr>
        <w:pStyle w:val="Heading2"/>
      </w:pPr>
      <w:r>
        <w:t>Section II – UN Instruments</w:t>
      </w:r>
    </w:p>
    <w:p>
      <w:r>
        <w:t>1. The UN Declaration on the Rights of Indigenous Peoples (UNDRIP) is fully adopted.</w:t>
        <w:br/>
        <w:t>2. The Republic affirms its right to self-determination, autonomy, and territorial integrity.</w:t>
      </w:r>
    </w:p>
    <w:p>
      <w:pPr>
        <w:pStyle w:val="Heading2"/>
      </w:pPr>
      <w:r>
        <w:t>Section III – Act of Habana and Inter-American Treaties</w:t>
      </w:r>
    </w:p>
    <w:p>
      <w:r>
        <w:t>1. The Republic reserves all rights outlined in the Act of Habana (1940).</w:t>
        <w:br/>
        <w:t>2. All American Republics are recognized as co-equal sovereigns within the intercontinental republic.</w:t>
      </w:r>
    </w:p>
    <w:p>
      <w:r>
        <w:br/>
        <w:t>Certified and Recorded as of: July 04,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