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Codified Laws of the Republic (SCOR)</w:t>
      </w:r>
    </w:p>
    <w:p>
      <w:pPr>
        <w:pStyle w:val="Heading1"/>
      </w:pPr>
      <w:r>
        <w:t>Volume IV – Criminal &amp; Restorative Law</w:t>
      </w:r>
    </w:p>
    <w:p>
      <w:r>
        <w:t>This Volume contains core legal codes governing the affairs of the International American Republic.</w:t>
      </w:r>
    </w:p>
    <w:p>
      <w:pPr>
        <w:pStyle w:val="Heading2"/>
      </w:pPr>
      <w:r>
        <w:t>Section I – Harm and Remedy</w:t>
      </w:r>
    </w:p>
    <w:p>
      <w:r>
        <w:t>1. Any act causing injury to body, liberty, or property must be met with equitable remedy.</w:t>
        <w:br/>
        <w:t>2. Punishment shall not be cruel, but just, and focused on restoration and reconciliation.</w:t>
      </w:r>
    </w:p>
    <w:p>
      <w:pPr>
        <w:pStyle w:val="Heading2"/>
      </w:pPr>
      <w:r>
        <w:t>Section II – Sovereign Courts</w:t>
      </w:r>
    </w:p>
    <w:p>
      <w:r>
        <w:t>1. Courts shall operate under the Sovereign Bench.</w:t>
        <w:br/>
        <w:t>2. Disputes shall be resolved through counsel, elders, or jury of peers.</w:t>
      </w:r>
    </w:p>
    <w:p>
      <w:pPr>
        <w:pStyle w:val="Heading2"/>
      </w:pPr>
      <w:r>
        <w:t>Section III – Jurisdiction of Offenses</w:t>
      </w:r>
    </w:p>
    <w:p>
      <w:r>
        <w:t>1. Offenses under the corporate system may be retried under sovereign law if jurisdiction is challenged.</w:t>
        <w:br/>
        <w:t>2. Natural persons shall never be held liable for corporate debt unless contracted into it.</w:t>
      </w:r>
    </w:p>
    <w:p>
      <w:r>
        <w:br/>
        <w:t>Certified and Recorded as of: July 04,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