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Sovereign Codified Laws of the Republic (SCOR)</w:t>
      </w:r>
    </w:p>
    <w:p>
      <w:pPr>
        <w:pStyle w:val="Heading1"/>
      </w:pPr>
      <w:r>
        <w:t>Volume V – Education &amp; Edification Law</w:t>
      </w:r>
    </w:p>
    <w:p>
      <w:r>
        <w:t>This Volume contains core legal codes governing the affairs of the International American Republic.</w:t>
      </w:r>
    </w:p>
    <w:p>
      <w:pPr>
        <w:pStyle w:val="Heading2"/>
      </w:pPr>
      <w:r>
        <w:t>Section I – Right to Edification</w:t>
      </w:r>
    </w:p>
    <w:p>
      <w:r>
        <w:t>1. Every citizen has the right to edification aligned with natural law, spiritual truth, and lawful history.</w:t>
        <w:br/>
        <w:t>2. The Republic shall defend this right against coercive state education systems.</w:t>
      </w:r>
    </w:p>
    <w:p>
      <w:pPr>
        <w:pStyle w:val="Heading2"/>
      </w:pPr>
      <w:r>
        <w:t>Section II – Nanih Oba University Authority</w:t>
      </w:r>
    </w:p>
    <w:p>
      <w:r>
        <w:t>1. The University shall certify all legal, spiritual, and academic credentials.</w:t>
        <w:br/>
        <w:t>2. It shall also publish all laws, amendments, treaties, and notices.</w:t>
      </w:r>
    </w:p>
    <w:p>
      <w:pPr>
        <w:pStyle w:val="Heading2"/>
      </w:pPr>
      <w:r>
        <w:t>Section III – Public and Private Education</w:t>
      </w:r>
    </w:p>
    <w:p>
      <w:r>
        <w:t>1. Families may establish private learning systems based on divine and sovereign curriculum.</w:t>
        <w:br/>
        <w:t>2. Public schools shall operate with consent and community guidance.</w:t>
      </w:r>
    </w:p>
    <w:p>
      <w:r>
        <w:br/>
        <w:t>Certified and Recorded as of: July 04,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