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Sovereign Trust Instrument of the International American Republic</w:t>
      </w:r>
    </w:p>
    <w:p>
      <w:r>
        <w:t>This Trust Instrument establishes the First Custodial Trust of the American Republic for the purpose of preserving, managing, and administering the legal, financial, intellectual, and territorial assets of the International American Republic.</w:t>
      </w:r>
    </w:p>
    <w:p>
      <w:pPr>
        <w:pStyle w:val="Heading1"/>
      </w:pPr>
      <w:r>
        <w:t>Article I – Name and Establishment</w:t>
      </w:r>
    </w:p>
    <w:p>
      <w:r>
        <w:t>This trust shall be known as 'The First Custodial Trust of the American Republic', herein referred to as the 'Trust'. It is created by the Nominated People and governed by the Constitution of the International American Republic.</w:t>
      </w:r>
    </w:p>
    <w:p>
      <w:pPr>
        <w:pStyle w:val="Heading1"/>
      </w:pPr>
      <w:r>
        <w:t>Article II – Grantor and Trustees</w:t>
      </w:r>
    </w:p>
    <w:p>
      <w:r>
        <w:t>The Grantor of this Trust is the International American Republic. The Trustees shall be appointed by the Council of Nominated Nations and must be citizens of the Republic in good standing.</w:t>
      </w:r>
    </w:p>
    <w:p>
      <w:pPr>
        <w:pStyle w:val="Heading1"/>
      </w:pPr>
      <w:r>
        <w:t>Article III – Trust Purpose</w:t>
      </w:r>
    </w:p>
    <w:p>
      <w:r>
        <w:t>The Trust exists to: (1) secure land and territorial titles, (2) manage intellectual property rights and documents, (3) oversee sovereign banking and digital assets, and (4) administer public infrastructure and education systems.</w:t>
      </w:r>
    </w:p>
    <w:p>
      <w:pPr>
        <w:pStyle w:val="Heading1"/>
      </w:pPr>
      <w:r>
        <w:t>Article IV – Beneficiaries</w:t>
      </w:r>
    </w:p>
    <w:p>
      <w:r>
        <w:t>All living nominated citizens of the International American Republic are the primary beneficiaries of the Trust. The Trustees must act solely in the interests of the People and Republic.</w:t>
      </w:r>
    </w:p>
    <w:p>
      <w:pPr>
        <w:pStyle w:val="Heading1"/>
      </w:pPr>
      <w:r>
        <w:t>Article V – Jurisdiction and Law</w:t>
      </w:r>
    </w:p>
    <w:p>
      <w:r>
        <w:t>This Trust operates under the jurisdiction of Natural Law and Public International Law. It is not subject to foreign statutory codes unless mutually ratified by treaty.</w:t>
      </w:r>
    </w:p>
    <w:p>
      <w:pPr>
        <w:pStyle w:val="Heading1"/>
      </w:pPr>
      <w:r>
        <w:t>Article VI – Amendments and Termination</w:t>
      </w:r>
    </w:p>
    <w:p>
      <w:r>
        <w:t>This Trust may be amended by unanimous vote of the Council of Nominated Nations and with ratification by the Assembly of the People. Termination requires a 90% vote of both houses and must preserve beneficiary rights.</w:t>
      </w:r>
    </w:p>
    <w:p>
      <w:r>
        <w:br/>
        <w:t>Established and Effective as of: July 04,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