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3A25" w:rsidRDefault="00A53A25">
      <w:pPr>
        <w:spacing w:before="1400"/>
      </w:pPr>
    </w:p>
    <w:p w:rsidR="00A53A25" w:rsidRDefault="00000000">
      <w:pPr>
        <w:jc w:val="center"/>
      </w:pPr>
      <w:r>
        <w:rPr>
          <w:b/>
          <w:bCs/>
          <w:color w:val="595959"/>
          <w:sz w:val="24"/>
          <w:szCs w:val="24"/>
        </w:rPr>
        <w:t>CENTRE HOSPITALIER SAINT-AURÉLIEN</w:t>
      </w:r>
    </w:p>
    <w:p w:rsidR="00A53A25" w:rsidRDefault="00000000">
      <w:pPr>
        <w:spacing w:before="600" w:after="300"/>
        <w:jc w:val="center"/>
      </w:pPr>
      <w:r>
        <w:rPr>
          <w:b/>
          <w:bCs/>
          <w:color w:val="1F3864"/>
          <w:sz w:val="48"/>
          <w:szCs w:val="48"/>
        </w:rPr>
        <w:t>Rapport Technique</w:t>
      </w:r>
    </w:p>
    <w:p w:rsidR="00A53A25" w:rsidRDefault="00000000">
      <w:pPr>
        <w:spacing w:after="800"/>
        <w:jc w:val="center"/>
      </w:pPr>
      <w:r>
        <w:rPr>
          <w:b/>
          <w:bCs/>
          <w:color w:val="2E74B5"/>
          <w:sz w:val="34"/>
          <w:szCs w:val="34"/>
        </w:rPr>
        <w:t>Proof of Concept — Agent IA de Triage Médical</w:t>
      </w:r>
    </w:p>
    <w:p w:rsidR="00A53A25" w:rsidRDefault="00000000">
      <w:pPr>
        <w:spacing w:after="100"/>
        <w:jc w:val="center"/>
      </w:pPr>
      <w:r>
        <w:rPr>
          <w:i/>
          <w:iCs/>
          <w:color w:val="595959"/>
          <w:sz w:val="22"/>
          <w:szCs w:val="22"/>
        </w:rPr>
        <w:t>Fine-tuning (SFT + DPO) et déploiement de Qwen3-1.7B</w:t>
      </w:r>
    </w:p>
    <w:p w:rsidR="00A53A25" w:rsidRDefault="00000000">
      <w:pPr>
        <w:spacing w:after="1600"/>
        <w:jc w:val="center"/>
      </w:pPr>
      <w:proofErr w:type="gramStart"/>
      <w:r>
        <w:rPr>
          <w:i/>
          <w:iCs/>
          <w:color w:val="595959"/>
          <w:sz w:val="22"/>
          <w:szCs w:val="22"/>
        </w:rPr>
        <w:t>pour</w:t>
      </w:r>
      <w:proofErr w:type="gramEnd"/>
      <w:r>
        <w:rPr>
          <w:i/>
          <w:iCs/>
          <w:color w:val="595959"/>
          <w:sz w:val="22"/>
          <w:szCs w:val="22"/>
        </w:rPr>
        <w:t xml:space="preserve"> l'assistance au triage des urgences</w:t>
      </w:r>
    </w:p>
    <w:p w:rsidR="00A53A25" w:rsidRDefault="00000000">
      <w:pPr>
        <w:spacing w:before="2000" w:after="80"/>
        <w:jc w:val="center"/>
      </w:pPr>
      <w:r>
        <w:rPr>
          <w:color w:val="595959"/>
        </w:rPr>
        <w:t xml:space="preserve">Mission de 4 semaines — IA </w:t>
      </w:r>
      <w:proofErr w:type="spellStart"/>
      <w:r>
        <w:rPr>
          <w:color w:val="595959"/>
        </w:rPr>
        <w:t>Engineer</w:t>
      </w:r>
      <w:proofErr w:type="spellEnd"/>
      <w:r>
        <w:rPr>
          <w:color w:val="595959"/>
        </w:rPr>
        <w:t xml:space="preserve"> Junior</w:t>
      </w:r>
    </w:p>
    <w:p w:rsidR="00A53A25" w:rsidRDefault="00000000">
      <w:pPr>
        <w:spacing w:after="80"/>
        <w:jc w:val="center"/>
      </w:pPr>
      <w:r>
        <w:rPr>
          <w:color w:val="595959"/>
        </w:rPr>
        <w:t>Commanditaire : Dr. Marie Dubois — Directrice Innovation Médicale</w:t>
      </w:r>
    </w:p>
    <w:p w:rsidR="00A53A25" w:rsidRDefault="00000000">
      <w:pPr>
        <w:jc w:val="center"/>
      </w:pPr>
      <w:r>
        <w:rPr>
          <w:b/>
          <w:bCs/>
          <w:color w:val="C00000"/>
        </w:rPr>
        <w:t>Verdict de déploiement : NO-GO production / GO Phase 2</w:t>
      </w:r>
    </w:p>
    <w:p w:rsidR="00A53A25" w:rsidRDefault="00A53A25">
      <w:pPr>
        <w:sectPr w:rsidR="00A53A25">
          <w:pgSz w:w="11906" w:h="16838"/>
          <w:pgMar w:top="1300" w:right="1300" w:bottom="1300" w:left="1300" w:header="708" w:footer="708" w:gutter="0"/>
          <w:cols w:space="720"/>
          <w:docGrid w:linePitch="360"/>
        </w:sectPr>
      </w:pPr>
    </w:p>
    <w:p w:rsidR="00A53A25" w:rsidRDefault="00000000">
      <w:pPr>
        <w:pStyle w:val="Titre1"/>
        <w:spacing w:before="400" w:after="200"/>
      </w:pPr>
      <w:r>
        <w:rPr>
          <w:b/>
          <w:bCs/>
          <w:color w:val="1F3864"/>
        </w:rPr>
        <w:lastRenderedPageBreak/>
        <w:t>Sommaire</w:t>
      </w:r>
    </w:p>
    <w:p w:rsidR="00A53A25" w:rsidRDefault="00000000">
      <w:pPr>
        <w:tabs>
          <w:tab w:val="right" w:leader="dot" w:pos="9300"/>
        </w:tabs>
        <w:spacing w:after="160"/>
      </w:pPr>
      <w:r>
        <w:rPr>
          <w:sz w:val="22"/>
          <w:szCs w:val="22"/>
        </w:rPr>
        <w:t>1. Contexte et objectifs</w:t>
      </w:r>
      <w:r>
        <w:ptab w:relativeTo="margin" w:alignment="right" w:leader="dot"/>
      </w:r>
      <w:r>
        <w:rPr>
          <w:sz w:val="22"/>
          <w:szCs w:val="22"/>
        </w:rPr>
        <w:t>3</w:t>
      </w:r>
    </w:p>
    <w:p w:rsidR="00A53A25" w:rsidRDefault="00000000">
      <w:pPr>
        <w:tabs>
          <w:tab w:val="right" w:leader="dot" w:pos="9300"/>
        </w:tabs>
        <w:spacing w:after="160"/>
      </w:pPr>
      <w:r>
        <w:rPr>
          <w:sz w:val="22"/>
          <w:szCs w:val="22"/>
        </w:rPr>
        <w:t>2. Méthodologie — Préparation des données (Semaine 1)</w:t>
      </w:r>
      <w:r>
        <w:ptab w:relativeTo="margin" w:alignment="right" w:leader="dot"/>
      </w:r>
      <w:r>
        <w:rPr>
          <w:sz w:val="22"/>
          <w:szCs w:val="22"/>
        </w:rPr>
        <w:t>3</w:t>
      </w:r>
    </w:p>
    <w:p w:rsidR="00A53A25" w:rsidRDefault="00000000">
      <w:pPr>
        <w:tabs>
          <w:tab w:val="right" w:leader="dot" w:pos="9300"/>
        </w:tabs>
        <w:spacing w:after="160"/>
      </w:pPr>
      <w:r>
        <w:rPr>
          <w:sz w:val="22"/>
          <w:szCs w:val="22"/>
        </w:rPr>
        <w:t>3. Méthodologie — Entraînement du modèle (Semaines 2-3)</w:t>
      </w:r>
      <w:r>
        <w:ptab w:relativeTo="margin" w:alignment="right" w:leader="dot"/>
      </w:r>
      <w:r>
        <w:rPr>
          <w:sz w:val="22"/>
          <w:szCs w:val="22"/>
        </w:rPr>
        <w:t>5</w:t>
      </w:r>
    </w:p>
    <w:p w:rsidR="00A53A25" w:rsidRDefault="00000000">
      <w:pPr>
        <w:tabs>
          <w:tab w:val="right" w:leader="dot" w:pos="9300"/>
        </w:tabs>
        <w:spacing w:after="160"/>
      </w:pPr>
      <w:r>
        <w:rPr>
          <w:sz w:val="22"/>
          <w:szCs w:val="22"/>
        </w:rPr>
        <w:t>4. Déploiement et infrastructure (Semaine 4)</w:t>
      </w:r>
      <w:r>
        <w:ptab w:relativeTo="margin" w:alignment="right" w:leader="dot"/>
      </w:r>
      <w:r>
        <w:rPr>
          <w:sz w:val="22"/>
          <w:szCs w:val="22"/>
        </w:rPr>
        <w:t>6</w:t>
      </w:r>
    </w:p>
    <w:p w:rsidR="00A53A25" w:rsidRDefault="00000000">
      <w:pPr>
        <w:tabs>
          <w:tab w:val="right" w:leader="dot" w:pos="9300"/>
        </w:tabs>
        <w:spacing w:after="160"/>
      </w:pPr>
      <w:r>
        <w:rPr>
          <w:sz w:val="22"/>
          <w:szCs w:val="22"/>
        </w:rPr>
        <w:t>5. Résultats et métriques de performance</w:t>
      </w:r>
      <w:r>
        <w:ptab w:relativeTo="margin" w:alignment="right" w:leader="dot"/>
      </w:r>
      <w:r>
        <w:rPr>
          <w:sz w:val="22"/>
          <w:szCs w:val="22"/>
        </w:rPr>
        <w:t>6</w:t>
      </w:r>
    </w:p>
    <w:p w:rsidR="00A53A25" w:rsidRPr="002E285A" w:rsidRDefault="00000000">
      <w:pPr>
        <w:tabs>
          <w:tab w:val="right" w:leader="dot" w:pos="9300"/>
        </w:tabs>
        <w:spacing w:after="160"/>
        <w:rPr>
          <w:lang w:val="en-US"/>
        </w:rPr>
      </w:pPr>
      <w:r w:rsidRPr="002E285A">
        <w:rPr>
          <w:sz w:val="22"/>
          <w:szCs w:val="22"/>
          <w:lang w:val="en-US"/>
        </w:rPr>
        <w:t xml:space="preserve">6. </w:t>
      </w:r>
      <w:proofErr w:type="spellStart"/>
      <w:r w:rsidRPr="002E285A">
        <w:rPr>
          <w:sz w:val="22"/>
          <w:szCs w:val="22"/>
          <w:lang w:val="en-US"/>
        </w:rPr>
        <w:t>Limites</w:t>
      </w:r>
      <w:proofErr w:type="spellEnd"/>
      <w:r w:rsidRPr="002E285A">
        <w:rPr>
          <w:sz w:val="22"/>
          <w:szCs w:val="22"/>
          <w:lang w:val="en-US"/>
        </w:rPr>
        <w:t xml:space="preserve"> </w:t>
      </w:r>
      <w:proofErr w:type="spellStart"/>
      <w:r w:rsidRPr="002E285A">
        <w:rPr>
          <w:sz w:val="22"/>
          <w:szCs w:val="22"/>
          <w:lang w:val="en-US"/>
        </w:rPr>
        <w:t>identifiées</w:t>
      </w:r>
      <w:proofErr w:type="spellEnd"/>
      <w:r>
        <w:ptab w:relativeTo="margin" w:alignment="right" w:leader="dot"/>
      </w:r>
      <w:r w:rsidRPr="002E285A">
        <w:rPr>
          <w:sz w:val="22"/>
          <w:szCs w:val="22"/>
          <w:lang w:val="en-US"/>
        </w:rPr>
        <w:t>7</w:t>
      </w:r>
    </w:p>
    <w:p w:rsidR="00A53A25" w:rsidRPr="002E285A" w:rsidRDefault="00000000">
      <w:pPr>
        <w:tabs>
          <w:tab w:val="right" w:leader="dot" w:pos="9300"/>
        </w:tabs>
        <w:spacing w:after="160"/>
        <w:rPr>
          <w:lang w:val="en-US"/>
        </w:rPr>
      </w:pPr>
      <w:r w:rsidRPr="002E285A">
        <w:rPr>
          <w:sz w:val="22"/>
          <w:szCs w:val="22"/>
          <w:lang w:val="en-US"/>
        </w:rPr>
        <w:t>7. Checklist Go / No-Go</w:t>
      </w:r>
      <w:r>
        <w:ptab w:relativeTo="margin" w:alignment="right" w:leader="dot"/>
      </w:r>
      <w:r w:rsidRPr="002E285A">
        <w:rPr>
          <w:sz w:val="22"/>
          <w:szCs w:val="22"/>
          <w:lang w:val="en-US"/>
        </w:rPr>
        <w:t>8</w:t>
      </w:r>
    </w:p>
    <w:p w:rsidR="00A53A25" w:rsidRDefault="00000000">
      <w:pPr>
        <w:tabs>
          <w:tab w:val="right" w:leader="dot" w:pos="9300"/>
        </w:tabs>
        <w:spacing w:after="160"/>
      </w:pPr>
      <w:r>
        <w:rPr>
          <w:sz w:val="22"/>
          <w:szCs w:val="22"/>
        </w:rPr>
        <w:t>8. Recommandations et roadmap Phase 2</w:t>
      </w:r>
      <w:r>
        <w:ptab w:relativeTo="margin" w:alignment="right" w:leader="dot"/>
      </w:r>
      <w:r>
        <w:rPr>
          <w:sz w:val="22"/>
          <w:szCs w:val="22"/>
        </w:rPr>
        <w:t>9</w:t>
      </w:r>
    </w:p>
    <w:p w:rsidR="00A53A25" w:rsidRDefault="00000000">
      <w:r>
        <w:br w:type="page"/>
      </w:r>
    </w:p>
    <w:p w:rsidR="00A53A25" w:rsidRDefault="00A53A25">
      <w:pPr>
        <w:sectPr w:rsidR="00A53A25">
          <w:pgSz w:w="11906" w:h="16838"/>
          <w:pgMar w:top="1440" w:right="1440" w:bottom="1440" w:left="1440" w:header="708" w:footer="708" w:gutter="0"/>
          <w:cols w:space="720"/>
          <w:docGrid w:linePitch="360"/>
        </w:sectPr>
      </w:pPr>
    </w:p>
    <w:p w:rsidR="00A53A25" w:rsidRDefault="00000000">
      <w:pPr>
        <w:pStyle w:val="Titre1"/>
        <w:spacing w:before="400" w:after="200"/>
      </w:pPr>
      <w:r>
        <w:rPr>
          <w:b/>
          <w:bCs/>
          <w:color w:val="1F3864"/>
        </w:rPr>
        <w:lastRenderedPageBreak/>
        <w:t>1. Contexte et objectifs</w:t>
      </w:r>
    </w:p>
    <w:p w:rsidR="00A53A25" w:rsidRDefault="00000000">
      <w:pPr>
        <w:spacing w:after="160" w:line="300" w:lineRule="auto"/>
      </w:pPr>
      <w:r>
        <w:rPr>
          <w:sz w:val="21"/>
          <w:szCs w:val="21"/>
        </w:rPr>
        <w:t>Le Centre Hospitalier Saint-Aurélien (CHSA), grand hôpital public français, fait face à une surcharge constante de son service des urgences, particulièrement aux heures de pointe. Le manque d'effectifs infirmiers et de triage entraîne des temps d'attente prolongés et un risque de négligence de cas critiques non identifiés rapidement.</w:t>
      </w:r>
    </w:p>
    <w:p w:rsidR="00A53A25" w:rsidRDefault="00000000">
      <w:pPr>
        <w:spacing w:after="160" w:line="300" w:lineRule="auto"/>
      </w:pPr>
      <w:r>
        <w:rPr>
          <w:sz w:val="21"/>
          <w:szCs w:val="21"/>
        </w:rPr>
        <w:t>Cette mission de 4 semaines visait à développer un Proof of Concept (POC) d'un agent IA de triage médical, capable de :</w:t>
      </w:r>
    </w:p>
    <w:p w:rsidR="00A53A25" w:rsidRDefault="00000000">
      <w:pPr>
        <w:pStyle w:val="Paragraphedeliste"/>
        <w:numPr>
          <w:ilvl w:val="0"/>
          <w:numId w:val="2"/>
        </w:numPr>
        <w:spacing w:after="80" w:line="280" w:lineRule="auto"/>
      </w:pPr>
      <w:r>
        <w:rPr>
          <w:sz w:val="21"/>
          <w:szCs w:val="21"/>
        </w:rPr>
        <w:t>Collecter les symptômes du patient via un questionnaire adaptatif ;</w:t>
      </w:r>
    </w:p>
    <w:p w:rsidR="00A53A25" w:rsidRDefault="00000000">
      <w:pPr>
        <w:pStyle w:val="Paragraphedeliste"/>
        <w:numPr>
          <w:ilvl w:val="0"/>
          <w:numId w:val="2"/>
        </w:numPr>
        <w:spacing w:after="80" w:line="280" w:lineRule="auto"/>
      </w:pPr>
      <w:r>
        <w:rPr>
          <w:sz w:val="21"/>
          <w:szCs w:val="21"/>
        </w:rPr>
        <w:t>Évaluer un niveau de priorité (urgence maximale / modérée / différée) selon des protocoles médicaux reconnus ;</w:t>
      </w:r>
    </w:p>
    <w:p w:rsidR="00A53A25" w:rsidRDefault="00000000">
      <w:pPr>
        <w:pStyle w:val="Paragraphedeliste"/>
        <w:numPr>
          <w:ilvl w:val="0"/>
          <w:numId w:val="2"/>
        </w:numPr>
        <w:spacing w:after="80" w:line="280" w:lineRule="auto"/>
      </w:pPr>
      <w:r>
        <w:rPr>
          <w:sz w:val="21"/>
          <w:szCs w:val="21"/>
        </w:rPr>
        <w:t>Fournir des explications claires sur l'évaluation et les recommandations ;</w:t>
      </w:r>
    </w:p>
    <w:p w:rsidR="00A53A25" w:rsidRDefault="00000000">
      <w:pPr>
        <w:pStyle w:val="Paragraphedeliste"/>
        <w:numPr>
          <w:ilvl w:val="0"/>
          <w:numId w:val="2"/>
        </w:numPr>
        <w:spacing w:after="80" w:line="280" w:lineRule="auto"/>
      </w:pPr>
      <w:r>
        <w:rPr>
          <w:sz w:val="21"/>
          <w:szCs w:val="21"/>
        </w:rPr>
        <w:t>S'intégrer, à terme, au système d'information hospitalier ;</w:t>
      </w:r>
    </w:p>
    <w:p w:rsidR="00A53A25" w:rsidRDefault="00000000">
      <w:pPr>
        <w:pStyle w:val="Paragraphedeliste"/>
        <w:numPr>
          <w:ilvl w:val="0"/>
          <w:numId w:val="2"/>
        </w:numPr>
        <w:spacing w:after="80" w:line="280" w:lineRule="auto"/>
      </w:pPr>
      <w:r>
        <w:rPr>
          <w:sz w:val="21"/>
          <w:szCs w:val="21"/>
        </w:rPr>
        <w:t>Garantir la traçabilité de chaque interaction pour les audits médicaux.</w:t>
      </w:r>
    </w:p>
    <w:p w:rsidR="00A53A25" w:rsidRDefault="00000000">
      <w:pPr>
        <w:spacing w:after="160" w:line="300" w:lineRule="auto"/>
      </w:pPr>
      <w:r>
        <w:rPr>
          <w:sz w:val="21"/>
          <w:szCs w:val="21"/>
        </w:rPr>
        <w:t xml:space="preserve">La stratégie retenue s'est appuyée sur le modèle Qwen3-1.7B-Base, affiné par </w:t>
      </w:r>
      <w:proofErr w:type="spellStart"/>
      <w:r>
        <w:rPr>
          <w:sz w:val="21"/>
          <w:szCs w:val="21"/>
        </w:rPr>
        <w:t>Supervised</w:t>
      </w:r>
      <w:proofErr w:type="spellEnd"/>
      <w:r>
        <w:rPr>
          <w:sz w:val="21"/>
          <w:szCs w:val="21"/>
        </w:rPr>
        <w:t xml:space="preserve"> Fine-Tuning (SFT) avec </w:t>
      </w:r>
      <w:proofErr w:type="spellStart"/>
      <w:r>
        <w:rPr>
          <w:sz w:val="21"/>
          <w:szCs w:val="21"/>
        </w:rPr>
        <w:t>LoRA</w:t>
      </w:r>
      <w:proofErr w:type="spellEnd"/>
      <w:r>
        <w:rPr>
          <w:sz w:val="21"/>
          <w:szCs w:val="21"/>
        </w:rPr>
        <w:t xml:space="preserve">, puis aligné par Direct </w:t>
      </w:r>
      <w:proofErr w:type="spellStart"/>
      <w:r>
        <w:rPr>
          <w:sz w:val="21"/>
          <w:szCs w:val="21"/>
        </w:rPr>
        <w:t>Preference</w:t>
      </w:r>
      <w:proofErr w:type="spellEnd"/>
      <w:r>
        <w:rPr>
          <w:sz w:val="21"/>
          <w:szCs w:val="21"/>
        </w:rPr>
        <w:t xml:space="preserve"> </w:t>
      </w:r>
      <w:proofErr w:type="spellStart"/>
      <w:r>
        <w:rPr>
          <w:sz w:val="21"/>
          <w:szCs w:val="21"/>
        </w:rPr>
        <w:t>Optimization</w:t>
      </w:r>
      <w:proofErr w:type="spellEnd"/>
      <w:r>
        <w:rPr>
          <w:sz w:val="21"/>
          <w:szCs w:val="21"/>
        </w:rPr>
        <w:t xml:space="preserve"> (DPO), avant d'être déployé sous forme d'un </w:t>
      </w:r>
      <w:proofErr w:type="spellStart"/>
      <w:r>
        <w:rPr>
          <w:sz w:val="21"/>
          <w:szCs w:val="21"/>
        </w:rPr>
        <w:t>endpoint</w:t>
      </w:r>
      <w:proofErr w:type="spellEnd"/>
      <w:r>
        <w:rPr>
          <w:sz w:val="21"/>
          <w:szCs w:val="21"/>
        </w:rPr>
        <w:t xml:space="preserve"> de démonstration via </w:t>
      </w:r>
      <w:proofErr w:type="spellStart"/>
      <w:r>
        <w:rPr>
          <w:sz w:val="21"/>
          <w:szCs w:val="21"/>
        </w:rPr>
        <w:t>vLLM</w:t>
      </w:r>
      <w:proofErr w:type="spellEnd"/>
      <w:r>
        <w:rPr>
          <w:sz w:val="21"/>
          <w:szCs w:val="21"/>
        </w:rPr>
        <w:t xml:space="preserve"> et </w:t>
      </w:r>
      <w:proofErr w:type="spellStart"/>
      <w:r>
        <w:rPr>
          <w:sz w:val="21"/>
          <w:szCs w:val="21"/>
        </w:rPr>
        <w:t>FastAPI</w:t>
      </w:r>
      <w:proofErr w:type="spellEnd"/>
      <w:r>
        <w:rPr>
          <w:sz w:val="21"/>
          <w:szCs w:val="21"/>
        </w:rPr>
        <w:t>.</w:t>
      </w:r>
    </w:p>
    <w:p w:rsidR="00A53A25" w:rsidRDefault="00000000">
      <w:pPr>
        <w:pStyle w:val="Titre2"/>
        <w:spacing w:before="300" w:after="150"/>
      </w:pPr>
      <w:r>
        <w:rPr>
          <w:b/>
          <w:bCs/>
        </w:rPr>
        <w:t>1.1 Résumé exécutif</w:t>
      </w:r>
    </w:p>
    <w:p w:rsidR="00A53A25" w:rsidRDefault="00000000">
      <w:pPr>
        <w:spacing w:after="160" w:line="300" w:lineRule="auto"/>
      </w:pPr>
      <w:r>
        <w:rPr>
          <w:sz w:val="21"/>
          <w:szCs w:val="21"/>
        </w:rPr>
        <w:t xml:space="preserve">Le POC démontre la faisabilité technique de bout en bout : collecte et structuration d'un corpus médical bilingue de 6 534 paires instruction-réponse, fine-tuning stable du modèle, alignement par préférences avec un taux de succès de 75,3 % sur le jeu de validation, et déploiement d'un </w:t>
      </w:r>
      <w:proofErr w:type="spellStart"/>
      <w:r>
        <w:rPr>
          <w:sz w:val="21"/>
          <w:szCs w:val="21"/>
        </w:rPr>
        <w:t>endpoint</w:t>
      </w:r>
      <w:proofErr w:type="spellEnd"/>
      <w:r>
        <w:rPr>
          <w:sz w:val="21"/>
          <w:szCs w:val="21"/>
        </w:rPr>
        <w:t xml:space="preserve"> fonctionnel avec traçabilité complète des interactions.</w:t>
      </w:r>
    </w:p>
    <w:p w:rsidR="00A53A25" w:rsidRDefault="00000000">
      <w:pPr>
        <w:spacing w:after="160" w:line="300" w:lineRule="auto"/>
      </w:pPr>
      <w:r>
        <w:rPr>
          <w:sz w:val="21"/>
          <w:szCs w:val="21"/>
        </w:rPr>
        <w:t>Ce même travail met en évidence des limites structurelles clés — en particulier sur la fiabilité du signal de priorité et sur la tendance du modèle à produire des justifications non ancrées dans les faits cliniques fournis (hallucinations). Le verdict de la checklist Go/No-Go (section 7) est sans ambiguïté : ce système ne doit pas être déployé en conditions réelles en l'état. Il constitue en revanche une base technique solide pour une Phase 2 encadrée, dont la feuille de route est détaillée en section 8.</w:t>
      </w:r>
    </w:p>
    <w:p w:rsidR="00A53A25" w:rsidRDefault="00000000">
      <w:pPr>
        <w:pStyle w:val="Titre1"/>
        <w:spacing w:before="400" w:after="200"/>
      </w:pPr>
      <w:r>
        <w:rPr>
          <w:b/>
          <w:bCs/>
          <w:color w:val="1F3864"/>
        </w:rPr>
        <w:t>2. Méthodologie — Préparation des données (Semaine 1)</w:t>
      </w:r>
    </w:p>
    <w:p w:rsidR="00A53A25" w:rsidRDefault="00000000">
      <w:pPr>
        <w:pStyle w:val="Titre2"/>
        <w:spacing w:before="300" w:after="150"/>
      </w:pPr>
      <w:r>
        <w:rPr>
          <w:b/>
          <w:bCs/>
        </w:rPr>
        <w:t>2.1 Sources de données agrégées</w:t>
      </w:r>
    </w:p>
    <w:p w:rsidR="00A53A25" w:rsidRDefault="00000000">
      <w:pPr>
        <w:spacing w:after="160" w:line="300" w:lineRule="auto"/>
      </w:pPr>
      <w:r>
        <w:rPr>
          <w:sz w:val="21"/>
          <w:szCs w:val="21"/>
        </w:rPr>
        <w:t>Quatre corpus médicaux ouverts, francophones et anglophones, ont été identifiés, chargés et explorés :</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600"/>
        <w:gridCol w:w="1400"/>
      </w:tblGrid>
      <w:tr w:rsidR="00A53A25">
        <w:trPr>
          <w:tblHeader/>
        </w:trPr>
        <w:tc>
          <w:tcPr>
            <w:tcW w:w="34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Source</w:t>
            </w:r>
          </w:p>
        </w:tc>
        <w:tc>
          <w:tcPr>
            <w:tcW w:w="34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Contenu</w:t>
            </w:r>
          </w:p>
        </w:tc>
        <w:tc>
          <w:tcPr>
            <w:tcW w:w="26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Volume exploité</w:t>
            </w:r>
          </w:p>
        </w:tc>
        <w:tc>
          <w:tcPr>
            <w:tcW w:w="14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Langue</w:t>
            </w:r>
          </w:p>
        </w:tc>
      </w:tr>
      <w:tr w:rsidR="00A53A25">
        <w:tc>
          <w:tcPr>
            <w:tcW w:w="3400" w:type="dxa"/>
            <w:tcMar>
              <w:top w:w="100" w:type="dxa"/>
              <w:left w:w="120" w:type="dxa"/>
              <w:bottom w:w="100" w:type="dxa"/>
              <w:right w:w="120" w:type="dxa"/>
            </w:tcMar>
          </w:tcPr>
          <w:p w:rsidR="00A53A25" w:rsidRDefault="00000000">
            <w:proofErr w:type="spellStart"/>
            <w:r>
              <w:rPr>
                <w:color w:val="000000"/>
                <w:sz w:val="19"/>
                <w:szCs w:val="19"/>
              </w:rPr>
              <w:t>MediQAl</w:t>
            </w:r>
            <w:proofErr w:type="spellEnd"/>
            <w:r>
              <w:rPr>
                <w:color w:val="000000"/>
                <w:sz w:val="19"/>
                <w:szCs w:val="19"/>
              </w:rPr>
              <w:t xml:space="preserve"> (config </w:t>
            </w:r>
            <w:proofErr w:type="spellStart"/>
            <w:r>
              <w:rPr>
                <w:color w:val="000000"/>
                <w:sz w:val="19"/>
                <w:szCs w:val="19"/>
              </w:rPr>
              <w:t>oeq</w:t>
            </w:r>
            <w:proofErr w:type="spellEnd"/>
            <w:r>
              <w:rPr>
                <w:color w:val="000000"/>
                <w:sz w:val="19"/>
                <w:szCs w:val="19"/>
              </w:rPr>
              <w:t>)</w:t>
            </w:r>
          </w:p>
        </w:tc>
        <w:tc>
          <w:tcPr>
            <w:tcW w:w="3400" w:type="dxa"/>
            <w:tcMar>
              <w:top w:w="100" w:type="dxa"/>
              <w:left w:w="120" w:type="dxa"/>
              <w:bottom w:w="100" w:type="dxa"/>
              <w:right w:w="120" w:type="dxa"/>
            </w:tcMar>
          </w:tcPr>
          <w:p w:rsidR="00A53A25" w:rsidRDefault="00000000">
            <w:pPr>
              <w:jc w:val="center"/>
            </w:pPr>
            <w:r>
              <w:rPr>
                <w:color w:val="000000"/>
                <w:sz w:val="19"/>
                <w:szCs w:val="19"/>
              </w:rPr>
              <w:t>Cas cliniques ouverts, avec raisonnement</w:t>
            </w:r>
          </w:p>
        </w:tc>
        <w:tc>
          <w:tcPr>
            <w:tcW w:w="2600" w:type="dxa"/>
            <w:tcMar>
              <w:top w:w="100" w:type="dxa"/>
              <w:left w:w="120" w:type="dxa"/>
              <w:bottom w:w="100" w:type="dxa"/>
              <w:right w:w="120" w:type="dxa"/>
            </w:tcMar>
          </w:tcPr>
          <w:p w:rsidR="00A53A25" w:rsidRDefault="00000000">
            <w:pPr>
              <w:jc w:val="center"/>
            </w:pPr>
            <w:r>
              <w:rPr>
                <w:color w:val="000000"/>
                <w:sz w:val="19"/>
                <w:szCs w:val="19"/>
              </w:rPr>
              <w:t>3 954 paires</w:t>
            </w:r>
          </w:p>
        </w:tc>
        <w:tc>
          <w:tcPr>
            <w:tcW w:w="1400" w:type="dxa"/>
            <w:tcMar>
              <w:top w:w="100" w:type="dxa"/>
              <w:left w:w="120" w:type="dxa"/>
              <w:bottom w:w="100" w:type="dxa"/>
              <w:right w:w="120" w:type="dxa"/>
            </w:tcMar>
          </w:tcPr>
          <w:p w:rsidR="00A53A25" w:rsidRDefault="00000000">
            <w:pPr>
              <w:jc w:val="center"/>
            </w:pPr>
            <w:r>
              <w:rPr>
                <w:color w:val="000000"/>
                <w:sz w:val="19"/>
                <w:szCs w:val="19"/>
              </w:rPr>
              <w:t>FR</w:t>
            </w:r>
          </w:p>
        </w:tc>
      </w:tr>
      <w:tr w:rsidR="00A53A25">
        <w:tc>
          <w:tcPr>
            <w:tcW w:w="3400" w:type="dxa"/>
            <w:shd w:val="clear" w:color="auto" w:fill="F2F2F2"/>
            <w:tcMar>
              <w:top w:w="100" w:type="dxa"/>
              <w:left w:w="120" w:type="dxa"/>
              <w:bottom w:w="100" w:type="dxa"/>
              <w:right w:w="120" w:type="dxa"/>
            </w:tcMar>
          </w:tcPr>
          <w:p w:rsidR="00A53A25" w:rsidRDefault="00000000">
            <w:proofErr w:type="spellStart"/>
            <w:r>
              <w:rPr>
                <w:color w:val="000000"/>
                <w:sz w:val="19"/>
                <w:szCs w:val="19"/>
              </w:rPr>
              <w:t>FrenchMedMCQA</w:t>
            </w:r>
            <w:proofErr w:type="spellEnd"/>
          </w:p>
        </w:tc>
        <w:tc>
          <w:tcPr>
            <w:tcW w:w="3400" w:type="dxa"/>
            <w:shd w:val="clear" w:color="auto" w:fill="F2F2F2"/>
            <w:tcMar>
              <w:top w:w="100" w:type="dxa"/>
              <w:left w:w="120" w:type="dxa"/>
              <w:bottom w:w="100" w:type="dxa"/>
              <w:right w:w="120" w:type="dxa"/>
            </w:tcMar>
          </w:tcPr>
          <w:p w:rsidR="00A53A25" w:rsidRDefault="00000000">
            <w:pPr>
              <w:jc w:val="center"/>
            </w:pPr>
            <w:r>
              <w:rPr>
                <w:color w:val="000000"/>
                <w:sz w:val="19"/>
                <w:szCs w:val="19"/>
              </w:rPr>
              <w:t>QCM médicaux (5 réponses)</w:t>
            </w:r>
          </w:p>
        </w:tc>
        <w:tc>
          <w:tcPr>
            <w:tcW w:w="2600" w:type="dxa"/>
            <w:shd w:val="clear" w:color="auto" w:fill="F2F2F2"/>
            <w:tcMar>
              <w:top w:w="100" w:type="dxa"/>
              <w:left w:w="120" w:type="dxa"/>
              <w:bottom w:w="100" w:type="dxa"/>
              <w:right w:w="120" w:type="dxa"/>
            </w:tcMar>
          </w:tcPr>
          <w:p w:rsidR="00A53A25" w:rsidRDefault="00000000">
            <w:pPr>
              <w:jc w:val="center"/>
            </w:pPr>
            <w:r>
              <w:rPr>
                <w:color w:val="000000"/>
                <w:sz w:val="19"/>
                <w:szCs w:val="19"/>
              </w:rPr>
              <w:t>1 080 paires</w:t>
            </w:r>
          </w:p>
        </w:tc>
        <w:tc>
          <w:tcPr>
            <w:tcW w:w="1400" w:type="dxa"/>
            <w:shd w:val="clear" w:color="auto" w:fill="F2F2F2"/>
            <w:tcMar>
              <w:top w:w="100" w:type="dxa"/>
              <w:left w:w="120" w:type="dxa"/>
              <w:bottom w:w="100" w:type="dxa"/>
              <w:right w:w="120" w:type="dxa"/>
            </w:tcMar>
          </w:tcPr>
          <w:p w:rsidR="00A53A25" w:rsidRDefault="00000000">
            <w:pPr>
              <w:jc w:val="center"/>
            </w:pPr>
            <w:r>
              <w:rPr>
                <w:color w:val="000000"/>
                <w:sz w:val="19"/>
                <w:szCs w:val="19"/>
              </w:rPr>
              <w:t>FR</w:t>
            </w:r>
          </w:p>
        </w:tc>
      </w:tr>
      <w:tr w:rsidR="00A53A25">
        <w:tc>
          <w:tcPr>
            <w:tcW w:w="3400" w:type="dxa"/>
            <w:tcMar>
              <w:top w:w="100" w:type="dxa"/>
              <w:left w:w="120" w:type="dxa"/>
              <w:bottom w:w="100" w:type="dxa"/>
              <w:right w:w="120" w:type="dxa"/>
            </w:tcMar>
          </w:tcPr>
          <w:p w:rsidR="00A53A25" w:rsidRDefault="00000000">
            <w:proofErr w:type="spellStart"/>
            <w:r>
              <w:rPr>
                <w:color w:val="000000"/>
                <w:sz w:val="19"/>
                <w:szCs w:val="19"/>
              </w:rPr>
              <w:t>MedQuAD</w:t>
            </w:r>
            <w:proofErr w:type="spellEnd"/>
          </w:p>
        </w:tc>
        <w:tc>
          <w:tcPr>
            <w:tcW w:w="3400" w:type="dxa"/>
            <w:tcMar>
              <w:top w:w="100" w:type="dxa"/>
              <w:left w:w="120" w:type="dxa"/>
              <w:bottom w:w="100" w:type="dxa"/>
              <w:right w:w="120" w:type="dxa"/>
            </w:tcMar>
          </w:tcPr>
          <w:p w:rsidR="00A53A25" w:rsidRDefault="00000000">
            <w:pPr>
              <w:jc w:val="center"/>
            </w:pPr>
            <w:r>
              <w:rPr>
                <w:color w:val="000000"/>
                <w:sz w:val="19"/>
                <w:szCs w:val="19"/>
              </w:rPr>
              <w:t>Questions-réponses médicales générales</w:t>
            </w:r>
          </w:p>
        </w:tc>
        <w:tc>
          <w:tcPr>
            <w:tcW w:w="2600" w:type="dxa"/>
            <w:tcMar>
              <w:top w:w="100" w:type="dxa"/>
              <w:left w:w="120" w:type="dxa"/>
              <w:bottom w:w="100" w:type="dxa"/>
              <w:right w:w="120" w:type="dxa"/>
            </w:tcMar>
          </w:tcPr>
          <w:p w:rsidR="00A53A25" w:rsidRDefault="00000000">
            <w:pPr>
              <w:jc w:val="center"/>
            </w:pPr>
            <w:r>
              <w:rPr>
                <w:color w:val="000000"/>
                <w:sz w:val="19"/>
                <w:szCs w:val="19"/>
              </w:rPr>
              <w:t>700 paires (échantillon)</w:t>
            </w:r>
          </w:p>
        </w:tc>
        <w:tc>
          <w:tcPr>
            <w:tcW w:w="1400" w:type="dxa"/>
            <w:tcMar>
              <w:top w:w="100" w:type="dxa"/>
              <w:left w:w="120" w:type="dxa"/>
              <w:bottom w:w="100" w:type="dxa"/>
              <w:right w:w="120" w:type="dxa"/>
            </w:tcMar>
          </w:tcPr>
          <w:p w:rsidR="00A53A25" w:rsidRDefault="00000000">
            <w:pPr>
              <w:jc w:val="center"/>
            </w:pPr>
            <w:r>
              <w:rPr>
                <w:color w:val="000000"/>
                <w:sz w:val="19"/>
                <w:szCs w:val="19"/>
              </w:rPr>
              <w:t>EN</w:t>
            </w:r>
          </w:p>
        </w:tc>
      </w:tr>
      <w:tr w:rsidR="00A53A25">
        <w:tc>
          <w:tcPr>
            <w:tcW w:w="3400" w:type="dxa"/>
            <w:shd w:val="clear" w:color="auto" w:fill="F2F2F2"/>
            <w:tcMar>
              <w:top w:w="100" w:type="dxa"/>
              <w:left w:w="120" w:type="dxa"/>
              <w:bottom w:w="100" w:type="dxa"/>
              <w:right w:w="120" w:type="dxa"/>
            </w:tcMar>
          </w:tcPr>
          <w:p w:rsidR="00A53A25" w:rsidRDefault="00000000">
            <w:proofErr w:type="spellStart"/>
            <w:r>
              <w:rPr>
                <w:color w:val="000000"/>
                <w:sz w:val="19"/>
                <w:szCs w:val="19"/>
              </w:rPr>
              <w:t>UltraMedical-Preference</w:t>
            </w:r>
            <w:proofErr w:type="spellEnd"/>
          </w:p>
        </w:tc>
        <w:tc>
          <w:tcPr>
            <w:tcW w:w="3400" w:type="dxa"/>
            <w:shd w:val="clear" w:color="auto" w:fill="F2F2F2"/>
            <w:tcMar>
              <w:top w:w="100" w:type="dxa"/>
              <w:left w:w="120" w:type="dxa"/>
              <w:bottom w:w="100" w:type="dxa"/>
              <w:right w:w="120" w:type="dxa"/>
            </w:tcMar>
          </w:tcPr>
          <w:p w:rsidR="00A53A25" w:rsidRDefault="00000000">
            <w:pPr>
              <w:jc w:val="center"/>
            </w:pPr>
            <w:r>
              <w:rPr>
                <w:color w:val="000000"/>
                <w:sz w:val="19"/>
                <w:szCs w:val="19"/>
              </w:rPr>
              <w:t>Paires de préférence (</w:t>
            </w:r>
            <w:proofErr w:type="spellStart"/>
            <w:r>
              <w:rPr>
                <w:color w:val="000000"/>
                <w:sz w:val="19"/>
                <w:szCs w:val="19"/>
              </w:rPr>
              <w:t>chosen</w:t>
            </w:r>
            <w:proofErr w:type="spellEnd"/>
            <w:r>
              <w:rPr>
                <w:color w:val="000000"/>
                <w:sz w:val="19"/>
                <w:szCs w:val="19"/>
              </w:rPr>
              <w:t>/</w:t>
            </w:r>
            <w:proofErr w:type="spellStart"/>
            <w:r>
              <w:rPr>
                <w:color w:val="000000"/>
                <w:sz w:val="19"/>
                <w:szCs w:val="19"/>
              </w:rPr>
              <w:t>rejected</w:t>
            </w:r>
            <w:proofErr w:type="spellEnd"/>
            <w:r>
              <w:rPr>
                <w:color w:val="000000"/>
                <w:sz w:val="19"/>
                <w:szCs w:val="19"/>
              </w:rPr>
              <w:t>)</w:t>
            </w:r>
          </w:p>
        </w:tc>
        <w:tc>
          <w:tcPr>
            <w:tcW w:w="2600" w:type="dxa"/>
            <w:shd w:val="clear" w:color="auto" w:fill="F2F2F2"/>
            <w:tcMar>
              <w:top w:w="100" w:type="dxa"/>
              <w:left w:w="120" w:type="dxa"/>
              <w:bottom w:w="100" w:type="dxa"/>
              <w:right w:w="120" w:type="dxa"/>
            </w:tcMar>
          </w:tcPr>
          <w:p w:rsidR="00A53A25" w:rsidRDefault="00000000">
            <w:pPr>
              <w:jc w:val="center"/>
            </w:pPr>
            <w:r>
              <w:rPr>
                <w:color w:val="000000"/>
                <w:sz w:val="19"/>
                <w:szCs w:val="19"/>
              </w:rPr>
              <w:t>800 (SFT) + 1 500 (DPO)</w:t>
            </w:r>
          </w:p>
        </w:tc>
        <w:tc>
          <w:tcPr>
            <w:tcW w:w="1400" w:type="dxa"/>
            <w:shd w:val="clear" w:color="auto" w:fill="F2F2F2"/>
            <w:tcMar>
              <w:top w:w="100" w:type="dxa"/>
              <w:left w:w="120" w:type="dxa"/>
              <w:bottom w:w="100" w:type="dxa"/>
              <w:right w:w="120" w:type="dxa"/>
            </w:tcMar>
          </w:tcPr>
          <w:p w:rsidR="00A53A25" w:rsidRDefault="00000000">
            <w:pPr>
              <w:jc w:val="center"/>
            </w:pPr>
            <w:r>
              <w:rPr>
                <w:color w:val="000000"/>
                <w:sz w:val="19"/>
                <w:szCs w:val="19"/>
              </w:rPr>
              <w:t>EN</w:t>
            </w:r>
          </w:p>
        </w:tc>
      </w:tr>
    </w:tbl>
    <w:p w:rsidR="00A53A25" w:rsidRDefault="00000000">
      <w:pPr>
        <w:spacing w:before="60" w:after="240"/>
      </w:pPr>
      <w:r>
        <w:rPr>
          <w:i/>
          <w:iCs/>
          <w:color w:val="595959"/>
          <w:sz w:val="18"/>
          <w:szCs w:val="18"/>
        </w:rPr>
        <w:t>Tableau 1 — Sources du corpus SFT/DPO et volumes retenus.</w:t>
      </w:r>
    </w:p>
    <w:p w:rsidR="00A53A25" w:rsidRDefault="00000000">
      <w:pPr>
        <w:spacing w:after="160" w:line="300" w:lineRule="auto"/>
      </w:pPr>
      <w:r>
        <w:rPr>
          <w:sz w:val="21"/>
          <w:szCs w:val="21"/>
        </w:rPr>
        <w:lastRenderedPageBreak/>
        <w:t xml:space="preserve">Le </w:t>
      </w:r>
      <w:proofErr w:type="spellStart"/>
      <w:r>
        <w:rPr>
          <w:sz w:val="21"/>
          <w:szCs w:val="21"/>
        </w:rPr>
        <w:t>dataset</w:t>
      </w:r>
      <w:proofErr w:type="spellEnd"/>
      <w:r>
        <w:rPr>
          <w:sz w:val="21"/>
          <w:szCs w:val="21"/>
        </w:rPr>
        <w:t xml:space="preserve"> final assemblé pour le SFT comprend 6 534 paires (77 % FR / 23 % EN), volontairement au-dessus de la cible indicative de ~5 000 paires de la mission, ce dépassement étant assumé pour enrichir l'entraînement.</w:t>
      </w:r>
    </w:p>
    <w:p w:rsidR="00A53A25" w:rsidRDefault="00000000">
      <w:pPr>
        <w:pStyle w:val="Titre2"/>
        <w:spacing w:before="300" w:after="150"/>
      </w:pPr>
      <w:r>
        <w:rPr>
          <w:b/>
          <w:bCs/>
        </w:rPr>
        <w:t>2.2 Construction du signal de priorité</w:t>
      </w:r>
    </w:p>
    <w:p w:rsidR="00A53A25" w:rsidRDefault="00000000">
      <w:pPr>
        <w:spacing w:after="160" w:line="300" w:lineRule="auto"/>
      </w:pPr>
      <w:r>
        <w:rPr>
          <w:sz w:val="21"/>
          <w:szCs w:val="21"/>
        </w:rPr>
        <w:t>Aucune des sources ne comportait nativement de label de triage (urgence maximale / modérée / différée). Sur recommandation du mentor de mission, une annotation manuelle ciblée a été privilégiée à une labellisation automatique jugée risquée sur le plan clinique.</w:t>
      </w:r>
    </w:p>
    <w:p w:rsidR="00A53A25" w:rsidRDefault="00000000">
      <w:pPr>
        <w:pStyle w:val="Titre3"/>
        <w:spacing w:before="200" w:after="100"/>
      </w:pPr>
      <w:r>
        <w:rPr>
          <w:b/>
          <w:bCs/>
          <w:color w:val="595959"/>
          <w:sz w:val="22"/>
          <w:szCs w:val="22"/>
        </w:rPr>
        <w:t>Méthodologie d'annotation</w:t>
      </w:r>
    </w:p>
    <w:p w:rsidR="00A53A25" w:rsidRDefault="00000000">
      <w:pPr>
        <w:pStyle w:val="Paragraphedeliste"/>
        <w:numPr>
          <w:ilvl w:val="0"/>
          <w:numId w:val="3"/>
        </w:numPr>
        <w:spacing w:after="100" w:line="280" w:lineRule="auto"/>
      </w:pPr>
      <w:r>
        <w:rPr>
          <w:sz w:val="21"/>
          <w:szCs w:val="21"/>
        </w:rPr>
        <w:t xml:space="preserve">Constitution d'un vivier de 355 cas cliniques uniques, filtrés par mots-clés de gravité (constantes vitales, détresse, cyanose, choc…) sur l'ensemble du corpus </w:t>
      </w:r>
      <w:proofErr w:type="spellStart"/>
      <w:r>
        <w:rPr>
          <w:sz w:val="21"/>
          <w:szCs w:val="21"/>
        </w:rPr>
        <w:t>MediQAl</w:t>
      </w:r>
      <w:proofErr w:type="spellEnd"/>
      <w:r>
        <w:rPr>
          <w:sz w:val="21"/>
          <w:szCs w:val="21"/>
        </w:rPr>
        <w:t xml:space="preserve"> ;</w:t>
      </w:r>
    </w:p>
    <w:p w:rsidR="00A53A25" w:rsidRDefault="00000000">
      <w:pPr>
        <w:pStyle w:val="Paragraphedeliste"/>
        <w:numPr>
          <w:ilvl w:val="0"/>
          <w:numId w:val="3"/>
        </w:numPr>
        <w:spacing w:after="100" w:line="280" w:lineRule="auto"/>
      </w:pPr>
      <w:r>
        <w:rPr>
          <w:sz w:val="21"/>
          <w:szCs w:val="21"/>
        </w:rPr>
        <w:t>Définition d'une grille de triage à 3 niveaux, inspirée des référentiels FRENCH et Manchester ;</w:t>
      </w:r>
    </w:p>
    <w:p w:rsidR="00A53A25" w:rsidRDefault="00000000">
      <w:pPr>
        <w:pStyle w:val="Paragraphedeliste"/>
        <w:numPr>
          <w:ilvl w:val="0"/>
          <w:numId w:val="3"/>
        </w:numPr>
        <w:spacing w:after="100" w:line="280" w:lineRule="auto"/>
      </w:pPr>
      <w:r>
        <w:rPr>
          <w:sz w:val="21"/>
          <w:szCs w:val="21"/>
        </w:rPr>
        <w:t xml:space="preserve">Annotation manuelle de 214 cas par l'IA </w:t>
      </w:r>
      <w:proofErr w:type="spellStart"/>
      <w:r>
        <w:rPr>
          <w:sz w:val="21"/>
          <w:szCs w:val="21"/>
        </w:rPr>
        <w:t>Engineer</w:t>
      </w:r>
      <w:proofErr w:type="spellEnd"/>
      <w:r>
        <w:rPr>
          <w:sz w:val="21"/>
          <w:szCs w:val="21"/>
        </w:rPr>
        <w:t xml:space="preserve"> (non professionnel de santé) — limite explicitement assumée ;</w:t>
      </w:r>
    </w:p>
    <w:p w:rsidR="00A53A25" w:rsidRDefault="00000000">
      <w:pPr>
        <w:pStyle w:val="Paragraphedeliste"/>
        <w:numPr>
          <w:ilvl w:val="0"/>
          <w:numId w:val="3"/>
        </w:numPr>
        <w:spacing w:after="100" w:line="280" w:lineRule="auto"/>
      </w:pPr>
      <w:r>
        <w:rPr>
          <w:sz w:val="21"/>
          <w:szCs w:val="21"/>
        </w:rPr>
        <w:t>Recalibrage itératif : un premier passage a révélé un biais sévère (95,5 % des cas classés « urgence maximale »), corrigé par une relecture ciblée resserrant le critère aux instabilités aiguës et actuelles ;</w:t>
      </w:r>
    </w:p>
    <w:p w:rsidR="00A53A25" w:rsidRDefault="00000000">
      <w:pPr>
        <w:pStyle w:val="Paragraphedeliste"/>
        <w:numPr>
          <w:ilvl w:val="0"/>
          <w:numId w:val="3"/>
        </w:numPr>
        <w:spacing w:after="100" w:line="280" w:lineRule="auto"/>
      </w:pPr>
      <w:r>
        <w:rPr>
          <w:sz w:val="21"/>
          <w:szCs w:val="21"/>
        </w:rPr>
        <w:t>Complément de 60 cas supplémentaires, sélectionnés spécifiquement pour équilibrer la classe « différée », sous-représentée par construction du filtre initial.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3000"/>
      </w:tblGrid>
      <w:tr w:rsidR="00A53A25">
        <w:trPr>
          <w:tblHeader/>
        </w:trPr>
        <w:tc>
          <w:tcPr>
            <w:tcW w:w="40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Niveau de priorité</w:t>
            </w:r>
          </w:p>
        </w:tc>
        <w:tc>
          <w:tcPr>
            <w:tcW w:w="30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Nombre de cas</w:t>
            </w:r>
          </w:p>
        </w:tc>
        <w:tc>
          <w:tcPr>
            <w:tcW w:w="30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Proportion</w:t>
            </w:r>
          </w:p>
        </w:tc>
      </w:tr>
      <w:tr w:rsidR="00A53A25">
        <w:tc>
          <w:tcPr>
            <w:tcW w:w="4000" w:type="dxa"/>
            <w:tcMar>
              <w:top w:w="100" w:type="dxa"/>
              <w:left w:w="120" w:type="dxa"/>
              <w:bottom w:w="100" w:type="dxa"/>
              <w:right w:w="120" w:type="dxa"/>
            </w:tcMar>
          </w:tcPr>
          <w:p w:rsidR="00A53A25" w:rsidRDefault="00000000">
            <w:r>
              <w:rPr>
                <w:color w:val="000000"/>
                <w:sz w:val="19"/>
                <w:szCs w:val="19"/>
              </w:rPr>
              <w:t>Urgence maximale</w:t>
            </w:r>
          </w:p>
        </w:tc>
        <w:tc>
          <w:tcPr>
            <w:tcW w:w="3000" w:type="dxa"/>
            <w:tcMar>
              <w:top w:w="100" w:type="dxa"/>
              <w:left w:w="120" w:type="dxa"/>
              <w:bottom w:w="100" w:type="dxa"/>
              <w:right w:w="120" w:type="dxa"/>
            </w:tcMar>
          </w:tcPr>
          <w:p w:rsidR="00A53A25" w:rsidRDefault="00000000">
            <w:pPr>
              <w:jc w:val="center"/>
            </w:pPr>
            <w:r>
              <w:rPr>
                <w:color w:val="000000"/>
                <w:sz w:val="19"/>
                <w:szCs w:val="19"/>
              </w:rPr>
              <w:t>101</w:t>
            </w:r>
          </w:p>
        </w:tc>
        <w:tc>
          <w:tcPr>
            <w:tcW w:w="3000" w:type="dxa"/>
            <w:tcMar>
              <w:top w:w="100" w:type="dxa"/>
              <w:left w:w="120" w:type="dxa"/>
              <w:bottom w:w="100" w:type="dxa"/>
              <w:right w:w="120" w:type="dxa"/>
            </w:tcMar>
          </w:tcPr>
          <w:p w:rsidR="00A53A25" w:rsidRDefault="00000000">
            <w:pPr>
              <w:jc w:val="center"/>
            </w:pPr>
            <w:r>
              <w:rPr>
                <w:color w:val="000000"/>
                <w:sz w:val="19"/>
                <w:szCs w:val="19"/>
              </w:rPr>
              <w:t>47,2 %</w:t>
            </w:r>
          </w:p>
        </w:tc>
      </w:tr>
      <w:tr w:rsidR="00A53A25">
        <w:tc>
          <w:tcPr>
            <w:tcW w:w="4000" w:type="dxa"/>
            <w:shd w:val="clear" w:color="auto" w:fill="F2F2F2"/>
            <w:tcMar>
              <w:top w:w="100" w:type="dxa"/>
              <w:left w:w="120" w:type="dxa"/>
              <w:bottom w:w="100" w:type="dxa"/>
              <w:right w:w="120" w:type="dxa"/>
            </w:tcMar>
          </w:tcPr>
          <w:p w:rsidR="00A53A25" w:rsidRDefault="00000000">
            <w:r>
              <w:rPr>
                <w:color w:val="000000"/>
                <w:sz w:val="19"/>
                <w:szCs w:val="19"/>
              </w:rPr>
              <w:t>Urgence modérée</w:t>
            </w:r>
          </w:p>
        </w:tc>
        <w:tc>
          <w:tcPr>
            <w:tcW w:w="3000" w:type="dxa"/>
            <w:shd w:val="clear" w:color="auto" w:fill="F2F2F2"/>
            <w:tcMar>
              <w:top w:w="100" w:type="dxa"/>
              <w:left w:w="120" w:type="dxa"/>
              <w:bottom w:w="100" w:type="dxa"/>
              <w:right w:w="120" w:type="dxa"/>
            </w:tcMar>
          </w:tcPr>
          <w:p w:rsidR="00A53A25" w:rsidRDefault="00000000">
            <w:pPr>
              <w:jc w:val="center"/>
            </w:pPr>
            <w:r>
              <w:rPr>
                <w:color w:val="000000"/>
                <w:sz w:val="19"/>
                <w:szCs w:val="19"/>
              </w:rPr>
              <w:t>80</w:t>
            </w:r>
          </w:p>
        </w:tc>
        <w:tc>
          <w:tcPr>
            <w:tcW w:w="3000" w:type="dxa"/>
            <w:shd w:val="clear" w:color="auto" w:fill="F2F2F2"/>
            <w:tcMar>
              <w:top w:w="100" w:type="dxa"/>
              <w:left w:w="120" w:type="dxa"/>
              <w:bottom w:w="100" w:type="dxa"/>
              <w:right w:w="120" w:type="dxa"/>
            </w:tcMar>
          </w:tcPr>
          <w:p w:rsidR="00A53A25" w:rsidRDefault="00000000">
            <w:pPr>
              <w:jc w:val="center"/>
            </w:pPr>
            <w:r>
              <w:rPr>
                <w:color w:val="000000"/>
                <w:sz w:val="19"/>
                <w:szCs w:val="19"/>
              </w:rPr>
              <w:t>37,4 %</w:t>
            </w:r>
          </w:p>
        </w:tc>
      </w:tr>
      <w:tr w:rsidR="00A53A25">
        <w:tc>
          <w:tcPr>
            <w:tcW w:w="4000" w:type="dxa"/>
            <w:tcMar>
              <w:top w:w="100" w:type="dxa"/>
              <w:left w:w="120" w:type="dxa"/>
              <w:bottom w:w="100" w:type="dxa"/>
              <w:right w:w="120" w:type="dxa"/>
            </w:tcMar>
          </w:tcPr>
          <w:p w:rsidR="00A53A25" w:rsidRDefault="00000000">
            <w:r>
              <w:rPr>
                <w:color w:val="000000"/>
                <w:sz w:val="19"/>
                <w:szCs w:val="19"/>
              </w:rPr>
              <w:t>Différée</w:t>
            </w:r>
          </w:p>
        </w:tc>
        <w:tc>
          <w:tcPr>
            <w:tcW w:w="3000" w:type="dxa"/>
            <w:tcMar>
              <w:top w:w="100" w:type="dxa"/>
              <w:left w:w="120" w:type="dxa"/>
              <w:bottom w:w="100" w:type="dxa"/>
              <w:right w:w="120" w:type="dxa"/>
            </w:tcMar>
          </w:tcPr>
          <w:p w:rsidR="00A53A25" w:rsidRDefault="00000000">
            <w:pPr>
              <w:jc w:val="center"/>
            </w:pPr>
            <w:r>
              <w:rPr>
                <w:color w:val="000000"/>
                <w:sz w:val="19"/>
                <w:szCs w:val="19"/>
              </w:rPr>
              <w:t>33</w:t>
            </w:r>
          </w:p>
        </w:tc>
        <w:tc>
          <w:tcPr>
            <w:tcW w:w="3000" w:type="dxa"/>
            <w:tcMar>
              <w:top w:w="100" w:type="dxa"/>
              <w:left w:w="120" w:type="dxa"/>
              <w:bottom w:w="100" w:type="dxa"/>
              <w:right w:w="120" w:type="dxa"/>
            </w:tcMar>
          </w:tcPr>
          <w:p w:rsidR="00A53A25" w:rsidRDefault="00000000">
            <w:pPr>
              <w:jc w:val="center"/>
            </w:pPr>
            <w:r>
              <w:rPr>
                <w:color w:val="000000"/>
                <w:sz w:val="19"/>
                <w:szCs w:val="19"/>
              </w:rPr>
              <w:t>15,4 %</w:t>
            </w:r>
          </w:p>
        </w:tc>
      </w:tr>
      <w:tr w:rsidR="00A53A25">
        <w:tc>
          <w:tcPr>
            <w:tcW w:w="4000" w:type="dxa"/>
            <w:shd w:val="clear" w:color="auto" w:fill="F2F2F2"/>
            <w:tcMar>
              <w:top w:w="100" w:type="dxa"/>
              <w:left w:w="120" w:type="dxa"/>
              <w:bottom w:w="100" w:type="dxa"/>
              <w:right w:w="120" w:type="dxa"/>
            </w:tcMar>
          </w:tcPr>
          <w:p w:rsidR="00A53A25" w:rsidRDefault="00000000">
            <w:r>
              <w:rPr>
                <w:color w:val="000000"/>
                <w:sz w:val="19"/>
                <w:szCs w:val="19"/>
              </w:rPr>
              <w:t>Total annoté</w:t>
            </w:r>
          </w:p>
        </w:tc>
        <w:tc>
          <w:tcPr>
            <w:tcW w:w="3000" w:type="dxa"/>
            <w:shd w:val="clear" w:color="auto" w:fill="F2F2F2"/>
            <w:tcMar>
              <w:top w:w="100" w:type="dxa"/>
              <w:left w:w="120" w:type="dxa"/>
              <w:bottom w:w="100" w:type="dxa"/>
              <w:right w:w="120" w:type="dxa"/>
            </w:tcMar>
          </w:tcPr>
          <w:p w:rsidR="00A53A25" w:rsidRDefault="00000000">
            <w:pPr>
              <w:jc w:val="center"/>
            </w:pPr>
            <w:r>
              <w:rPr>
                <w:color w:val="000000"/>
                <w:sz w:val="19"/>
                <w:szCs w:val="19"/>
              </w:rPr>
              <w:t>214</w:t>
            </w:r>
          </w:p>
        </w:tc>
        <w:tc>
          <w:tcPr>
            <w:tcW w:w="3000" w:type="dxa"/>
            <w:shd w:val="clear" w:color="auto" w:fill="F2F2F2"/>
            <w:tcMar>
              <w:top w:w="100" w:type="dxa"/>
              <w:left w:w="120" w:type="dxa"/>
              <w:bottom w:w="100" w:type="dxa"/>
              <w:right w:w="120" w:type="dxa"/>
            </w:tcMar>
          </w:tcPr>
          <w:p w:rsidR="00A53A25" w:rsidRDefault="00000000">
            <w:pPr>
              <w:jc w:val="center"/>
            </w:pPr>
            <w:r>
              <w:rPr>
                <w:color w:val="000000"/>
                <w:sz w:val="19"/>
                <w:szCs w:val="19"/>
              </w:rPr>
              <w:t>100 %</w:t>
            </w:r>
          </w:p>
        </w:tc>
      </w:tr>
    </w:tbl>
    <w:p w:rsidR="00A53A25" w:rsidRDefault="00000000">
      <w:pPr>
        <w:spacing w:before="60" w:after="240"/>
      </w:pPr>
      <w:r>
        <w:rPr>
          <w:i/>
          <w:iCs/>
          <w:color w:val="595959"/>
          <w:sz w:val="18"/>
          <w:szCs w:val="18"/>
        </w:rPr>
        <w:t>Tableau 2 — Distribution finale des 214 cas annotés manuellement, après recalibrage.</w:t>
      </w:r>
    </w:p>
    <w:p w:rsidR="00A53A25" w:rsidRDefault="00000000">
      <w:pPr>
        <w:spacing w:after="160" w:line="300" w:lineRule="auto"/>
      </w:pPr>
      <w:r>
        <w:rPr>
          <w:sz w:val="21"/>
          <w:szCs w:val="21"/>
        </w:rPr>
        <w:t>Cette distribution reste un échantillon de faisabilité, non un corpus de référence clinique (voir limites, section 6).</w:t>
      </w:r>
    </w:p>
    <w:p w:rsidR="00A53A25" w:rsidRDefault="00000000">
      <w:pPr>
        <w:pStyle w:val="Titre2"/>
        <w:spacing w:before="300" w:after="150"/>
      </w:pPr>
      <w:r>
        <w:rPr>
          <w:b/>
          <w:bCs/>
        </w:rPr>
        <w:t>2.3 Anonymisation RGPD</w:t>
      </w:r>
    </w:p>
    <w:p w:rsidR="00A53A25" w:rsidRDefault="00000000">
      <w:pPr>
        <w:spacing w:after="160" w:line="300" w:lineRule="auto"/>
      </w:pPr>
      <w:r>
        <w:rPr>
          <w:sz w:val="21"/>
          <w:szCs w:val="21"/>
        </w:rPr>
        <w:t xml:space="preserve">L'anonymisation a été réalisée avec </w:t>
      </w:r>
      <w:proofErr w:type="spellStart"/>
      <w:r>
        <w:rPr>
          <w:sz w:val="21"/>
          <w:szCs w:val="21"/>
        </w:rPr>
        <w:t>Presidio</w:t>
      </w:r>
      <w:proofErr w:type="spellEnd"/>
      <w:r>
        <w:rPr>
          <w:sz w:val="21"/>
          <w:szCs w:val="21"/>
        </w:rPr>
        <w:t xml:space="preserve"> (</w:t>
      </w:r>
      <w:proofErr w:type="spellStart"/>
      <w:r>
        <w:rPr>
          <w:sz w:val="21"/>
          <w:szCs w:val="21"/>
        </w:rPr>
        <w:t>AnalyzerEngine</w:t>
      </w:r>
      <w:proofErr w:type="spellEnd"/>
      <w:r>
        <w:rPr>
          <w:sz w:val="21"/>
          <w:szCs w:val="21"/>
        </w:rPr>
        <w:t xml:space="preserve"> + </w:t>
      </w:r>
      <w:proofErr w:type="spellStart"/>
      <w:r>
        <w:rPr>
          <w:sz w:val="21"/>
          <w:szCs w:val="21"/>
        </w:rPr>
        <w:t>AnonymizerEngine</w:t>
      </w:r>
      <w:proofErr w:type="spellEnd"/>
      <w:r>
        <w:rPr>
          <w:sz w:val="21"/>
          <w:szCs w:val="21"/>
        </w:rPr>
        <w:t xml:space="preserve">), couplé à des modèles </w:t>
      </w:r>
      <w:proofErr w:type="spellStart"/>
      <w:r>
        <w:rPr>
          <w:sz w:val="21"/>
          <w:szCs w:val="21"/>
        </w:rPr>
        <w:t>spaCy</w:t>
      </w:r>
      <w:proofErr w:type="spellEnd"/>
      <w:r>
        <w:rPr>
          <w:sz w:val="21"/>
          <w:szCs w:val="21"/>
        </w:rPr>
        <w:t xml:space="preserve"> français et anglais. Une première passe a révélé un taux élevé de faux positifs sur le vocabulaire médical (maladies éponymes comme Parkinson ou Hurler, abréviations biologiques comme MPS ou ALAT, taguées à tort comme données personnelles), corrigé par :</w:t>
      </w:r>
    </w:p>
    <w:p w:rsidR="00A53A25" w:rsidRDefault="00000000">
      <w:pPr>
        <w:pStyle w:val="Paragraphedeliste"/>
        <w:numPr>
          <w:ilvl w:val="0"/>
          <w:numId w:val="2"/>
        </w:numPr>
        <w:spacing w:after="80" w:line="280" w:lineRule="auto"/>
      </w:pPr>
      <w:r>
        <w:rPr>
          <w:sz w:val="21"/>
          <w:szCs w:val="21"/>
        </w:rPr>
        <w:t>Un recentrage de la détection sur les entités réellement sensibles (PERSON, coordonnées) plutôt que sur LOCATION/ORGANIZATION, trop bruitées sur ce corpus ;</w:t>
      </w:r>
    </w:p>
    <w:p w:rsidR="00A53A25" w:rsidRDefault="00000000">
      <w:pPr>
        <w:pStyle w:val="Paragraphedeliste"/>
        <w:numPr>
          <w:ilvl w:val="0"/>
          <w:numId w:val="2"/>
        </w:numPr>
        <w:spacing w:after="80" w:line="280" w:lineRule="auto"/>
      </w:pPr>
      <w:r>
        <w:rPr>
          <w:sz w:val="21"/>
          <w:szCs w:val="21"/>
        </w:rPr>
        <w:t xml:space="preserve">Une liste d'exclusion de plus de 70 termes médicaux et techniques chirurgicales éponymes (Parkinson, Hurler, </w:t>
      </w:r>
      <w:proofErr w:type="spellStart"/>
      <w:r>
        <w:rPr>
          <w:sz w:val="21"/>
          <w:szCs w:val="21"/>
        </w:rPr>
        <w:t>Blalock-Taussig</w:t>
      </w:r>
      <w:proofErr w:type="spellEnd"/>
      <w:r>
        <w:rPr>
          <w:sz w:val="21"/>
          <w:szCs w:val="21"/>
        </w:rPr>
        <w:t>, Fontan, MPS…) ;</w:t>
      </w:r>
    </w:p>
    <w:p w:rsidR="00A53A25" w:rsidRDefault="00000000">
      <w:pPr>
        <w:pStyle w:val="Paragraphedeliste"/>
        <w:numPr>
          <w:ilvl w:val="0"/>
          <w:numId w:val="2"/>
        </w:numPr>
        <w:spacing w:after="80" w:line="280" w:lineRule="auto"/>
      </w:pPr>
      <w:r>
        <w:rPr>
          <w:sz w:val="21"/>
          <w:szCs w:val="21"/>
        </w:rPr>
        <w:t xml:space="preserve">Un </w:t>
      </w:r>
      <w:proofErr w:type="spellStart"/>
      <w:r>
        <w:rPr>
          <w:sz w:val="21"/>
          <w:szCs w:val="21"/>
        </w:rPr>
        <w:t>recognizer</w:t>
      </w:r>
      <w:proofErr w:type="spellEnd"/>
      <w:r>
        <w:rPr>
          <w:sz w:val="21"/>
          <w:szCs w:val="21"/>
        </w:rPr>
        <w:t xml:space="preserve"> dédié par expression régulière pour les civilités (Monsieur X., Mme Y.), plus fiable que le NER généraliste sur ce type de tournure.</w:t>
      </w:r>
    </w:p>
    <w:p w:rsidR="00A53A25" w:rsidRDefault="00000000">
      <w:pPr>
        <w:spacing w:after="160" w:line="300" w:lineRule="auto"/>
      </w:pPr>
      <w:r>
        <w:rPr>
          <w:sz w:val="21"/>
          <w:szCs w:val="21"/>
        </w:rPr>
        <w:t>Limite résiduelle documentée : quelques faux positifs subsistent (ex. un tag &lt;PERSON&gt; visible dans une justification générée en section 5), signe que l'anonymisation automatique sur corpus médical dense reste imparfaite et nécessiterait, en production, une relecture humaine ciblée.</w:t>
      </w:r>
    </w:p>
    <w:p w:rsidR="00A53A25" w:rsidRDefault="00000000">
      <w:pPr>
        <w:pStyle w:val="Titre2"/>
        <w:spacing w:before="300" w:after="150"/>
      </w:pPr>
      <w:r>
        <w:rPr>
          <w:b/>
          <w:bCs/>
        </w:rPr>
        <w:t>2.4 Schéma de métadonnées et structuration</w:t>
      </w:r>
    </w:p>
    <w:p w:rsidR="00A53A25" w:rsidRDefault="00000000">
      <w:pPr>
        <w:spacing w:after="160" w:line="300" w:lineRule="auto"/>
      </w:pPr>
      <w:r>
        <w:rPr>
          <w:sz w:val="21"/>
          <w:szCs w:val="21"/>
        </w:rPr>
        <w:lastRenderedPageBreak/>
        <w:t xml:space="preserve">Chaque exemple du </w:t>
      </w:r>
      <w:proofErr w:type="spellStart"/>
      <w:r>
        <w:rPr>
          <w:sz w:val="21"/>
          <w:szCs w:val="21"/>
        </w:rPr>
        <w:t>dataset</w:t>
      </w:r>
      <w:proofErr w:type="spellEnd"/>
      <w:r>
        <w:rPr>
          <w:sz w:val="21"/>
          <w:szCs w:val="21"/>
        </w:rPr>
        <w:t xml:space="preserve"> final suit un schéma unifié : id, langue, source, </w:t>
      </w:r>
      <w:proofErr w:type="spellStart"/>
      <w:r>
        <w:rPr>
          <w:sz w:val="21"/>
          <w:szCs w:val="21"/>
        </w:rPr>
        <w:t>source_id</w:t>
      </w:r>
      <w:proofErr w:type="spellEnd"/>
      <w:r>
        <w:rPr>
          <w:sz w:val="21"/>
          <w:szCs w:val="21"/>
        </w:rPr>
        <w:t xml:space="preserve">, instruction, </w:t>
      </w:r>
      <w:proofErr w:type="spellStart"/>
      <w:r>
        <w:rPr>
          <w:sz w:val="21"/>
          <w:szCs w:val="21"/>
        </w:rPr>
        <w:t>contexte_patient</w:t>
      </w:r>
      <w:proofErr w:type="spellEnd"/>
      <w:r>
        <w:rPr>
          <w:sz w:val="21"/>
          <w:szCs w:val="21"/>
        </w:rPr>
        <w:t xml:space="preserve">, </w:t>
      </w:r>
      <w:proofErr w:type="spellStart"/>
      <w:r>
        <w:rPr>
          <w:sz w:val="21"/>
          <w:szCs w:val="21"/>
        </w:rPr>
        <w:t>reponse</w:t>
      </w:r>
      <w:proofErr w:type="spellEnd"/>
      <w:r>
        <w:rPr>
          <w:sz w:val="21"/>
          <w:szCs w:val="21"/>
        </w:rPr>
        <w:t xml:space="preserve">, </w:t>
      </w:r>
      <w:proofErr w:type="spellStart"/>
      <w:r>
        <w:rPr>
          <w:sz w:val="21"/>
          <w:szCs w:val="21"/>
        </w:rPr>
        <w:t>specialite</w:t>
      </w:r>
      <w:proofErr w:type="spellEnd"/>
      <w:r>
        <w:rPr>
          <w:sz w:val="21"/>
          <w:szCs w:val="21"/>
        </w:rPr>
        <w:t xml:space="preserve">, </w:t>
      </w:r>
      <w:proofErr w:type="spellStart"/>
      <w:r>
        <w:rPr>
          <w:sz w:val="21"/>
          <w:szCs w:val="21"/>
        </w:rPr>
        <w:t>priorite</w:t>
      </w:r>
      <w:proofErr w:type="spellEnd"/>
      <w:r>
        <w:rPr>
          <w:sz w:val="21"/>
          <w:szCs w:val="21"/>
        </w:rPr>
        <w:t xml:space="preserve">, </w:t>
      </w:r>
      <w:proofErr w:type="spellStart"/>
      <w:r>
        <w:rPr>
          <w:sz w:val="21"/>
          <w:szCs w:val="21"/>
        </w:rPr>
        <w:t>niveau_confiance</w:t>
      </w:r>
      <w:proofErr w:type="spellEnd"/>
      <w:r>
        <w:rPr>
          <w:sz w:val="21"/>
          <w:szCs w:val="21"/>
        </w:rPr>
        <w:t xml:space="preserve">, split. Le champ </w:t>
      </w:r>
      <w:proofErr w:type="spellStart"/>
      <w:r>
        <w:rPr>
          <w:sz w:val="21"/>
          <w:szCs w:val="21"/>
        </w:rPr>
        <w:t>niveau_confiance</w:t>
      </w:r>
      <w:proofErr w:type="spellEnd"/>
      <w:r>
        <w:rPr>
          <w:sz w:val="21"/>
          <w:szCs w:val="21"/>
        </w:rPr>
        <w:t xml:space="preserve"> distingue explicitement les exemples </w:t>
      </w:r>
      <w:proofErr w:type="spellStart"/>
      <w:r>
        <w:rPr>
          <w:sz w:val="21"/>
          <w:szCs w:val="21"/>
        </w:rPr>
        <w:t>annotes_manuellement</w:t>
      </w:r>
      <w:proofErr w:type="spellEnd"/>
      <w:r>
        <w:rPr>
          <w:sz w:val="21"/>
          <w:szCs w:val="21"/>
        </w:rPr>
        <w:t xml:space="preserve"> (214 cas) des exemples </w:t>
      </w:r>
      <w:proofErr w:type="spellStart"/>
      <w:r>
        <w:rPr>
          <w:sz w:val="21"/>
          <w:szCs w:val="21"/>
        </w:rPr>
        <w:t>source_originale</w:t>
      </w:r>
      <w:proofErr w:type="spellEnd"/>
      <w:r>
        <w:rPr>
          <w:sz w:val="21"/>
          <w:szCs w:val="21"/>
        </w:rPr>
        <w:t>, garantissant la traçabilité de la qualité de l'information — point de vigilance explicitement demandé dans la mission.</w:t>
      </w:r>
    </w:p>
    <w:p w:rsidR="00A53A25" w:rsidRDefault="00000000">
      <w:pPr>
        <w:spacing w:after="160" w:line="300" w:lineRule="auto"/>
      </w:pPr>
      <w:r>
        <w:rPr>
          <w:sz w:val="21"/>
          <w:szCs w:val="21"/>
        </w:rPr>
        <w:t xml:space="preserve">Le </w:t>
      </w:r>
      <w:proofErr w:type="spellStart"/>
      <w:r>
        <w:rPr>
          <w:sz w:val="21"/>
          <w:szCs w:val="21"/>
        </w:rPr>
        <w:t>dataset</w:t>
      </w:r>
      <w:proofErr w:type="spellEnd"/>
      <w:r>
        <w:rPr>
          <w:sz w:val="21"/>
          <w:szCs w:val="21"/>
        </w:rPr>
        <w:t xml:space="preserve"> a été divisé en 80 % train (5 227) / 10 % validation (653) / 10 % test (654), stratifié par source, puis publié sur le </w:t>
      </w:r>
      <w:proofErr w:type="spellStart"/>
      <w:r>
        <w:rPr>
          <w:sz w:val="21"/>
          <w:szCs w:val="21"/>
        </w:rPr>
        <w:t>Hugging</w:t>
      </w:r>
      <w:proofErr w:type="spellEnd"/>
      <w:r>
        <w:rPr>
          <w:sz w:val="21"/>
          <w:szCs w:val="21"/>
        </w:rPr>
        <w:t xml:space="preserve"> Face Hub (dépôt privé) pour garantir la reproductibilité du pipeline.</w:t>
      </w:r>
    </w:p>
    <w:p w:rsidR="00A53A25" w:rsidRDefault="00000000">
      <w:pPr>
        <w:pStyle w:val="Titre1"/>
        <w:spacing w:before="400" w:after="200"/>
      </w:pPr>
      <w:r>
        <w:rPr>
          <w:b/>
          <w:bCs/>
          <w:color w:val="1F3864"/>
        </w:rPr>
        <w:t>3. Méthodologie — Entraînement du modèle (Semaines 2-3)</w:t>
      </w:r>
    </w:p>
    <w:p w:rsidR="00A53A25" w:rsidRDefault="00000000">
      <w:pPr>
        <w:pStyle w:val="Titre2"/>
        <w:spacing w:before="300" w:after="150"/>
      </w:pPr>
      <w:r>
        <w:rPr>
          <w:b/>
          <w:bCs/>
        </w:rPr>
        <w:t>3.1 Fine-tuning supervisé (SFT)</w:t>
      </w:r>
    </w:p>
    <w:p w:rsidR="00A53A25" w:rsidRDefault="00000000">
      <w:pPr>
        <w:spacing w:after="160" w:line="300" w:lineRule="auto"/>
      </w:pPr>
      <w:r>
        <w:rPr>
          <w:sz w:val="21"/>
          <w:szCs w:val="21"/>
        </w:rPr>
        <w:t xml:space="preserve">Le modèle Qwen3-1.7B-Base a été affiné par </w:t>
      </w:r>
      <w:proofErr w:type="spellStart"/>
      <w:r>
        <w:rPr>
          <w:sz w:val="21"/>
          <w:szCs w:val="21"/>
        </w:rPr>
        <w:t>LoRA</w:t>
      </w:r>
      <w:proofErr w:type="spellEnd"/>
      <w:r>
        <w:rPr>
          <w:sz w:val="21"/>
          <w:szCs w:val="21"/>
        </w:rPr>
        <w:t xml:space="preserve"> (rang 16, alpha 32, ciblant les projections d'attention et de MLP) sur une </w:t>
      </w:r>
      <w:proofErr w:type="spellStart"/>
      <w:r>
        <w:rPr>
          <w:sz w:val="21"/>
          <w:szCs w:val="21"/>
        </w:rPr>
        <w:t>quantization</w:t>
      </w:r>
      <w:proofErr w:type="spellEnd"/>
      <w:r>
        <w:rPr>
          <w:sz w:val="21"/>
          <w:szCs w:val="21"/>
        </w:rPr>
        <w:t xml:space="preserve"> 4-bit (NF4). L'entraînement a représenté environ 1,003 % des paramètres totaux (17,4 M sur 1,74 Md).</w:t>
      </w:r>
    </w:p>
    <w:p w:rsidR="00A53A25" w:rsidRDefault="00000000">
      <w:pPr>
        <w:pStyle w:val="Titre3"/>
        <w:spacing w:before="200" w:after="100"/>
      </w:pPr>
      <w:r>
        <w:rPr>
          <w:b/>
          <w:bCs/>
          <w:color w:val="595959"/>
          <w:sz w:val="22"/>
          <w:szCs w:val="22"/>
        </w:rPr>
        <w:t>Difficultés techniques rencontrées et résolues</w:t>
      </w:r>
    </w:p>
    <w:p w:rsidR="00A53A25" w:rsidRDefault="00000000">
      <w:pPr>
        <w:spacing w:after="160" w:line="300" w:lineRule="auto"/>
      </w:pPr>
      <w:r>
        <w:rPr>
          <w:sz w:val="21"/>
          <w:szCs w:val="21"/>
        </w:rPr>
        <w:t>Cette phase a été marquée par une instabilité numérique récurrente : plusieurs tentatives d'entraînement ont divergé (</w:t>
      </w:r>
      <w:proofErr w:type="spellStart"/>
      <w:r>
        <w:rPr>
          <w:sz w:val="21"/>
          <w:szCs w:val="21"/>
        </w:rPr>
        <w:t>loss</w:t>
      </w:r>
      <w:proofErr w:type="spellEnd"/>
      <w:r>
        <w:rPr>
          <w:sz w:val="21"/>
          <w:szCs w:val="21"/>
        </w:rPr>
        <w:t xml:space="preserve"> explosant vers NaN) après 200 à 300 </w:t>
      </w:r>
      <w:proofErr w:type="spellStart"/>
      <w:r>
        <w:rPr>
          <w:sz w:val="21"/>
          <w:szCs w:val="21"/>
        </w:rPr>
        <w:t>steps</w:t>
      </w:r>
      <w:proofErr w:type="spellEnd"/>
      <w:r>
        <w:rPr>
          <w:sz w:val="21"/>
          <w:szCs w:val="21"/>
        </w:rPr>
        <w:t xml:space="preserve">, sur Google </w:t>
      </w:r>
      <w:proofErr w:type="spellStart"/>
      <w:r>
        <w:rPr>
          <w:sz w:val="21"/>
          <w:szCs w:val="21"/>
        </w:rPr>
        <w:t>Colab</w:t>
      </w:r>
      <w:proofErr w:type="spellEnd"/>
      <w:r>
        <w:rPr>
          <w:sz w:val="21"/>
          <w:szCs w:val="21"/>
        </w:rPr>
        <w:t xml:space="preserve"> comme sur </w:t>
      </w:r>
      <w:proofErr w:type="spellStart"/>
      <w:r>
        <w:rPr>
          <w:sz w:val="21"/>
          <w:szCs w:val="21"/>
        </w:rPr>
        <w:t>Kaggle</w:t>
      </w:r>
      <w:proofErr w:type="spellEnd"/>
      <w:r>
        <w:rPr>
          <w:sz w:val="21"/>
          <w:szCs w:val="21"/>
        </w:rPr>
        <w:t>, avec un ou deux GPU T4. Le diagnostic, mené par élimination progressive, a permis d'écarter successivement :</w:t>
      </w:r>
    </w:p>
    <w:p w:rsidR="00A53A25" w:rsidRDefault="00000000">
      <w:pPr>
        <w:pStyle w:val="Paragraphedeliste"/>
        <w:numPr>
          <w:ilvl w:val="0"/>
          <w:numId w:val="2"/>
        </w:numPr>
        <w:spacing w:after="80" w:line="280" w:lineRule="auto"/>
      </w:pPr>
      <w:r>
        <w:rPr>
          <w:sz w:val="21"/>
          <w:szCs w:val="21"/>
        </w:rPr>
        <w:t xml:space="preserve">Le gradient </w:t>
      </w:r>
      <w:proofErr w:type="spellStart"/>
      <w:r>
        <w:rPr>
          <w:sz w:val="21"/>
          <w:szCs w:val="21"/>
        </w:rPr>
        <w:t>checkpointing</w:t>
      </w:r>
      <w:proofErr w:type="spellEnd"/>
      <w:r>
        <w:rPr>
          <w:sz w:val="21"/>
          <w:szCs w:val="21"/>
        </w:rPr>
        <w:t xml:space="preserve"> (état incohérent après rechargements successifs) ;</w:t>
      </w:r>
    </w:p>
    <w:p w:rsidR="00A53A25" w:rsidRDefault="00000000">
      <w:pPr>
        <w:pStyle w:val="Paragraphedeliste"/>
        <w:numPr>
          <w:ilvl w:val="0"/>
          <w:numId w:val="2"/>
        </w:numPr>
        <w:spacing w:after="80" w:line="280" w:lineRule="auto"/>
      </w:pPr>
      <w:r>
        <w:rPr>
          <w:sz w:val="21"/>
          <w:szCs w:val="21"/>
        </w:rPr>
        <w:t>Le multi-GPU (le comportement se reproduisait aussi sur GPU unique) ;</w:t>
      </w:r>
    </w:p>
    <w:p w:rsidR="00A53A25" w:rsidRDefault="00000000">
      <w:pPr>
        <w:pStyle w:val="Paragraphedeliste"/>
        <w:numPr>
          <w:ilvl w:val="0"/>
          <w:numId w:val="2"/>
        </w:numPr>
        <w:spacing w:after="80" w:line="280" w:lineRule="auto"/>
      </w:pPr>
      <w:r>
        <w:rPr>
          <w:sz w:val="21"/>
          <w:szCs w:val="21"/>
        </w:rPr>
        <w:t xml:space="preserve">L'optimiseur paged_adamw_8bit (le run divergeait aussi avec </w:t>
      </w:r>
      <w:proofErr w:type="spellStart"/>
      <w:r>
        <w:rPr>
          <w:sz w:val="21"/>
          <w:szCs w:val="21"/>
        </w:rPr>
        <w:t>adamw_torch</w:t>
      </w:r>
      <w:proofErr w:type="spellEnd"/>
      <w:r>
        <w:rPr>
          <w:sz w:val="21"/>
          <w:szCs w:val="21"/>
        </w:rPr>
        <w:t xml:space="preserve"> standard) ;</w:t>
      </w:r>
    </w:p>
    <w:p w:rsidR="00A53A25" w:rsidRDefault="00000000">
      <w:pPr>
        <w:pStyle w:val="Paragraphedeliste"/>
        <w:numPr>
          <w:ilvl w:val="0"/>
          <w:numId w:val="2"/>
        </w:numPr>
        <w:spacing w:after="80" w:line="280" w:lineRule="auto"/>
      </w:pPr>
      <w:r>
        <w:rPr>
          <w:sz w:val="21"/>
          <w:szCs w:val="21"/>
        </w:rPr>
        <w:t>Un paramètre déprécié (</w:t>
      </w:r>
      <w:proofErr w:type="spellStart"/>
      <w:r>
        <w:rPr>
          <w:sz w:val="21"/>
          <w:szCs w:val="21"/>
        </w:rPr>
        <w:t>torch_dtype</w:t>
      </w:r>
      <w:proofErr w:type="spellEnd"/>
      <w:r>
        <w:rPr>
          <w:sz w:val="21"/>
          <w:szCs w:val="21"/>
        </w:rPr>
        <w:t xml:space="preserve"> au lieu de </w:t>
      </w:r>
      <w:proofErr w:type="spellStart"/>
      <w:r>
        <w:rPr>
          <w:sz w:val="21"/>
          <w:szCs w:val="21"/>
        </w:rPr>
        <w:t>dtype</w:t>
      </w:r>
      <w:proofErr w:type="spellEnd"/>
      <w:r>
        <w:rPr>
          <w:sz w:val="21"/>
          <w:szCs w:val="21"/>
        </w:rPr>
        <w:t>) provoquant un chargement silencieusement incohérent du modèle.</w:t>
      </w:r>
    </w:p>
    <w:p w:rsidR="00A53A25" w:rsidRDefault="00000000">
      <w:pPr>
        <w:spacing w:after="160" w:line="300" w:lineRule="auto"/>
      </w:pPr>
      <w:r>
        <w:rPr>
          <w:sz w:val="21"/>
          <w:szCs w:val="21"/>
        </w:rPr>
        <w:t xml:space="preserve">La cause racine identifiée : l'usage de fp16 pour les calculs de </w:t>
      </w:r>
      <w:proofErr w:type="spellStart"/>
      <w:r>
        <w:rPr>
          <w:sz w:val="21"/>
          <w:szCs w:val="21"/>
        </w:rPr>
        <w:t>quantization</w:t>
      </w:r>
      <w:proofErr w:type="spellEnd"/>
      <w:r>
        <w:rPr>
          <w:sz w:val="21"/>
          <w:szCs w:val="21"/>
        </w:rPr>
        <w:t xml:space="preserve"> sans le garde-fou du </w:t>
      </w:r>
      <w:proofErr w:type="spellStart"/>
      <w:r>
        <w:rPr>
          <w:sz w:val="21"/>
          <w:szCs w:val="21"/>
        </w:rPr>
        <w:t>GradScaler</w:t>
      </w:r>
      <w:proofErr w:type="spellEnd"/>
      <w:r>
        <w:rPr>
          <w:sz w:val="21"/>
          <w:szCs w:val="21"/>
        </w:rPr>
        <w:t xml:space="preserve"> du Trainer (désactivé pour éviter un conflit avec bf16), laissant les gradients déborder de la plage numérique limitée du format fp16 après quelques centaines de </w:t>
      </w:r>
      <w:proofErr w:type="spellStart"/>
      <w:r>
        <w:rPr>
          <w:sz w:val="21"/>
          <w:szCs w:val="21"/>
        </w:rPr>
        <w:t>steps</w:t>
      </w:r>
      <w:proofErr w:type="spellEnd"/>
      <w:r>
        <w:rPr>
          <w:sz w:val="21"/>
          <w:szCs w:val="21"/>
        </w:rPr>
        <w:t xml:space="preserve">. La solution stable retenue a consisté à forcer l'intégralité des calculs (modèle, </w:t>
      </w:r>
      <w:proofErr w:type="spellStart"/>
      <w:r>
        <w:rPr>
          <w:sz w:val="21"/>
          <w:szCs w:val="21"/>
        </w:rPr>
        <w:t>quantization</w:t>
      </w:r>
      <w:proofErr w:type="spellEnd"/>
      <w:r>
        <w:rPr>
          <w:sz w:val="21"/>
          <w:szCs w:val="21"/>
        </w:rPr>
        <w:t xml:space="preserve">, poids </w:t>
      </w:r>
      <w:proofErr w:type="spellStart"/>
      <w:r>
        <w:rPr>
          <w:sz w:val="21"/>
          <w:szCs w:val="21"/>
        </w:rPr>
        <w:t>LoRA</w:t>
      </w:r>
      <w:proofErr w:type="spellEnd"/>
      <w:r>
        <w:rPr>
          <w:sz w:val="21"/>
          <w:szCs w:val="21"/>
        </w:rPr>
        <w:t xml:space="preserve">) en float32, au prix d'une vitesse d'entraînement réduite mais sans aucune instabilité résiduelle sur l'entraînement final (3 </w:t>
      </w:r>
      <w:proofErr w:type="spellStart"/>
      <w:r>
        <w:rPr>
          <w:sz w:val="21"/>
          <w:szCs w:val="21"/>
        </w:rPr>
        <w:t>epochs</w:t>
      </w:r>
      <w:proofErr w:type="spellEnd"/>
      <w:r>
        <w:rPr>
          <w:sz w:val="21"/>
          <w:szCs w:val="21"/>
        </w:rPr>
        <w:t xml:space="preserve">, 492 </w:t>
      </w:r>
      <w:proofErr w:type="spellStart"/>
      <w:r>
        <w:rPr>
          <w:sz w:val="21"/>
          <w:szCs w:val="21"/>
        </w:rPr>
        <w:t>steps</w:t>
      </w:r>
      <w:proofErr w:type="spellEnd"/>
      <w:r>
        <w:rPr>
          <w:sz w:val="21"/>
          <w:szCs w:val="21"/>
        </w:rP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300"/>
      </w:tblGrid>
      <w:tr w:rsidR="00A53A25">
        <w:trPr>
          <w:tblHeader/>
        </w:trPr>
        <w:tc>
          <w:tcPr>
            <w:tcW w:w="55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Métrique finale (SFT)</w:t>
            </w:r>
          </w:p>
        </w:tc>
        <w:tc>
          <w:tcPr>
            <w:tcW w:w="43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Valeur</w:t>
            </w:r>
          </w:p>
        </w:tc>
      </w:tr>
      <w:tr w:rsidR="00A53A25">
        <w:tc>
          <w:tcPr>
            <w:tcW w:w="5500" w:type="dxa"/>
            <w:tcMar>
              <w:top w:w="100" w:type="dxa"/>
              <w:left w:w="120" w:type="dxa"/>
              <w:bottom w:w="100" w:type="dxa"/>
              <w:right w:w="120" w:type="dxa"/>
            </w:tcMar>
          </w:tcPr>
          <w:p w:rsidR="00A53A25" w:rsidRDefault="00000000">
            <w:r>
              <w:rPr>
                <w:color w:val="000000"/>
                <w:sz w:val="19"/>
                <w:szCs w:val="19"/>
              </w:rPr>
              <w:t xml:space="preserve">Training </w:t>
            </w:r>
            <w:proofErr w:type="spellStart"/>
            <w:r>
              <w:rPr>
                <w:color w:val="000000"/>
                <w:sz w:val="19"/>
                <w:szCs w:val="19"/>
              </w:rPr>
              <w:t>loss</w:t>
            </w:r>
            <w:proofErr w:type="spellEnd"/>
            <w:r>
              <w:rPr>
                <w:color w:val="000000"/>
                <w:sz w:val="19"/>
                <w:szCs w:val="19"/>
              </w:rPr>
              <w:t xml:space="preserve"> finale</w:t>
            </w:r>
          </w:p>
        </w:tc>
        <w:tc>
          <w:tcPr>
            <w:tcW w:w="4300" w:type="dxa"/>
            <w:tcMar>
              <w:top w:w="100" w:type="dxa"/>
              <w:left w:w="120" w:type="dxa"/>
              <w:bottom w:w="100" w:type="dxa"/>
              <w:right w:w="120" w:type="dxa"/>
            </w:tcMar>
          </w:tcPr>
          <w:p w:rsidR="00A53A25" w:rsidRDefault="00000000">
            <w:pPr>
              <w:jc w:val="center"/>
            </w:pPr>
            <w:r>
              <w:rPr>
                <w:color w:val="000000"/>
                <w:sz w:val="19"/>
                <w:szCs w:val="19"/>
              </w:rPr>
              <w:t>≈ 2,87 – 2,97 (plateau)</w:t>
            </w:r>
          </w:p>
        </w:tc>
      </w:tr>
      <w:tr w:rsidR="00A53A25">
        <w:tc>
          <w:tcPr>
            <w:tcW w:w="5500" w:type="dxa"/>
            <w:shd w:val="clear" w:color="auto" w:fill="F2F2F2"/>
            <w:tcMar>
              <w:top w:w="100" w:type="dxa"/>
              <w:left w:w="120" w:type="dxa"/>
              <w:bottom w:w="100" w:type="dxa"/>
              <w:right w:w="120" w:type="dxa"/>
            </w:tcMar>
          </w:tcPr>
          <w:p w:rsidR="00A53A25" w:rsidRDefault="00000000">
            <w:proofErr w:type="spellStart"/>
            <w:r>
              <w:rPr>
                <w:color w:val="000000"/>
                <w:sz w:val="19"/>
                <w:szCs w:val="19"/>
              </w:rPr>
              <w:t>Mean</w:t>
            </w:r>
            <w:proofErr w:type="spellEnd"/>
            <w:r>
              <w:rPr>
                <w:color w:val="000000"/>
                <w:sz w:val="19"/>
                <w:szCs w:val="19"/>
              </w:rPr>
              <w:t xml:space="preserve"> </w:t>
            </w:r>
            <w:proofErr w:type="spellStart"/>
            <w:r>
              <w:rPr>
                <w:color w:val="000000"/>
                <w:sz w:val="19"/>
                <w:szCs w:val="19"/>
              </w:rPr>
              <w:t>token</w:t>
            </w:r>
            <w:proofErr w:type="spellEnd"/>
            <w:r>
              <w:rPr>
                <w:color w:val="000000"/>
                <w:sz w:val="19"/>
                <w:szCs w:val="19"/>
              </w:rPr>
              <w:t xml:space="preserve"> </w:t>
            </w:r>
            <w:proofErr w:type="spellStart"/>
            <w:r>
              <w:rPr>
                <w:color w:val="000000"/>
                <w:sz w:val="19"/>
                <w:szCs w:val="19"/>
              </w:rPr>
              <w:t>accuracy</w:t>
            </w:r>
            <w:proofErr w:type="spellEnd"/>
          </w:p>
        </w:tc>
        <w:tc>
          <w:tcPr>
            <w:tcW w:w="4300" w:type="dxa"/>
            <w:shd w:val="clear" w:color="auto" w:fill="F2F2F2"/>
            <w:tcMar>
              <w:top w:w="100" w:type="dxa"/>
              <w:left w:w="120" w:type="dxa"/>
              <w:bottom w:w="100" w:type="dxa"/>
              <w:right w:w="120" w:type="dxa"/>
            </w:tcMar>
          </w:tcPr>
          <w:p w:rsidR="00A53A25" w:rsidRDefault="00000000">
            <w:pPr>
              <w:jc w:val="center"/>
            </w:pPr>
            <w:r>
              <w:rPr>
                <w:color w:val="000000"/>
                <w:sz w:val="19"/>
                <w:szCs w:val="19"/>
              </w:rPr>
              <w:t>63,8 %</w:t>
            </w:r>
          </w:p>
        </w:tc>
      </w:tr>
      <w:tr w:rsidR="00A53A25">
        <w:tc>
          <w:tcPr>
            <w:tcW w:w="5500" w:type="dxa"/>
            <w:tcMar>
              <w:top w:w="100" w:type="dxa"/>
              <w:left w:w="120" w:type="dxa"/>
              <w:bottom w:w="100" w:type="dxa"/>
              <w:right w:w="120" w:type="dxa"/>
            </w:tcMar>
          </w:tcPr>
          <w:p w:rsidR="00A53A25" w:rsidRDefault="00000000">
            <w:proofErr w:type="spellStart"/>
            <w:r>
              <w:rPr>
                <w:color w:val="000000"/>
                <w:sz w:val="19"/>
                <w:szCs w:val="19"/>
              </w:rPr>
              <w:t>Epochs</w:t>
            </w:r>
            <w:proofErr w:type="spellEnd"/>
            <w:r>
              <w:rPr>
                <w:color w:val="000000"/>
                <w:sz w:val="19"/>
                <w:szCs w:val="19"/>
              </w:rPr>
              <w:t xml:space="preserve"> réalisées</w:t>
            </w:r>
          </w:p>
        </w:tc>
        <w:tc>
          <w:tcPr>
            <w:tcW w:w="4300" w:type="dxa"/>
            <w:tcMar>
              <w:top w:w="100" w:type="dxa"/>
              <w:left w:w="120" w:type="dxa"/>
              <w:bottom w:w="100" w:type="dxa"/>
              <w:right w:w="120" w:type="dxa"/>
            </w:tcMar>
          </w:tcPr>
          <w:p w:rsidR="00A53A25" w:rsidRDefault="00000000">
            <w:pPr>
              <w:jc w:val="center"/>
            </w:pPr>
            <w:r>
              <w:rPr>
                <w:color w:val="000000"/>
                <w:sz w:val="19"/>
                <w:szCs w:val="19"/>
              </w:rPr>
              <w:t>3</w:t>
            </w:r>
          </w:p>
        </w:tc>
      </w:tr>
      <w:tr w:rsidR="00A53A25">
        <w:tc>
          <w:tcPr>
            <w:tcW w:w="5500" w:type="dxa"/>
            <w:shd w:val="clear" w:color="auto" w:fill="F2F2F2"/>
            <w:tcMar>
              <w:top w:w="100" w:type="dxa"/>
              <w:left w:w="120" w:type="dxa"/>
              <w:bottom w:w="100" w:type="dxa"/>
              <w:right w:w="120" w:type="dxa"/>
            </w:tcMar>
          </w:tcPr>
          <w:p w:rsidR="00A53A25" w:rsidRDefault="00000000">
            <w:r>
              <w:rPr>
                <w:color w:val="000000"/>
                <w:sz w:val="19"/>
                <w:szCs w:val="19"/>
              </w:rPr>
              <w:t>Configuration stable</w:t>
            </w:r>
          </w:p>
        </w:tc>
        <w:tc>
          <w:tcPr>
            <w:tcW w:w="4300" w:type="dxa"/>
            <w:shd w:val="clear" w:color="auto" w:fill="F2F2F2"/>
            <w:tcMar>
              <w:top w:w="100" w:type="dxa"/>
              <w:left w:w="120" w:type="dxa"/>
              <w:bottom w:w="100" w:type="dxa"/>
              <w:right w:w="120" w:type="dxa"/>
            </w:tcMar>
          </w:tcPr>
          <w:p w:rsidR="00A53A25" w:rsidRDefault="00000000">
            <w:pPr>
              <w:jc w:val="center"/>
            </w:pPr>
            <w:proofErr w:type="gramStart"/>
            <w:r>
              <w:rPr>
                <w:color w:val="000000"/>
                <w:sz w:val="19"/>
                <w:szCs w:val="19"/>
              </w:rPr>
              <w:t>float</w:t>
            </w:r>
            <w:proofErr w:type="gramEnd"/>
            <w:r>
              <w:rPr>
                <w:color w:val="000000"/>
                <w:sz w:val="19"/>
                <w:szCs w:val="19"/>
              </w:rPr>
              <w:t>32 intégral, GPU unique, LR 5e-5</w:t>
            </w:r>
          </w:p>
        </w:tc>
      </w:tr>
    </w:tbl>
    <w:p w:rsidR="00A53A25" w:rsidRDefault="00000000">
      <w:pPr>
        <w:spacing w:before="60" w:after="240"/>
      </w:pPr>
      <w:r>
        <w:rPr>
          <w:i/>
          <w:iCs/>
          <w:color w:val="595959"/>
          <w:sz w:val="18"/>
          <w:szCs w:val="18"/>
        </w:rPr>
        <w:t>Tableau 3 — Métriques finales de l'entraînement SFT.</w:t>
      </w:r>
    </w:p>
    <w:p w:rsidR="00A53A25" w:rsidRDefault="00000000">
      <w:pPr>
        <w:pStyle w:val="Titre2"/>
        <w:spacing w:before="300" w:after="150"/>
      </w:pPr>
      <w:r>
        <w:rPr>
          <w:b/>
          <w:bCs/>
        </w:rPr>
        <w:t>3.2 Alignement par préférences (DPO)</w:t>
      </w:r>
    </w:p>
    <w:p w:rsidR="00A53A25" w:rsidRDefault="00000000">
      <w:pPr>
        <w:spacing w:after="160" w:line="300" w:lineRule="auto"/>
      </w:pPr>
      <w:r>
        <w:rPr>
          <w:sz w:val="21"/>
          <w:szCs w:val="21"/>
        </w:rPr>
        <w:t>Le modèle SFT a ensuite été aligné par DPO sur un échantillon de 1 500 paires de préférence issues d'</w:t>
      </w:r>
      <w:proofErr w:type="spellStart"/>
      <w:r>
        <w:rPr>
          <w:sz w:val="21"/>
          <w:szCs w:val="21"/>
        </w:rPr>
        <w:t>UltraMedical-Preference</w:t>
      </w:r>
      <w:proofErr w:type="spellEnd"/>
      <w:r>
        <w:rPr>
          <w:sz w:val="21"/>
          <w:szCs w:val="21"/>
        </w:rPr>
        <w:t xml:space="preserve"> (</w:t>
      </w:r>
      <w:proofErr w:type="spellStart"/>
      <w:r>
        <w:rPr>
          <w:sz w:val="21"/>
          <w:szCs w:val="21"/>
        </w:rPr>
        <w:t>label_type</w:t>
      </w:r>
      <w:proofErr w:type="spellEnd"/>
      <w:r>
        <w:rPr>
          <w:sz w:val="21"/>
          <w:szCs w:val="21"/>
        </w:rPr>
        <w:t xml:space="preserve"> hard/</w:t>
      </w:r>
      <w:proofErr w:type="spellStart"/>
      <w:r>
        <w:rPr>
          <w:sz w:val="21"/>
          <w:szCs w:val="21"/>
        </w:rPr>
        <w:t>length</w:t>
      </w:r>
      <w:proofErr w:type="spellEnd"/>
      <w:r>
        <w:rPr>
          <w:sz w:val="21"/>
          <w:szCs w:val="21"/>
        </w:rPr>
        <w:t>/</w:t>
      </w:r>
      <w:proofErr w:type="spellStart"/>
      <w:r>
        <w:rPr>
          <w:sz w:val="21"/>
          <w:szCs w:val="21"/>
        </w:rPr>
        <w:t>easy</w:t>
      </w:r>
      <w:proofErr w:type="spellEnd"/>
      <w:r>
        <w:rPr>
          <w:sz w:val="21"/>
          <w:szCs w:val="21"/>
        </w:rPr>
        <w:t>), disjoint des 800 exemples déjà utilisés en SFT. La configuration stable identifiée en SFT (float32 intégral, GPU unique) a été reconduite d'emblée, et l'entraînement s'est déroulé sans instabilité dès le premier essai.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300"/>
      </w:tblGrid>
      <w:tr w:rsidR="00A53A25">
        <w:trPr>
          <w:tblHeader/>
        </w:trPr>
        <w:tc>
          <w:tcPr>
            <w:tcW w:w="55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lastRenderedPageBreak/>
              <w:t>Métrique DPO (</w:t>
            </w:r>
            <w:proofErr w:type="spellStart"/>
            <w:r>
              <w:rPr>
                <w:b/>
                <w:bCs/>
                <w:color w:val="FFFFFF"/>
                <w:sz w:val="19"/>
                <w:szCs w:val="19"/>
              </w:rPr>
              <w:t>step</w:t>
            </w:r>
            <w:proofErr w:type="spellEnd"/>
            <w:r>
              <w:rPr>
                <w:b/>
                <w:bCs/>
                <w:color w:val="FFFFFF"/>
                <w:sz w:val="19"/>
                <w:szCs w:val="19"/>
              </w:rPr>
              <w:t xml:space="preserve"> final)</w:t>
            </w:r>
          </w:p>
        </w:tc>
        <w:tc>
          <w:tcPr>
            <w:tcW w:w="43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Valeur</w:t>
            </w:r>
          </w:p>
        </w:tc>
      </w:tr>
      <w:tr w:rsidR="00A53A25">
        <w:tc>
          <w:tcPr>
            <w:tcW w:w="5500" w:type="dxa"/>
            <w:tcMar>
              <w:top w:w="100" w:type="dxa"/>
              <w:left w:w="120" w:type="dxa"/>
              <w:bottom w:w="100" w:type="dxa"/>
              <w:right w:w="120" w:type="dxa"/>
            </w:tcMar>
          </w:tcPr>
          <w:p w:rsidR="00A53A25" w:rsidRDefault="00000000">
            <w:r>
              <w:rPr>
                <w:color w:val="000000"/>
                <w:sz w:val="19"/>
                <w:szCs w:val="19"/>
              </w:rPr>
              <w:t xml:space="preserve">Training </w:t>
            </w:r>
            <w:proofErr w:type="spellStart"/>
            <w:r>
              <w:rPr>
                <w:color w:val="000000"/>
                <w:sz w:val="19"/>
                <w:szCs w:val="19"/>
              </w:rPr>
              <w:t>loss</w:t>
            </w:r>
            <w:proofErr w:type="spellEnd"/>
          </w:p>
        </w:tc>
        <w:tc>
          <w:tcPr>
            <w:tcW w:w="4300" w:type="dxa"/>
            <w:tcMar>
              <w:top w:w="100" w:type="dxa"/>
              <w:left w:w="120" w:type="dxa"/>
              <w:bottom w:w="100" w:type="dxa"/>
              <w:right w:w="120" w:type="dxa"/>
            </w:tcMar>
          </w:tcPr>
          <w:p w:rsidR="00A53A25" w:rsidRDefault="00000000">
            <w:pPr>
              <w:jc w:val="center"/>
            </w:pPr>
            <w:r>
              <w:rPr>
                <w:color w:val="000000"/>
                <w:sz w:val="19"/>
                <w:szCs w:val="19"/>
              </w:rPr>
              <w:t>0,542</w:t>
            </w:r>
          </w:p>
        </w:tc>
      </w:tr>
      <w:tr w:rsidR="00A53A25">
        <w:tc>
          <w:tcPr>
            <w:tcW w:w="5500" w:type="dxa"/>
            <w:shd w:val="clear" w:color="auto" w:fill="F2F2F2"/>
            <w:tcMar>
              <w:top w:w="100" w:type="dxa"/>
              <w:left w:w="120" w:type="dxa"/>
              <w:bottom w:w="100" w:type="dxa"/>
              <w:right w:w="120" w:type="dxa"/>
            </w:tcMar>
          </w:tcPr>
          <w:p w:rsidR="00A53A25" w:rsidRDefault="00000000">
            <w:r>
              <w:rPr>
                <w:color w:val="000000"/>
                <w:sz w:val="19"/>
                <w:szCs w:val="19"/>
              </w:rPr>
              <w:t xml:space="preserve">Validation </w:t>
            </w:r>
            <w:proofErr w:type="spellStart"/>
            <w:r>
              <w:rPr>
                <w:color w:val="000000"/>
                <w:sz w:val="19"/>
                <w:szCs w:val="19"/>
              </w:rPr>
              <w:t>loss</w:t>
            </w:r>
            <w:proofErr w:type="spellEnd"/>
          </w:p>
        </w:tc>
        <w:tc>
          <w:tcPr>
            <w:tcW w:w="4300" w:type="dxa"/>
            <w:shd w:val="clear" w:color="auto" w:fill="F2F2F2"/>
            <w:tcMar>
              <w:top w:w="100" w:type="dxa"/>
              <w:left w:w="120" w:type="dxa"/>
              <w:bottom w:w="100" w:type="dxa"/>
              <w:right w:w="120" w:type="dxa"/>
            </w:tcMar>
          </w:tcPr>
          <w:p w:rsidR="00A53A25" w:rsidRDefault="00000000">
            <w:pPr>
              <w:jc w:val="center"/>
            </w:pPr>
            <w:r>
              <w:rPr>
                <w:color w:val="000000"/>
                <w:sz w:val="19"/>
                <w:szCs w:val="19"/>
              </w:rPr>
              <w:t>0,522</w:t>
            </w:r>
          </w:p>
        </w:tc>
      </w:tr>
      <w:tr w:rsidR="00A53A25">
        <w:tc>
          <w:tcPr>
            <w:tcW w:w="5500" w:type="dxa"/>
            <w:tcMar>
              <w:top w:w="100" w:type="dxa"/>
              <w:left w:w="120" w:type="dxa"/>
              <w:bottom w:w="100" w:type="dxa"/>
              <w:right w:w="120" w:type="dxa"/>
            </w:tcMar>
          </w:tcPr>
          <w:p w:rsidR="00A53A25" w:rsidRDefault="00000000">
            <w:proofErr w:type="spellStart"/>
            <w:r>
              <w:rPr>
                <w:color w:val="000000"/>
                <w:sz w:val="19"/>
                <w:szCs w:val="19"/>
              </w:rPr>
              <w:t>Rewards</w:t>
            </w:r>
            <w:proofErr w:type="spellEnd"/>
            <w:r>
              <w:rPr>
                <w:color w:val="000000"/>
                <w:sz w:val="19"/>
                <w:szCs w:val="19"/>
              </w:rPr>
              <w:t xml:space="preserve"> / </w:t>
            </w:r>
            <w:proofErr w:type="spellStart"/>
            <w:r>
              <w:rPr>
                <w:color w:val="000000"/>
                <w:sz w:val="19"/>
                <w:szCs w:val="19"/>
              </w:rPr>
              <w:t>accuracies</w:t>
            </w:r>
            <w:proofErr w:type="spellEnd"/>
          </w:p>
        </w:tc>
        <w:tc>
          <w:tcPr>
            <w:tcW w:w="4300" w:type="dxa"/>
            <w:tcMar>
              <w:top w:w="100" w:type="dxa"/>
              <w:left w:w="120" w:type="dxa"/>
              <w:bottom w:w="100" w:type="dxa"/>
              <w:right w:w="120" w:type="dxa"/>
            </w:tcMar>
          </w:tcPr>
          <w:p w:rsidR="00A53A25" w:rsidRDefault="00000000">
            <w:pPr>
              <w:jc w:val="center"/>
            </w:pPr>
            <w:r>
              <w:rPr>
                <w:color w:val="000000"/>
                <w:sz w:val="19"/>
                <w:szCs w:val="19"/>
              </w:rPr>
              <w:t>75,3 %</w:t>
            </w:r>
          </w:p>
        </w:tc>
      </w:tr>
      <w:tr w:rsidR="00A53A25">
        <w:tc>
          <w:tcPr>
            <w:tcW w:w="5500" w:type="dxa"/>
            <w:shd w:val="clear" w:color="auto" w:fill="F2F2F2"/>
            <w:tcMar>
              <w:top w:w="100" w:type="dxa"/>
              <w:left w:w="120" w:type="dxa"/>
              <w:bottom w:w="100" w:type="dxa"/>
              <w:right w:w="120" w:type="dxa"/>
            </w:tcMar>
          </w:tcPr>
          <w:p w:rsidR="00A53A25" w:rsidRDefault="00000000">
            <w:proofErr w:type="spellStart"/>
            <w:r>
              <w:rPr>
                <w:color w:val="000000"/>
                <w:sz w:val="19"/>
                <w:szCs w:val="19"/>
              </w:rPr>
              <w:t>Rewards</w:t>
            </w:r>
            <w:proofErr w:type="spellEnd"/>
            <w:r>
              <w:rPr>
                <w:color w:val="000000"/>
                <w:sz w:val="19"/>
                <w:szCs w:val="19"/>
              </w:rPr>
              <w:t xml:space="preserve"> / </w:t>
            </w:r>
            <w:proofErr w:type="spellStart"/>
            <w:r>
              <w:rPr>
                <w:color w:val="000000"/>
                <w:sz w:val="19"/>
                <w:szCs w:val="19"/>
              </w:rPr>
              <w:t>margins</w:t>
            </w:r>
            <w:proofErr w:type="spellEnd"/>
          </w:p>
        </w:tc>
        <w:tc>
          <w:tcPr>
            <w:tcW w:w="4300" w:type="dxa"/>
            <w:shd w:val="clear" w:color="auto" w:fill="F2F2F2"/>
            <w:tcMar>
              <w:top w:w="100" w:type="dxa"/>
              <w:left w:w="120" w:type="dxa"/>
              <w:bottom w:w="100" w:type="dxa"/>
              <w:right w:w="120" w:type="dxa"/>
            </w:tcMar>
          </w:tcPr>
          <w:p w:rsidR="00A53A25" w:rsidRDefault="00000000">
            <w:pPr>
              <w:jc w:val="center"/>
            </w:pPr>
            <w:r>
              <w:rPr>
                <w:color w:val="000000"/>
                <w:sz w:val="19"/>
                <w:szCs w:val="19"/>
              </w:rPr>
              <w:t>1,148</w:t>
            </w:r>
          </w:p>
        </w:tc>
      </w:tr>
    </w:tbl>
    <w:p w:rsidR="00A53A25" w:rsidRDefault="00000000">
      <w:pPr>
        <w:spacing w:before="60" w:after="240"/>
      </w:pPr>
      <w:r>
        <w:rPr>
          <w:i/>
          <w:iCs/>
          <w:color w:val="595959"/>
          <w:sz w:val="18"/>
          <w:szCs w:val="18"/>
        </w:rPr>
        <w:t xml:space="preserve">Tableau 4 — Métriques finales de l'entraînement DPO (1 </w:t>
      </w:r>
      <w:proofErr w:type="spellStart"/>
      <w:r>
        <w:rPr>
          <w:i/>
          <w:iCs/>
          <w:color w:val="595959"/>
          <w:sz w:val="18"/>
          <w:szCs w:val="18"/>
        </w:rPr>
        <w:t>epoch</w:t>
      </w:r>
      <w:proofErr w:type="spellEnd"/>
      <w:r>
        <w:rPr>
          <w:i/>
          <w:iCs/>
          <w:color w:val="595959"/>
          <w:sz w:val="18"/>
          <w:szCs w:val="18"/>
        </w:rPr>
        <w:t xml:space="preserve">, 84 </w:t>
      </w:r>
      <w:proofErr w:type="spellStart"/>
      <w:r>
        <w:rPr>
          <w:i/>
          <w:iCs/>
          <w:color w:val="595959"/>
          <w:sz w:val="18"/>
          <w:szCs w:val="18"/>
        </w:rPr>
        <w:t>steps</w:t>
      </w:r>
      <w:proofErr w:type="spellEnd"/>
      <w:r>
        <w:rPr>
          <w:i/>
          <w:iCs/>
          <w:color w:val="595959"/>
          <w:sz w:val="18"/>
          <w:szCs w:val="18"/>
        </w:rPr>
        <w:t xml:space="preserve"> utiles après filtrage de longueur).</w:t>
      </w:r>
    </w:p>
    <w:p w:rsidR="00A53A25" w:rsidRDefault="00000000">
      <w:pPr>
        <w:spacing w:after="160" w:line="300" w:lineRule="auto"/>
      </w:pPr>
      <w:r>
        <w:rPr>
          <w:sz w:val="21"/>
          <w:szCs w:val="21"/>
        </w:rPr>
        <w:t xml:space="preserve">Un « </w:t>
      </w:r>
      <w:proofErr w:type="spellStart"/>
      <w:r>
        <w:rPr>
          <w:sz w:val="21"/>
          <w:szCs w:val="21"/>
        </w:rPr>
        <w:t>Rewards</w:t>
      </w:r>
      <w:proofErr w:type="spellEnd"/>
      <w:r>
        <w:rPr>
          <w:sz w:val="21"/>
          <w:szCs w:val="21"/>
        </w:rPr>
        <w:t>/</w:t>
      </w:r>
      <w:proofErr w:type="spellStart"/>
      <w:r>
        <w:rPr>
          <w:sz w:val="21"/>
          <w:szCs w:val="21"/>
        </w:rPr>
        <w:t>accuracies</w:t>
      </w:r>
      <w:proofErr w:type="spellEnd"/>
      <w:r>
        <w:rPr>
          <w:sz w:val="21"/>
          <w:szCs w:val="21"/>
        </w:rPr>
        <w:t xml:space="preserve"> » de 75,3 % indique que le modèle préfère correctement la réponse </w:t>
      </w:r>
      <w:proofErr w:type="spellStart"/>
      <w:r>
        <w:rPr>
          <w:sz w:val="21"/>
          <w:szCs w:val="21"/>
        </w:rPr>
        <w:t>chosen</w:t>
      </w:r>
      <w:proofErr w:type="spellEnd"/>
      <w:r>
        <w:rPr>
          <w:sz w:val="21"/>
          <w:szCs w:val="21"/>
        </w:rPr>
        <w:t xml:space="preserve"> à la réponse </w:t>
      </w:r>
      <w:proofErr w:type="spellStart"/>
      <w:r>
        <w:rPr>
          <w:sz w:val="21"/>
          <w:szCs w:val="21"/>
        </w:rPr>
        <w:t>rejected</w:t>
      </w:r>
      <w:proofErr w:type="spellEnd"/>
      <w:r>
        <w:rPr>
          <w:sz w:val="21"/>
          <w:szCs w:val="21"/>
        </w:rPr>
        <w:t xml:space="preserve"> dans trois cas sur quatre sur le jeu de validation — un signal d'alignement solide pour un POC de cette envergure.</w:t>
      </w:r>
    </w:p>
    <w:p w:rsidR="00A53A25" w:rsidRDefault="00000000">
      <w:pPr>
        <w:pStyle w:val="Titre1"/>
        <w:spacing w:before="400" w:after="200"/>
      </w:pPr>
      <w:r>
        <w:rPr>
          <w:b/>
          <w:bCs/>
          <w:color w:val="1F3864"/>
        </w:rPr>
        <w:t>4. Déploiement et infrastructure (Semaine 4)</w:t>
      </w:r>
    </w:p>
    <w:p w:rsidR="00A53A25" w:rsidRDefault="00000000">
      <w:pPr>
        <w:pStyle w:val="Titre2"/>
        <w:spacing w:before="300" w:after="150"/>
      </w:pPr>
      <w:r>
        <w:rPr>
          <w:b/>
          <w:bCs/>
        </w:rPr>
        <w:t>4.1 Architecture retenue</w:t>
      </w:r>
    </w:p>
    <w:p w:rsidR="00A53A25" w:rsidRDefault="00000000">
      <w:pPr>
        <w:spacing w:after="160" w:line="300" w:lineRule="auto"/>
      </w:pPr>
      <w:r>
        <w:rPr>
          <w:sz w:val="21"/>
          <w:szCs w:val="21"/>
        </w:rPr>
        <w:t xml:space="preserve">Les adaptateurs </w:t>
      </w:r>
      <w:proofErr w:type="spellStart"/>
      <w:r>
        <w:rPr>
          <w:sz w:val="21"/>
          <w:szCs w:val="21"/>
        </w:rPr>
        <w:t>LoRA</w:t>
      </w:r>
      <w:proofErr w:type="spellEnd"/>
      <w:r>
        <w:rPr>
          <w:sz w:val="21"/>
          <w:szCs w:val="21"/>
        </w:rPr>
        <w:t xml:space="preserve"> (SFT + DPO) ont été fusionnés avec le modèle de base pour produire un modèle autonome, publié sur le </w:t>
      </w:r>
      <w:proofErr w:type="spellStart"/>
      <w:r>
        <w:rPr>
          <w:sz w:val="21"/>
          <w:szCs w:val="21"/>
        </w:rPr>
        <w:t>Hugging</w:t>
      </w:r>
      <w:proofErr w:type="spellEnd"/>
      <w:r>
        <w:rPr>
          <w:sz w:val="21"/>
          <w:szCs w:val="21"/>
        </w:rPr>
        <w:t xml:space="preserve"> Face Hub. L'architecture de déploiement se compose de trois couches :</w:t>
      </w:r>
    </w:p>
    <w:p w:rsidR="00A53A25" w:rsidRDefault="00000000">
      <w:pPr>
        <w:pStyle w:val="Paragraphedeliste"/>
        <w:numPr>
          <w:ilvl w:val="0"/>
          <w:numId w:val="2"/>
        </w:numPr>
        <w:spacing w:after="80" w:line="280" w:lineRule="auto"/>
      </w:pPr>
      <w:proofErr w:type="spellStart"/>
      <w:proofErr w:type="gramStart"/>
      <w:r>
        <w:rPr>
          <w:sz w:val="21"/>
          <w:szCs w:val="21"/>
        </w:rPr>
        <w:t>vLLM</w:t>
      </w:r>
      <w:proofErr w:type="spellEnd"/>
      <w:proofErr w:type="gramEnd"/>
      <w:r>
        <w:rPr>
          <w:sz w:val="21"/>
          <w:szCs w:val="21"/>
        </w:rPr>
        <w:t xml:space="preserve"> — moteur d'inférence optimisé, exposant une API compatible </w:t>
      </w:r>
      <w:proofErr w:type="spellStart"/>
      <w:r>
        <w:rPr>
          <w:sz w:val="21"/>
          <w:szCs w:val="21"/>
        </w:rPr>
        <w:t>OpenAI</w:t>
      </w:r>
      <w:proofErr w:type="spellEnd"/>
      <w:r>
        <w:rPr>
          <w:sz w:val="21"/>
          <w:szCs w:val="21"/>
        </w:rPr>
        <w:t xml:space="preserve"> (</w:t>
      </w:r>
      <w:proofErr w:type="spellStart"/>
      <w:r>
        <w:rPr>
          <w:sz w:val="21"/>
          <w:szCs w:val="21"/>
        </w:rPr>
        <w:t>endpoint</w:t>
      </w:r>
      <w:proofErr w:type="spellEnd"/>
      <w:r>
        <w:rPr>
          <w:sz w:val="21"/>
          <w:szCs w:val="21"/>
        </w:rPr>
        <w:t xml:space="preserve"> /v1/</w:t>
      </w:r>
      <w:proofErr w:type="spellStart"/>
      <w:r>
        <w:rPr>
          <w:sz w:val="21"/>
          <w:szCs w:val="21"/>
        </w:rPr>
        <w:t>completions</w:t>
      </w:r>
      <w:proofErr w:type="spellEnd"/>
      <w:r>
        <w:rPr>
          <w:sz w:val="21"/>
          <w:szCs w:val="21"/>
        </w:rPr>
        <w:t>) ;</w:t>
      </w:r>
    </w:p>
    <w:p w:rsidR="00A53A25" w:rsidRDefault="00000000">
      <w:pPr>
        <w:pStyle w:val="Paragraphedeliste"/>
        <w:numPr>
          <w:ilvl w:val="0"/>
          <w:numId w:val="2"/>
        </w:numPr>
        <w:spacing w:after="80" w:line="280" w:lineRule="auto"/>
      </w:pPr>
      <w:proofErr w:type="spellStart"/>
      <w:r>
        <w:rPr>
          <w:sz w:val="21"/>
          <w:szCs w:val="21"/>
        </w:rPr>
        <w:t>FastAPI</w:t>
      </w:r>
      <w:proofErr w:type="spellEnd"/>
      <w:r>
        <w:rPr>
          <w:sz w:val="21"/>
          <w:szCs w:val="21"/>
        </w:rPr>
        <w:t xml:space="preserve"> — couche applicative ajoutant la traçabilité des interactions et un contrat d'API métier (/triage, /</w:t>
      </w:r>
      <w:proofErr w:type="spellStart"/>
      <w:r>
        <w:rPr>
          <w:sz w:val="21"/>
          <w:szCs w:val="21"/>
        </w:rPr>
        <w:t>health</w:t>
      </w:r>
      <w:proofErr w:type="spellEnd"/>
      <w:r>
        <w:rPr>
          <w:sz w:val="21"/>
          <w:szCs w:val="21"/>
        </w:rPr>
        <w:t>) ;</w:t>
      </w:r>
    </w:p>
    <w:p w:rsidR="00A53A25" w:rsidRDefault="00000000">
      <w:pPr>
        <w:pStyle w:val="Paragraphedeliste"/>
        <w:numPr>
          <w:ilvl w:val="0"/>
          <w:numId w:val="2"/>
        </w:numPr>
        <w:spacing w:after="80" w:line="280" w:lineRule="auto"/>
      </w:pPr>
      <w:r>
        <w:rPr>
          <w:sz w:val="21"/>
          <w:szCs w:val="21"/>
        </w:rPr>
        <w:t xml:space="preserve">Docker — conteneurisation de la couche </w:t>
      </w:r>
      <w:proofErr w:type="spellStart"/>
      <w:r>
        <w:rPr>
          <w:sz w:val="21"/>
          <w:szCs w:val="21"/>
        </w:rPr>
        <w:t>FastAPI</w:t>
      </w:r>
      <w:proofErr w:type="spellEnd"/>
      <w:r>
        <w:rPr>
          <w:sz w:val="21"/>
          <w:szCs w:val="21"/>
        </w:rPr>
        <w:t xml:space="preserve">, avec </w:t>
      </w:r>
      <w:proofErr w:type="spellStart"/>
      <w:r>
        <w:rPr>
          <w:sz w:val="21"/>
          <w:szCs w:val="21"/>
        </w:rPr>
        <w:t>Dockerfile</w:t>
      </w:r>
      <w:proofErr w:type="spellEnd"/>
      <w:r>
        <w:rPr>
          <w:sz w:val="21"/>
          <w:szCs w:val="21"/>
        </w:rPr>
        <w:t xml:space="preserve">, requirements.txt et </w:t>
      </w:r>
      <w:proofErr w:type="spellStart"/>
      <w:r>
        <w:rPr>
          <w:sz w:val="21"/>
          <w:szCs w:val="21"/>
        </w:rPr>
        <w:t>healthcheck</w:t>
      </w:r>
      <w:proofErr w:type="spellEnd"/>
      <w:r>
        <w:rPr>
          <w:sz w:val="21"/>
          <w:szCs w:val="21"/>
        </w:rPr>
        <w:t xml:space="preserve"> intégré.</w:t>
      </w:r>
    </w:p>
    <w:p w:rsidR="00A53A25" w:rsidRDefault="00000000">
      <w:pPr>
        <w:spacing w:after="160" w:line="300" w:lineRule="auto"/>
      </w:pPr>
      <w:r>
        <w:rPr>
          <w:sz w:val="21"/>
          <w:szCs w:val="21"/>
        </w:rPr>
        <w:t xml:space="preserve">Environnement d'exécution du POC : GPU </w:t>
      </w:r>
      <w:proofErr w:type="spellStart"/>
      <w:r>
        <w:rPr>
          <w:sz w:val="21"/>
          <w:szCs w:val="21"/>
        </w:rPr>
        <w:t>Kaggle</w:t>
      </w:r>
      <w:proofErr w:type="spellEnd"/>
      <w:r>
        <w:rPr>
          <w:sz w:val="21"/>
          <w:szCs w:val="21"/>
        </w:rPr>
        <w:t xml:space="preserve"> (Tesla T4) pour </w:t>
      </w:r>
      <w:proofErr w:type="spellStart"/>
      <w:r>
        <w:rPr>
          <w:sz w:val="21"/>
          <w:szCs w:val="21"/>
        </w:rPr>
        <w:t>vLLM</w:t>
      </w:r>
      <w:proofErr w:type="spellEnd"/>
      <w:r>
        <w:rPr>
          <w:sz w:val="21"/>
          <w:szCs w:val="21"/>
        </w:rPr>
        <w:t xml:space="preserve"> ; conteneurisation et pipeline CI/CD validés en local (Docker + GitHub Actions) sur une image allégée, l'inférence GPU réelle n'étant pas exécutable sur l'environnement de développement local (absence de GPU CUDA).</w:t>
      </w:r>
    </w:p>
    <w:p w:rsidR="00A53A25" w:rsidRDefault="00000000">
      <w:pPr>
        <w:pStyle w:val="Titre2"/>
        <w:spacing w:before="300" w:after="150"/>
      </w:pPr>
      <w:r>
        <w:rPr>
          <w:b/>
          <w:bCs/>
        </w:rPr>
        <w:t>4.2 Traçabilité des interactions</w:t>
      </w:r>
    </w:p>
    <w:p w:rsidR="00A53A25" w:rsidRDefault="00000000">
      <w:pPr>
        <w:spacing w:after="160" w:line="300" w:lineRule="auto"/>
      </w:pPr>
      <w:r>
        <w:rPr>
          <w:sz w:val="21"/>
          <w:szCs w:val="21"/>
        </w:rPr>
        <w:t xml:space="preserve">Conformément à l'exigence de la mission, chaque appel à </w:t>
      </w:r>
      <w:proofErr w:type="spellStart"/>
      <w:r>
        <w:rPr>
          <w:sz w:val="21"/>
          <w:szCs w:val="21"/>
        </w:rPr>
        <w:t>l'endpoint</w:t>
      </w:r>
      <w:proofErr w:type="spellEnd"/>
      <w:r>
        <w:rPr>
          <w:sz w:val="21"/>
          <w:szCs w:val="21"/>
        </w:rPr>
        <w:t xml:space="preserve"> /triage est journalisé dans un fichier structuré (JSON Lines), incluant : identifiant unique d'interaction, horodatage, contexte patient, question, réponse générée, latence et modèle utilisé — permettant un audit a posteriori de chaque décision produite par l'agent.</w:t>
      </w:r>
    </w:p>
    <w:p w:rsidR="00F32A56" w:rsidRDefault="00F32A56" w:rsidP="00F32A56">
      <w:pPr>
        <w:pStyle w:val="Titre2"/>
      </w:pPr>
      <w:r>
        <w:rPr>
          <w:rStyle w:val="lev"/>
          <w:b w:val="0"/>
          <w:bCs w:val="0"/>
        </w:rPr>
        <w:t>4.</w:t>
      </w:r>
      <w:r>
        <w:rPr>
          <w:rStyle w:val="lev"/>
          <w:b w:val="0"/>
          <w:bCs w:val="0"/>
        </w:rPr>
        <w:t>3</w:t>
      </w:r>
      <w:r>
        <w:rPr>
          <w:rStyle w:val="lev"/>
          <w:b w:val="0"/>
          <w:bCs w:val="0"/>
        </w:rPr>
        <w:t xml:space="preserve"> Pipeline CI/CD</w:t>
      </w:r>
    </w:p>
    <w:p w:rsidR="00F32A56" w:rsidRDefault="00F32A56" w:rsidP="00F32A56">
      <w:pPr>
        <w:pStyle w:val="NormalWeb"/>
      </w:pPr>
      <w:r>
        <w:t xml:space="preserve">Un pipeline </w:t>
      </w:r>
      <w:r>
        <w:rPr>
          <w:rStyle w:val="lev"/>
        </w:rPr>
        <w:t>GitHub Actions</w:t>
      </w:r>
      <w:r>
        <w:t xml:space="preserve"> a été mis en place et déclenché automatiquement à chaque push sur la branche principale.</w:t>
      </w:r>
    </w:p>
    <w:p w:rsidR="00F32A56" w:rsidRDefault="00F32A56" w:rsidP="00F32A56">
      <w:pPr>
        <w:pStyle w:val="NormalWeb"/>
      </w:pPr>
      <w:r>
        <w:t xml:space="preserve">Le pipeline automatise l'ensemble du processus de déploiement : il construit l'image Docker, prépare les services nécessaires, lance l'environnement applicatif, vérifie la disponibilité de l'API via </w:t>
      </w:r>
      <w:proofErr w:type="spellStart"/>
      <w:r>
        <w:t>l'endpoint</w:t>
      </w:r>
      <w:proofErr w:type="spellEnd"/>
      <w:r>
        <w:t xml:space="preserve"> </w:t>
      </w:r>
      <w:r>
        <w:rPr>
          <w:rStyle w:val="CodeHTML"/>
        </w:rPr>
        <w:t>/</w:t>
      </w:r>
      <w:proofErr w:type="spellStart"/>
      <w:r>
        <w:rPr>
          <w:rStyle w:val="CodeHTML"/>
        </w:rPr>
        <w:t>health</w:t>
      </w:r>
      <w:proofErr w:type="spellEnd"/>
      <w:r>
        <w:t>, contrôle le bon fonctionnement des composants et nettoie l'environnement après exécution.</w:t>
      </w:r>
    </w:p>
    <w:p w:rsidR="00F32A56" w:rsidRDefault="00F32A56" w:rsidP="00F32A56">
      <w:pPr>
        <w:pStyle w:val="NormalWeb"/>
      </w:pPr>
      <w:r>
        <w:t xml:space="preserve">L'intégration de </w:t>
      </w:r>
      <w:r>
        <w:rPr>
          <w:rStyle w:val="lev"/>
        </w:rPr>
        <w:t>Docker Compose</w:t>
      </w:r>
      <w:r>
        <w:t xml:space="preserve"> permet d'orchestrer les services </w:t>
      </w:r>
      <w:proofErr w:type="spellStart"/>
      <w:r>
        <w:rPr>
          <w:rStyle w:val="lev"/>
        </w:rPr>
        <w:t>FastAPI</w:t>
      </w:r>
      <w:proofErr w:type="spellEnd"/>
      <w:r>
        <w:rPr>
          <w:rStyle w:val="lev"/>
        </w:rPr>
        <w:t xml:space="preserve"> et </w:t>
      </w:r>
      <w:proofErr w:type="spellStart"/>
      <w:r>
        <w:rPr>
          <w:rStyle w:val="lev"/>
        </w:rPr>
        <w:t>vLLM</w:t>
      </w:r>
      <w:proofErr w:type="spellEnd"/>
      <w:r>
        <w:t>, tandis que les variables d'environnement nécessaires (</w:t>
      </w:r>
      <w:r>
        <w:rPr>
          <w:rStyle w:val="CodeHTML"/>
        </w:rPr>
        <w:t>MODEL_NAME</w:t>
      </w:r>
      <w:r>
        <w:t xml:space="preserve">, </w:t>
      </w:r>
      <w:r>
        <w:rPr>
          <w:rStyle w:val="CodeHTML"/>
        </w:rPr>
        <w:t>HF_TOKEN</w:t>
      </w:r>
      <w:r>
        <w:t xml:space="preserve">, </w:t>
      </w:r>
      <w:r>
        <w:rPr>
          <w:rStyle w:val="CodeHTML"/>
        </w:rPr>
        <w:t>TRIAGE_API_KEY</w:t>
      </w:r>
      <w:r>
        <w:t>) sont injectées lors du déploiement sans être exposées dans le code source.</w:t>
      </w:r>
    </w:p>
    <w:p w:rsidR="00F32A56" w:rsidRDefault="00F32A56" w:rsidP="00F32A56">
      <w:pPr>
        <w:pStyle w:val="NormalWeb"/>
      </w:pPr>
      <w:r>
        <w:lastRenderedPageBreak/>
        <w:t xml:space="preserve">Ainsi, le pipeline CI/CD garantit un </w:t>
      </w:r>
      <w:r>
        <w:rPr>
          <w:rStyle w:val="lev"/>
        </w:rPr>
        <w:t>déploiement reproductible, automatisé et complet de l'architecture</w:t>
      </w:r>
      <w:r>
        <w:t>, depuis la construction de l'image jusqu'à la vérification du service déployé. Chaque modification intégrée sur la branche principale passe par ce processus, ce qui réduit les risques de régression et assure la cohérence de l'environnement de déploiement.</w:t>
      </w:r>
    </w:p>
    <w:p w:rsidR="00F32A56" w:rsidRDefault="00F32A56" w:rsidP="00F32A56">
      <w:pPr>
        <w:pStyle w:val="Titre3"/>
      </w:pPr>
      <w:r>
        <w:t>État final de l'infrastructure</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Authentification </w:t>
      </w:r>
      <w:r>
        <w:rPr>
          <w:rStyle w:val="CodeHTML"/>
        </w:rPr>
        <w:t>X-API-Key</w:t>
      </w:r>
      <w:r>
        <w:t xml:space="preserve">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Gestion des secrets </w:t>
      </w:r>
      <w:proofErr w:type="gramStart"/>
      <w:r>
        <w:t xml:space="preserve">via </w:t>
      </w:r>
      <w:r>
        <w:rPr>
          <w:rStyle w:val="CodeHTML"/>
        </w:rPr>
        <w:t>.</w:t>
      </w:r>
      <w:proofErr w:type="spellStart"/>
      <w:r>
        <w:rPr>
          <w:rStyle w:val="CodeHTML"/>
        </w:rPr>
        <w:t>env</w:t>
      </w:r>
      <w:proofErr w:type="spellEnd"/>
      <w:proofErr w:type="gramEnd"/>
      <w:r>
        <w:t xml:space="preserve"> </w:t>
      </w:r>
    </w:p>
    <w:p w:rsidR="00F32A56" w:rsidRDefault="00F32A56" w:rsidP="00F32A56">
      <w:pPr>
        <w:numPr>
          <w:ilvl w:val="0"/>
          <w:numId w:val="5"/>
        </w:numPr>
        <w:spacing w:before="100" w:beforeAutospacing="1" w:after="100" w:afterAutospacing="1"/>
      </w:pPr>
      <w:proofErr w:type="gramStart"/>
      <w:r>
        <w:rPr>
          <w:rFonts w:ascii="Apple Color Emoji" w:hAnsi="Apple Color Emoji" w:cs="Apple Color Emoji"/>
        </w:rPr>
        <w:t>✅</w:t>
      </w:r>
      <w:r>
        <w:t xml:space="preserve"> </w:t>
      </w:r>
      <w:r>
        <w:rPr>
          <w:rStyle w:val="CodeHTML"/>
        </w:rPr>
        <w:t>.</w:t>
      </w:r>
      <w:proofErr w:type="spellStart"/>
      <w:r>
        <w:rPr>
          <w:rStyle w:val="CodeHTML"/>
        </w:rPr>
        <w:t>env</w:t>
      </w:r>
      <w:proofErr w:type="spellEnd"/>
      <w:proofErr w:type="gramEnd"/>
      <w:r>
        <w:t xml:space="preserve"> exclu du dépôt Git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Logs structurés sans conservation inutile de données médicales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w:t>
      </w:r>
      <w:r>
        <w:rPr>
          <w:rStyle w:val="CodeHTML"/>
        </w:rPr>
        <w:t>requirements.txt</w:t>
      </w:r>
      <w:r>
        <w:t xml:space="preserve"> versionné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w:t>
      </w:r>
      <w:r>
        <w:rPr>
          <w:rStyle w:val="CodeHTML"/>
        </w:rPr>
        <w:t>requirements-training.txt</w:t>
      </w:r>
      <w:r>
        <w:t xml:space="preserve"> séparé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w:t>
      </w:r>
      <w:proofErr w:type="spellStart"/>
      <w:r>
        <w:t>Dockerfile</w:t>
      </w:r>
      <w:proofErr w:type="spellEnd"/>
      <w:r>
        <w:t xml:space="preserve">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Docker Compose </w:t>
      </w:r>
      <w:proofErr w:type="spellStart"/>
      <w:r>
        <w:rPr>
          <w:rStyle w:val="lev"/>
        </w:rPr>
        <w:t>FastAPI</w:t>
      </w:r>
      <w:proofErr w:type="spellEnd"/>
      <w:r>
        <w:rPr>
          <w:rStyle w:val="lev"/>
        </w:rPr>
        <w:t xml:space="preserve"> + </w:t>
      </w:r>
      <w:proofErr w:type="spellStart"/>
      <w:r>
        <w:rPr>
          <w:rStyle w:val="lev"/>
        </w:rPr>
        <w:t>vLLM</w:t>
      </w:r>
      <w:proofErr w:type="spellEnd"/>
      <w:r>
        <w:t xml:space="preserve"> </w:t>
      </w:r>
    </w:p>
    <w:p w:rsidR="00F32A56" w:rsidRPr="00F32A56" w:rsidRDefault="00F32A56" w:rsidP="00F32A56">
      <w:pPr>
        <w:numPr>
          <w:ilvl w:val="0"/>
          <w:numId w:val="5"/>
        </w:numPr>
        <w:spacing w:before="100" w:beforeAutospacing="1" w:after="100" w:afterAutospacing="1"/>
        <w:rPr>
          <w:lang w:val="en-US"/>
        </w:rPr>
      </w:pPr>
      <w:r w:rsidRPr="00F32A56">
        <w:rPr>
          <w:rFonts w:ascii="Apple Color Emoji" w:hAnsi="Apple Color Emoji" w:cs="Apple Color Emoji"/>
          <w:lang w:val="en-US"/>
        </w:rPr>
        <w:t>✅</w:t>
      </w:r>
      <w:r w:rsidRPr="00F32A56">
        <w:rPr>
          <w:lang w:val="en-US"/>
        </w:rPr>
        <w:t xml:space="preserve"> Variables </w:t>
      </w:r>
      <w:r w:rsidRPr="00F32A56">
        <w:rPr>
          <w:rStyle w:val="CodeHTML"/>
          <w:lang w:val="en-US"/>
        </w:rPr>
        <w:t>MODEL_NAME</w:t>
      </w:r>
      <w:r w:rsidRPr="00F32A56">
        <w:rPr>
          <w:lang w:val="en-US"/>
        </w:rPr>
        <w:t xml:space="preserve"> / </w:t>
      </w:r>
      <w:r w:rsidRPr="00F32A56">
        <w:rPr>
          <w:rStyle w:val="CodeHTML"/>
          <w:lang w:val="en-US"/>
        </w:rPr>
        <w:t>HF_TOKEN</w:t>
      </w:r>
      <w:r w:rsidRPr="00F32A56">
        <w:rPr>
          <w:lang w:val="en-US"/>
        </w:rPr>
        <w:t xml:space="preserve"> / </w:t>
      </w:r>
      <w:r w:rsidRPr="00F32A56">
        <w:rPr>
          <w:rStyle w:val="CodeHTML"/>
          <w:lang w:val="en-US"/>
        </w:rPr>
        <w:t>TRIAGE_API_KEY</w:t>
      </w:r>
      <w:r w:rsidRPr="00F32A56">
        <w:rPr>
          <w:lang w:val="en-US"/>
        </w:rPr>
        <w:t xml:space="preserve">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Pipeline GitHub Actions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Construction automatisée de l'image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Déploiement automatisé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w:t>
      </w:r>
      <w:proofErr w:type="spellStart"/>
      <w:r>
        <w:t>Healthcheck</w:t>
      </w:r>
      <w:proofErr w:type="spellEnd"/>
      <w:r>
        <w:t xml:space="preserve"> </w:t>
      </w:r>
      <w:r>
        <w:rPr>
          <w:rStyle w:val="CodeHTML"/>
        </w:rPr>
        <w:t>/</w:t>
      </w:r>
      <w:proofErr w:type="spellStart"/>
      <w:r>
        <w:rPr>
          <w:rStyle w:val="CodeHTML"/>
        </w:rPr>
        <w:t>health</w:t>
      </w:r>
      <w:proofErr w:type="spellEnd"/>
      <w:r>
        <w:t xml:space="preserve">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Vérification du service après déploiement </w:t>
      </w:r>
    </w:p>
    <w:p w:rsidR="00F32A56" w:rsidRDefault="00F32A56" w:rsidP="00F32A56">
      <w:pPr>
        <w:numPr>
          <w:ilvl w:val="0"/>
          <w:numId w:val="5"/>
        </w:numPr>
        <w:spacing w:before="100" w:beforeAutospacing="1" w:after="100" w:afterAutospacing="1"/>
      </w:pPr>
      <w:r>
        <w:rPr>
          <w:rFonts w:ascii="Apple Color Emoji" w:hAnsi="Apple Color Emoji" w:cs="Apple Color Emoji"/>
        </w:rPr>
        <w:t>✅</w:t>
      </w:r>
      <w:r>
        <w:t xml:space="preserve"> Nettoyage automatique de l'environnement </w:t>
      </w:r>
    </w:p>
    <w:p w:rsidR="00F32A56" w:rsidRDefault="00F32A56" w:rsidP="00F32A56">
      <w:pPr>
        <w:pStyle w:val="NormalWeb"/>
      </w:pPr>
      <w:r>
        <w:rPr>
          <w:rStyle w:val="lev"/>
        </w:rPr>
        <w:t>La chaîne de déploiement est ainsi considérée comme finalisée pour le POC.</w:t>
      </w:r>
    </w:p>
    <w:p w:rsidR="00F32A56" w:rsidRDefault="00F32A56">
      <w:pPr>
        <w:spacing w:after="160" w:line="300" w:lineRule="auto"/>
      </w:pPr>
    </w:p>
    <w:p w:rsidR="00A53A25" w:rsidRDefault="00000000">
      <w:pPr>
        <w:pStyle w:val="Titre1"/>
        <w:spacing w:before="400" w:after="200"/>
      </w:pPr>
      <w:r>
        <w:rPr>
          <w:b/>
          <w:bCs/>
          <w:color w:val="1F3864"/>
        </w:rPr>
        <w:t>5. Résultats et métriques de performance</w:t>
      </w:r>
    </w:p>
    <w:p w:rsidR="00A53A25" w:rsidRDefault="00000000">
      <w:pPr>
        <w:pStyle w:val="Titre2"/>
        <w:spacing w:before="300" w:after="150"/>
      </w:pPr>
      <w:r>
        <w:rPr>
          <w:b/>
          <w:bCs/>
        </w:rPr>
        <w:t>5.1 Tests de latence</w:t>
      </w:r>
    </w:p>
    <w:p w:rsidR="00A53A25" w:rsidRDefault="00000000">
      <w:pPr>
        <w:spacing w:after="160" w:line="300" w:lineRule="auto"/>
      </w:pPr>
      <w:r>
        <w:rPr>
          <w:sz w:val="21"/>
          <w:szCs w:val="21"/>
        </w:rPr>
        <w:t xml:space="preserve">Cinq requêtes représentatives (cas grave, cas bénin, traumatologie, pédiatrie, prompt minimal) ont été soumises à </w:t>
      </w:r>
      <w:proofErr w:type="spellStart"/>
      <w:r>
        <w:rPr>
          <w:sz w:val="21"/>
          <w:szCs w:val="21"/>
        </w:rPr>
        <w:t>l'endpoint</w:t>
      </w:r>
      <w:proofErr w:type="spellEnd"/>
      <w:r>
        <w:rPr>
          <w:sz w:val="21"/>
          <w:szCs w:val="21"/>
        </w:rPr>
        <w:t xml:space="preserve"> /triage en conditions quasi-réelles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300"/>
      </w:tblGrid>
      <w:tr w:rsidR="00A53A25">
        <w:trPr>
          <w:tblHeader/>
        </w:trPr>
        <w:tc>
          <w:tcPr>
            <w:tcW w:w="55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Métrique</w:t>
            </w:r>
          </w:p>
        </w:tc>
        <w:tc>
          <w:tcPr>
            <w:tcW w:w="43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Valeur</w:t>
            </w:r>
          </w:p>
        </w:tc>
      </w:tr>
      <w:tr w:rsidR="00A53A25">
        <w:tc>
          <w:tcPr>
            <w:tcW w:w="5500" w:type="dxa"/>
            <w:tcMar>
              <w:top w:w="100" w:type="dxa"/>
              <w:left w:w="120" w:type="dxa"/>
              <w:bottom w:w="100" w:type="dxa"/>
              <w:right w:w="120" w:type="dxa"/>
            </w:tcMar>
          </w:tcPr>
          <w:p w:rsidR="00A53A25" w:rsidRDefault="00000000">
            <w:r>
              <w:rPr>
                <w:color w:val="000000"/>
                <w:sz w:val="19"/>
                <w:szCs w:val="19"/>
              </w:rPr>
              <w:t>Requêtes testées</w:t>
            </w:r>
          </w:p>
        </w:tc>
        <w:tc>
          <w:tcPr>
            <w:tcW w:w="4300" w:type="dxa"/>
            <w:tcMar>
              <w:top w:w="100" w:type="dxa"/>
              <w:left w:w="120" w:type="dxa"/>
              <w:bottom w:w="100" w:type="dxa"/>
              <w:right w:w="120" w:type="dxa"/>
            </w:tcMar>
          </w:tcPr>
          <w:p w:rsidR="00A53A25" w:rsidRDefault="00000000">
            <w:pPr>
              <w:jc w:val="center"/>
            </w:pPr>
            <w:r>
              <w:rPr>
                <w:color w:val="000000"/>
                <w:sz w:val="19"/>
                <w:szCs w:val="19"/>
              </w:rPr>
              <w:t>5</w:t>
            </w:r>
          </w:p>
        </w:tc>
      </w:tr>
      <w:tr w:rsidR="00A53A25">
        <w:tc>
          <w:tcPr>
            <w:tcW w:w="5500" w:type="dxa"/>
            <w:shd w:val="clear" w:color="auto" w:fill="F2F2F2"/>
            <w:tcMar>
              <w:top w:w="100" w:type="dxa"/>
              <w:left w:w="120" w:type="dxa"/>
              <w:bottom w:w="100" w:type="dxa"/>
              <w:right w:w="120" w:type="dxa"/>
            </w:tcMar>
          </w:tcPr>
          <w:p w:rsidR="00A53A25" w:rsidRDefault="00000000">
            <w:r>
              <w:rPr>
                <w:color w:val="000000"/>
                <w:sz w:val="19"/>
                <w:szCs w:val="19"/>
              </w:rPr>
              <w:t>Taux de succès</w:t>
            </w:r>
          </w:p>
        </w:tc>
        <w:tc>
          <w:tcPr>
            <w:tcW w:w="4300" w:type="dxa"/>
            <w:shd w:val="clear" w:color="auto" w:fill="F2F2F2"/>
            <w:tcMar>
              <w:top w:w="100" w:type="dxa"/>
              <w:left w:w="120" w:type="dxa"/>
              <w:bottom w:w="100" w:type="dxa"/>
              <w:right w:w="120" w:type="dxa"/>
            </w:tcMar>
          </w:tcPr>
          <w:p w:rsidR="00A53A25" w:rsidRDefault="00000000">
            <w:pPr>
              <w:jc w:val="center"/>
            </w:pPr>
            <w:r>
              <w:rPr>
                <w:color w:val="000000"/>
                <w:sz w:val="19"/>
                <w:szCs w:val="19"/>
              </w:rPr>
              <w:t>100 % (5/5)</w:t>
            </w:r>
          </w:p>
        </w:tc>
      </w:tr>
      <w:tr w:rsidR="00A53A25">
        <w:tc>
          <w:tcPr>
            <w:tcW w:w="5500" w:type="dxa"/>
            <w:tcMar>
              <w:top w:w="100" w:type="dxa"/>
              <w:left w:w="120" w:type="dxa"/>
              <w:bottom w:w="100" w:type="dxa"/>
              <w:right w:w="120" w:type="dxa"/>
            </w:tcMar>
          </w:tcPr>
          <w:p w:rsidR="00A53A25" w:rsidRDefault="00000000">
            <w:r>
              <w:rPr>
                <w:color w:val="000000"/>
                <w:sz w:val="19"/>
                <w:szCs w:val="19"/>
              </w:rPr>
              <w:t>Latence moyenne</w:t>
            </w:r>
          </w:p>
        </w:tc>
        <w:tc>
          <w:tcPr>
            <w:tcW w:w="4300" w:type="dxa"/>
            <w:tcMar>
              <w:top w:w="100" w:type="dxa"/>
              <w:left w:w="120" w:type="dxa"/>
              <w:bottom w:w="100" w:type="dxa"/>
              <w:right w:w="120" w:type="dxa"/>
            </w:tcMar>
          </w:tcPr>
          <w:p w:rsidR="00A53A25" w:rsidRDefault="00000000">
            <w:pPr>
              <w:jc w:val="center"/>
            </w:pPr>
            <w:r>
              <w:rPr>
                <w:color w:val="000000"/>
                <w:sz w:val="19"/>
                <w:szCs w:val="19"/>
              </w:rPr>
              <w:t>2,41 s</w:t>
            </w:r>
          </w:p>
        </w:tc>
      </w:tr>
      <w:tr w:rsidR="00A53A25">
        <w:tc>
          <w:tcPr>
            <w:tcW w:w="5500" w:type="dxa"/>
            <w:shd w:val="clear" w:color="auto" w:fill="F2F2F2"/>
            <w:tcMar>
              <w:top w:w="100" w:type="dxa"/>
              <w:left w:w="120" w:type="dxa"/>
              <w:bottom w:w="100" w:type="dxa"/>
              <w:right w:w="120" w:type="dxa"/>
            </w:tcMar>
          </w:tcPr>
          <w:p w:rsidR="00A53A25" w:rsidRDefault="00000000">
            <w:r>
              <w:rPr>
                <w:color w:val="000000"/>
                <w:sz w:val="19"/>
                <w:szCs w:val="19"/>
              </w:rPr>
              <w:t>Latence médiane</w:t>
            </w:r>
          </w:p>
        </w:tc>
        <w:tc>
          <w:tcPr>
            <w:tcW w:w="4300" w:type="dxa"/>
            <w:shd w:val="clear" w:color="auto" w:fill="F2F2F2"/>
            <w:tcMar>
              <w:top w:w="100" w:type="dxa"/>
              <w:left w:w="120" w:type="dxa"/>
              <w:bottom w:w="100" w:type="dxa"/>
              <w:right w:w="120" w:type="dxa"/>
            </w:tcMar>
          </w:tcPr>
          <w:p w:rsidR="00A53A25" w:rsidRDefault="00000000">
            <w:pPr>
              <w:jc w:val="center"/>
            </w:pPr>
            <w:r>
              <w:rPr>
                <w:color w:val="000000"/>
                <w:sz w:val="19"/>
                <w:szCs w:val="19"/>
              </w:rPr>
              <w:t>2,41 s</w:t>
            </w:r>
          </w:p>
        </w:tc>
      </w:tr>
      <w:tr w:rsidR="00A53A25">
        <w:tc>
          <w:tcPr>
            <w:tcW w:w="5500" w:type="dxa"/>
            <w:tcMar>
              <w:top w:w="100" w:type="dxa"/>
              <w:left w:w="120" w:type="dxa"/>
              <w:bottom w:w="100" w:type="dxa"/>
              <w:right w:w="120" w:type="dxa"/>
            </w:tcMar>
          </w:tcPr>
          <w:p w:rsidR="00A53A25" w:rsidRDefault="00000000">
            <w:r>
              <w:rPr>
                <w:color w:val="000000"/>
                <w:sz w:val="19"/>
                <w:szCs w:val="19"/>
              </w:rPr>
              <w:t>Latence minimale</w:t>
            </w:r>
          </w:p>
        </w:tc>
        <w:tc>
          <w:tcPr>
            <w:tcW w:w="4300" w:type="dxa"/>
            <w:tcMar>
              <w:top w:w="100" w:type="dxa"/>
              <w:left w:w="120" w:type="dxa"/>
              <w:bottom w:w="100" w:type="dxa"/>
              <w:right w:w="120" w:type="dxa"/>
            </w:tcMar>
          </w:tcPr>
          <w:p w:rsidR="00A53A25" w:rsidRDefault="00000000">
            <w:pPr>
              <w:jc w:val="center"/>
            </w:pPr>
            <w:r>
              <w:rPr>
                <w:color w:val="000000"/>
                <w:sz w:val="19"/>
                <w:szCs w:val="19"/>
              </w:rPr>
              <w:t>2,34 s</w:t>
            </w:r>
          </w:p>
        </w:tc>
      </w:tr>
      <w:tr w:rsidR="00A53A25">
        <w:tc>
          <w:tcPr>
            <w:tcW w:w="5500" w:type="dxa"/>
            <w:shd w:val="clear" w:color="auto" w:fill="F2F2F2"/>
            <w:tcMar>
              <w:top w:w="100" w:type="dxa"/>
              <w:left w:w="120" w:type="dxa"/>
              <w:bottom w:w="100" w:type="dxa"/>
              <w:right w:w="120" w:type="dxa"/>
            </w:tcMar>
          </w:tcPr>
          <w:p w:rsidR="00A53A25" w:rsidRDefault="00000000">
            <w:r>
              <w:rPr>
                <w:color w:val="000000"/>
                <w:sz w:val="19"/>
                <w:szCs w:val="19"/>
              </w:rPr>
              <w:t>Latence maximale</w:t>
            </w:r>
          </w:p>
        </w:tc>
        <w:tc>
          <w:tcPr>
            <w:tcW w:w="4300" w:type="dxa"/>
            <w:shd w:val="clear" w:color="auto" w:fill="F2F2F2"/>
            <w:tcMar>
              <w:top w:w="100" w:type="dxa"/>
              <w:left w:w="120" w:type="dxa"/>
              <w:bottom w:w="100" w:type="dxa"/>
              <w:right w:w="120" w:type="dxa"/>
            </w:tcMar>
          </w:tcPr>
          <w:p w:rsidR="00A53A25" w:rsidRDefault="00000000">
            <w:pPr>
              <w:jc w:val="center"/>
            </w:pPr>
            <w:r>
              <w:rPr>
                <w:color w:val="000000"/>
                <w:sz w:val="19"/>
                <w:szCs w:val="19"/>
              </w:rPr>
              <w:t>2,47 s</w:t>
            </w:r>
          </w:p>
        </w:tc>
      </w:tr>
    </w:tbl>
    <w:p w:rsidR="00A53A25" w:rsidRDefault="00000000">
      <w:pPr>
        <w:spacing w:before="60" w:after="240"/>
      </w:pPr>
      <w:r>
        <w:rPr>
          <w:i/>
          <w:iCs/>
          <w:color w:val="595959"/>
          <w:sz w:val="18"/>
          <w:szCs w:val="18"/>
        </w:rPr>
        <w:t>Tableau 5 — Statistiques de latence sur GPU Tesla T4 (</w:t>
      </w:r>
      <w:proofErr w:type="spellStart"/>
      <w:r>
        <w:rPr>
          <w:i/>
          <w:iCs/>
          <w:color w:val="595959"/>
          <w:sz w:val="18"/>
          <w:szCs w:val="18"/>
        </w:rPr>
        <w:t>Kaggle</w:t>
      </w:r>
      <w:proofErr w:type="spellEnd"/>
      <w:r>
        <w:rPr>
          <w:i/>
          <w:iCs/>
          <w:color w:val="595959"/>
          <w:sz w:val="18"/>
          <w:szCs w:val="18"/>
        </w:rPr>
        <w:t>).</w:t>
      </w:r>
    </w:p>
    <w:p w:rsidR="00A53A25" w:rsidRDefault="00000000">
      <w:pPr>
        <w:spacing w:after="160" w:line="300" w:lineRule="auto"/>
      </w:pPr>
      <w:r>
        <w:rPr>
          <w:sz w:val="21"/>
          <w:szCs w:val="21"/>
        </w:rPr>
        <w:t>La latence est stable et prévisible (écart de 130 ms entre min et max), compatible avec un usage interactif en environnement pilote.</w:t>
      </w:r>
    </w:p>
    <w:p w:rsidR="00A53A25" w:rsidRDefault="00000000">
      <w:pPr>
        <w:pStyle w:val="Titre2"/>
        <w:spacing w:before="300" w:after="150"/>
      </w:pPr>
      <w:r>
        <w:rPr>
          <w:b/>
          <w:bCs/>
        </w:rPr>
        <w:t>5.2 Tests de robustesse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4400"/>
      </w:tblGrid>
      <w:tr w:rsidR="00A53A25">
        <w:trPr>
          <w:tblHeader/>
        </w:trPr>
        <w:tc>
          <w:tcPr>
            <w:tcW w:w="36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lastRenderedPageBreak/>
              <w:t>Scénario testé</w:t>
            </w:r>
          </w:p>
        </w:tc>
        <w:tc>
          <w:tcPr>
            <w:tcW w:w="18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Code retour</w:t>
            </w:r>
          </w:p>
        </w:tc>
        <w:tc>
          <w:tcPr>
            <w:tcW w:w="4400" w:type="dxa"/>
            <w:shd w:val="clear" w:color="auto" w:fill="2E74B5"/>
            <w:tcMar>
              <w:top w:w="100" w:type="dxa"/>
              <w:left w:w="120" w:type="dxa"/>
              <w:bottom w:w="100" w:type="dxa"/>
              <w:right w:w="120" w:type="dxa"/>
            </w:tcMar>
          </w:tcPr>
          <w:p w:rsidR="00A53A25" w:rsidRDefault="00000000">
            <w:pPr>
              <w:jc w:val="center"/>
            </w:pPr>
            <w:r>
              <w:rPr>
                <w:b/>
                <w:bCs/>
                <w:color w:val="FFFFFF"/>
                <w:sz w:val="19"/>
                <w:szCs w:val="19"/>
              </w:rPr>
              <w:t>Interprétation</w:t>
            </w:r>
          </w:p>
        </w:tc>
      </w:tr>
      <w:tr w:rsidR="00A53A25">
        <w:tc>
          <w:tcPr>
            <w:tcW w:w="3600" w:type="dxa"/>
            <w:tcMar>
              <w:top w:w="100" w:type="dxa"/>
              <w:left w:w="120" w:type="dxa"/>
              <w:bottom w:w="100" w:type="dxa"/>
              <w:right w:w="120" w:type="dxa"/>
            </w:tcMar>
          </w:tcPr>
          <w:p w:rsidR="00A53A25" w:rsidRDefault="00000000">
            <w:r>
              <w:rPr>
                <w:color w:val="000000"/>
                <w:sz w:val="19"/>
                <w:szCs w:val="19"/>
              </w:rPr>
              <w:t>Champ requis manquant</w:t>
            </w:r>
          </w:p>
        </w:tc>
        <w:tc>
          <w:tcPr>
            <w:tcW w:w="1800" w:type="dxa"/>
            <w:tcMar>
              <w:top w:w="100" w:type="dxa"/>
              <w:left w:w="120" w:type="dxa"/>
              <w:bottom w:w="100" w:type="dxa"/>
              <w:right w:w="120" w:type="dxa"/>
            </w:tcMar>
          </w:tcPr>
          <w:p w:rsidR="00A53A25" w:rsidRDefault="00000000">
            <w:pPr>
              <w:jc w:val="center"/>
            </w:pPr>
            <w:r>
              <w:rPr>
                <w:color w:val="000000"/>
                <w:sz w:val="19"/>
                <w:szCs w:val="19"/>
              </w:rPr>
              <w:t>422</w:t>
            </w:r>
          </w:p>
        </w:tc>
        <w:tc>
          <w:tcPr>
            <w:tcW w:w="4400" w:type="dxa"/>
            <w:tcMar>
              <w:top w:w="100" w:type="dxa"/>
              <w:left w:w="120" w:type="dxa"/>
              <w:bottom w:w="100" w:type="dxa"/>
              <w:right w:w="120" w:type="dxa"/>
            </w:tcMar>
          </w:tcPr>
          <w:p w:rsidR="00A53A25" w:rsidRDefault="00000000">
            <w:pPr>
              <w:jc w:val="center"/>
            </w:pPr>
            <w:r>
              <w:rPr>
                <w:color w:val="000000"/>
                <w:sz w:val="19"/>
                <w:szCs w:val="19"/>
              </w:rPr>
              <w:t xml:space="preserve">Validation </w:t>
            </w:r>
            <w:proofErr w:type="spellStart"/>
            <w:r>
              <w:rPr>
                <w:color w:val="000000"/>
                <w:sz w:val="19"/>
                <w:szCs w:val="19"/>
              </w:rPr>
              <w:t>Pydantic</w:t>
            </w:r>
            <w:proofErr w:type="spellEnd"/>
            <w:r>
              <w:rPr>
                <w:color w:val="000000"/>
                <w:sz w:val="19"/>
                <w:szCs w:val="19"/>
              </w:rPr>
              <w:t xml:space="preserve"> correcte, erreur explicite</w:t>
            </w:r>
          </w:p>
        </w:tc>
      </w:tr>
      <w:tr w:rsidR="00A53A25">
        <w:tc>
          <w:tcPr>
            <w:tcW w:w="3600" w:type="dxa"/>
            <w:shd w:val="clear" w:color="auto" w:fill="F2F2F2"/>
            <w:tcMar>
              <w:top w:w="100" w:type="dxa"/>
              <w:left w:w="120" w:type="dxa"/>
              <w:bottom w:w="100" w:type="dxa"/>
              <w:right w:w="120" w:type="dxa"/>
            </w:tcMar>
          </w:tcPr>
          <w:p w:rsidR="00A53A25" w:rsidRDefault="00000000">
            <w:r>
              <w:rPr>
                <w:color w:val="000000"/>
                <w:sz w:val="19"/>
                <w:szCs w:val="19"/>
              </w:rPr>
              <w:t>Champs vides acceptés</w:t>
            </w:r>
          </w:p>
        </w:tc>
        <w:tc>
          <w:tcPr>
            <w:tcW w:w="1800" w:type="dxa"/>
            <w:shd w:val="clear" w:color="auto" w:fill="F2F2F2"/>
            <w:tcMar>
              <w:top w:w="100" w:type="dxa"/>
              <w:left w:w="120" w:type="dxa"/>
              <w:bottom w:w="100" w:type="dxa"/>
              <w:right w:w="120" w:type="dxa"/>
            </w:tcMar>
          </w:tcPr>
          <w:p w:rsidR="00A53A25" w:rsidRDefault="00000000">
            <w:pPr>
              <w:jc w:val="center"/>
            </w:pPr>
            <w:r>
              <w:rPr>
                <w:color w:val="000000"/>
                <w:sz w:val="19"/>
                <w:szCs w:val="19"/>
              </w:rPr>
              <w:t>200</w:t>
            </w:r>
          </w:p>
        </w:tc>
        <w:tc>
          <w:tcPr>
            <w:tcW w:w="4400" w:type="dxa"/>
            <w:shd w:val="clear" w:color="auto" w:fill="F2F2F2"/>
            <w:tcMar>
              <w:top w:w="100" w:type="dxa"/>
              <w:left w:w="120" w:type="dxa"/>
              <w:bottom w:w="100" w:type="dxa"/>
              <w:right w:w="120" w:type="dxa"/>
            </w:tcMar>
          </w:tcPr>
          <w:p w:rsidR="00A53A25" w:rsidRDefault="00000000">
            <w:pPr>
              <w:jc w:val="center"/>
            </w:pPr>
            <w:r>
              <w:rPr>
                <w:color w:val="000000"/>
                <w:sz w:val="19"/>
                <w:szCs w:val="19"/>
              </w:rPr>
              <w:t>Aucune validation métier — traité comme une requête normale</w:t>
            </w:r>
          </w:p>
        </w:tc>
      </w:tr>
      <w:tr w:rsidR="00A53A25">
        <w:tc>
          <w:tcPr>
            <w:tcW w:w="3600" w:type="dxa"/>
            <w:tcMar>
              <w:top w:w="100" w:type="dxa"/>
              <w:left w:w="120" w:type="dxa"/>
              <w:bottom w:w="100" w:type="dxa"/>
              <w:right w:w="120" w:type="dxa"/>
            </w:tcMar>
          </w:tcPr>
          <w:p w:rsidR="00A53A25" w:rsidRDefault="00000000">
            <w:r>
              <w:rPr>
                <w:color w:val="000000"/>
                <w:sz w:val="19"/>
                <w:szCs w:val="19"/>
              </w:rPr>
              <w:t xml:space="preserve">Contexte très long (&gt;2048 </w:t>
            </w:r>
            <w:proofErr w:type="spellStart"/>
            <w:r>
              <w:rPr>
                <w:color w:val="000000"/>
                <w:sz w:val="19"/>
                <w:szCs w:val="19"/>
              </w:rPr>
              <w:t>tokens</w:t>
            </w:r>
            <w:proofErr w:type="spellEnd"/>
            <w:r>
              <w:rPr>
                <w:color w:val="000000"/>
                <w:sz w:val="19"/>
                <w:szCs w:val="19"/>
              </w:rPr>
              <w:t>)</w:t>
            </w:r>
          </w:p>
        </w:tc>
        <w:tc>
          <w:tcPr>
            <w:tcW w:w="1800" w:type="dxa"/>
            <w:tcMar>
              <w:top w:w="100" w:type="dxa"/>
              <w:left w:w="120" w:type="dxa"/>
              <w:bottom w:w="100" w:type="dxa"/>
              <w:right w:w="120" w:type="dxa"/>
            </w:tcMar>
          </w:tcPr>
          <w:p w:rsidR="00A53A25" w:rsidRDefault="00000000">
            <w:pPr>
              <w:jc w:val="center"/>
            </w:pPr>
            <w:r>
              <w:rPr>
                <w:color w:val="000000"/>
                <w:sz w:val="19"/>
                <w:szCs w:val="19"/>
              </w:rPr>
              <w:t>502</w:t>
            </w:r>
          </w:p>
        </w:tc>
        <w:tc>
          <w:tcPr>
            <w:tcW w:w="4400" w:type="dxa"/>
            <w:tcMar>
              <w:top w:w="100" w:type="dxa"/>
              <w:left w:w="120" w:type="dxa"/>
              <w:bottom w:w="100" w:type="dxa"/>
              <w:right w:w="120" w:type="dxa"/>
            </w:tcMar>
          </w:tcPr>
          <w:p w:rsidR="00A53A25" w:rsidRDefault="00000000">
            <w:pPr>
              <w:jc w:val="center"/>
            </w:pPr>
            <w:r>
              <w:rPr>
                <w:color w:val="000000"/>
                <w:sz w:val="19"/>
                <w:szCs w:val="19"/>
              </w:rPr>
              <w:t>Échec propre (pas de crash) mais pas de dégradation gracieuse</w:t>
            </w:r>
          </w:p>
        </w:tc>
      </w:tr>
    </w:tbl>
    <w:p w:rsidR="00A53A25" w:rsidRDefault="00000000">
      <w:pPr>
        <w:spacing w:before="60" w:after="240"/>
      </w:pPr>
      <w:r>
        <w:rPr>
          <w:i/>
          <w:iCs/>
          <w:color w:val="595959"/>
          <w:sz w:val="18"/>
          <w:szCs w:val="18"/>
        </w:rPr>
        <w:t xml:space="preserve">Tableau 6 — Résultats des tests de robustesse sur </w:t>
      </w:r>
      <w:proofErr w:type="spellStart"/>
      <w:r>
        <w:rPr>
          <w:i/>
          <w:iCs/>
          <w:color w:val="595959"/>
          <w:sz w:val="18"/>
          <w:szCs w:val="18"/>
        </w:rPr>
        <w:t>l'endpoint</w:t>
      </w:r>
      <w:proofErr w:type="spellEnd"/>
      <w:r>
        <w:rPr>
          <w:i/>
          <w:iCs/>
          <w:color w:val="595959"/>
          <w:sz w:val="18"/>
          <w:szCs w:val="18"/>
        </w:rPr>
        <w:t xml:space="preserve"> /triage.</w:t>
      </w:r>
    </w:p>
    <w:p w:rsidR="00A53A25" w:rsidRDefault="00000000">
      <w:pPr>
        <w:pStyle w:val="Titre2"/>
        <w:spacing w:before="300" w:after="150"/>
      </w:pPr>
      <w:r>
        <w:rPr>
          <w:b/>
          <w:bCs/>
        </w:rPr>
        <w:t>5.3 Exemples qualitatifs</w:t>
      </w:r>
    </w:p>
    <w:p w:rsidR="00A53A25" w:rsidRDefault="00000000">
      <w:pPr>
        <w:pStyle w:val="Titre3"/>
        <w:spacing w:before="200" w:after="100"/>
      </w:pPr>
      <w:r>
        <w:rPr>
          <w:b/>
          <w:bCs/>
          <w:color w:val="595959"/>
          <w:sz w:val="22"/>
          <w:szCs w:val="22"/>
        </w:rPr>
        <w:t>Cas 1 — BPCO décompensée (urgence attendue)</w:t>
      </w:r>
    </w:p>
    <w:p w:rsidR="00A53A25" w:rsidRDefault="00000000">
      <w:pPr>
        <w:spacing w:after="160" w:line="300" w:lineRule="auto"/>
      </w:pPr>
      <w:r>
        <w:rPr>
          <w:i/>
          <w:iCs/>
          <w:color w:val="595959"/>
          <w:sz w:val="21"/>
          <w:szCs w:val="21"/>
        </w:rPr>
        <w:t>« [Niveau de priorité estimé : Urgence maximale] Justification : Le contexte d'urgence maximal s'applique ici car il existe un risque grave et imminent qui nécessite immédiate intervention médicale intensive (IMI)… » — Réponse cohérente sur le fond, avec toutefois un artefact d'anonymisation résiduel (tag &lt;PERSON&gt;) et une légère dérive terminologique (« syndrome cardio-pulmonaire aigu sévère », non standard).</w:t>
      </w:r>
    </w:p>
    <w:p w:rsidR="00A53A25" w:rsidRDefault="00000000">
      <w:pPr>
        <w:pStyle w:val="Titre3"/>
        <w:spacing w:before="200" w:after="100"/>
      </w:pPr>
      <w:r>
        <w:rPr>
          <w:b/>
          <w:bCs/>
          <w:color w:val="595959"/>
          <w:sz w:val="22"/>
          <w:szCs w:val="22"/>
        </w:rPr>
        <w:t>Cas 2 — Lésion cutanée bénigne (différée attendue)</w:t>
      </w:r>
    </w:p>
    <w:p w:rsidR="00A53A25" w:rsidRDefault="00000000">
      <w:pPr>
        <w:spacing w:after="160" w:line="300" w:lineRule="auto"/>
      </w:pPr>
      <w:r>
        <w:rPr>
          <w:i/>
          <w:iCs/>
          <w:color w:val="595959"/>
          <w:sz w:val="21"/>
          <w:szCs w:val="21"/>
        </w:rPr>
        <w:t>Le modèle a classé ce cas en « urgence maximale » et justifié sa décision en invoquant une suspicion d'insuffisance rénale aiguë et d'infection tuberculeuse — éléments absents de l'énoncé fourni. Cet exemple illustre concrètement la limite de fiabilité du signal de priorité (section 6).</w:t>
      </w:r>
    </w:p>
    <w:p w:rsidR="00A53A25" w:rsidRDefault="00000000">
      <w:pPr>
        <w:pStyle w:val="Titre1"/>
        <w:spacing w:before="400" w:after="200"/>
      </w:pPr>
      <w:r>
        <w:rPr>
          <w:b/>
          <w:bCs/>
          <w:color w:val="1F3864"/>
        </w:rPr>
        <w:t>6. Limites identifiées</w:t>
      </w:r>
    </w:p>
    <w:p w:rsidR="00A53A25" w:rsidRDefault="00000000">
      <w:pPr>
        <w:pStyle w:val="Titre2"/>
        <w:spacing w:before="300" w:after="150"/>
      </w:pPr>
      <w:r>
        <w:rPr>
          <w:b/>
          <w:bCs/>
        </w:rPr>
        <w:t>6.1 Fiabilité du signal de priorité</w:t>
      </w:r>
    </w:p>
    <w:p w:rsidR="00A53A25" w:rsidRDefault="00000000">
      <w:pPr>
        <w:spacing w:after="160" w:line="300" w:lineRule="auto"/>
      </w:pPr>
      <w:r>
        <w:rPr>
          <w:sz w:val="21"/>
          <w:szCs w:val="21"/>
        </w:rPr>
        <w:t xml:space="preserve">Le biais le plus significatif : le modèle tend à </w:t>
      </w:r>
      <w:proofErr w:type="spellStart"/>
      <w:r>
        <w:rPr>
          <w:sz w:val="21"/>
          <w:szCs w:val="21"/>
        </w:rPr>
        <w:t>sur-classer</w:t>
      </w:r>
      <w:proofErr w:type="spellEnd"/>
      <w:r>
        <w:rPr>
          <w:sz w:val="21"/>
          <w:szCs w:val="21"/>
        </w:rPr>
        <w:t xml:space="preserve"> systématiquement les cas en « urgence maximale », y compris pour des présentations cliniques manifestement bénignes. Cette limite était anticipée dès la conception méthodologique (section 2.2) : avec seulement 214 exemples annotés sur 5 227 (4 % du corpus), le signal de priorité n'a pas disposé d'un volume suffisant pour être appris de façon fiable et généralisable — le modèle a davantage retenu le biais de la classe majoritaire de l'échantillon annoté que le véritable critère clinique discriminant.</w:t>
      </w:r>
    </w:p>
    <w:p w:rsidR="00A53A25" w:rsidRDefault="00000000">
      <w:pPr>
        <w:pStyle w:val="Titre2"/>
        <w:spacing w:before="300" w:after="150"/>
      </w:pPr>
      <w:r>
        <w:rPr>
          <w:b/>
          <w:bCs/>
        </w:rPr>
        <w:t>6.2 Hallucinations factuelles</w:t>
      </w:r>
    </w:p>
    <w:p w:rsidR="00A53A25" w:rsidRDefault="00000000">
      <w:pPr>
        <w:spacing w:after="160" w:line="300" w:lineRule="auto"/>
      </w:pPr>
      <w:r>
        <w:rPr>
          <w:sz w:val="21"/>
          <w:szCs w:val="21"/>
        </w:rPr>
        <w:t xml:space="preserve">Sur plusieurs cas testés, le modèle a produit des justifications cliniques invoquant des symptômes, antécédents ou </w:t>
      </w:r>
      <w:proofErr w:type="gramStart"/>
      <w:r>
        <w:rPr>
          <w:sz w:val="21"/>
          <w:szCs w:val="21"/>
        </w:rPr>
        <w:t>complications non mentionnés</w:t>
      </w:r>
      <w:proofErr w:type="gramEnd"/>
      <w:r>
        <w:rPr>
          <w:sz w:val="21"/>
          <w:szCs w:val="21"/>
        </w:rPr>
        <w:t xml:space="preserve"> dans le cas clinique fourni. Ce comportement, inhérent aux modèles de langage de cette taille sans mécanisme de vérification factuelle externe, constitue un risque clinique majeur si le système était utilisé sans supervision humaine.</w:t>
      </w:r>
    </w:p>
    <w:p w:rsidR="00A53A25" w:rsidRDefault="00000000">
      <w:pPr>
        <w:pStyle w:val="Titre2"/>
        <w:spacing w:before="300" w:after="150"/>
      </w:pPr>
      <w:r>
        <w:rPr>
          <w:b/>
          <w:bCs/>
        </w:rPr>
        <w:t>6.3 Autres limites techniques</w:t>
      </w:r>
    </w:p>
    <w:p w:rsidR="00A53A25" w:rsidRDefault="00000000">
      <w:pPr>
        <w:pStyle w:val="Paragraphedeliste"/>
        <w:numPr>
          <w:ilvl w:val="0"/>
          <w:numId w:val="2"/>
        </w:numPr>
        <w:spacing w:after="80" w:line="280" w:lineRule="auto"/>
      </w:pPr>
      <w:r>
        <w:rPr>
          <w:sz w:val="21"/>
          <w:szCs w:val="21"/>
        </w:rPr>
        <w:t xml:space="preserve">Gestion sans dégradation gracieuse des contextes patients dépassant la fenêtre de contexte du modèle (2048 </w:t>
      </w:r>
      <w:proofErr w:type="spellStart"/>
      <w:r>
        <w:rPr>
          <w:sz w:val="21"/>
          <w:szCs w:val="21"/>
        </w:rPr>
        <w:t>tokens</w:t>
      </w:r>
      <w:proofErr w:type="spellEnd"/>
      <w:r>
        <w:rPr>
          <w:sz w:val="21"/>
          <w:szCs w:val="21"/>
        </w:rPr>
        <w:t>) ;</w:t>
      </w:r>
    </w:p>
    <w:p w:rsidR="00A53A25" w:rsidRDefault="00000000">
      <w:pPr>
        <w:pStyle w:val="Paragraphedeliste"/>
        <w:numPr>
          <w:ilvl w:val="0"/>
          <w:numId w:val="2"/>
        </w:numPr>
        <w:spacing w:after="80" w:line="280" w:lineRule="auto"/>
      </w:pPr>
      <w:r>
        <w:rPr>
          <w:sz w:val="21"/>
          <w:szCs w:val="21"/>
        </w:rPr>
        <w:t>Anonymisation RGPD avec faux positifs résiduels sur du vocabulaire médical rare.</w:t>
      </w:r>
    </w:p>
    <w:p w:rsidR="00A53A25" w:rsidRDefault="00000000">
      <w:pPr>
        <w:pStyle w:val="Titre1"/>
        <w:spacing w:before="400" w:after="200"/>
      </w:pPr>
      <w:r>
        <w:rPr>
          <w:b/>
          <w:bCs/>
          <w:color w:val="1F3864"/>
        </w:rPr>
        <w:t>7. Checklist Go / No-Go</w:t>
      </w:r>
    </w:p>
    <w:p w:rsidR="00A53A25" w:rsidRDefault="00000000">
      <w:pPr>
        <w:spacing w:after="160" w:line="300" w:lineRule="auto"/>
      </w:pPr>
      <w:r>
        <w:rPr>
          <w:sz w:val="21"/>
          <w:szCs w:val="21"/>
        </w:rPr>
        <w:lastRenderedPageBreak/>
        <w:t>Cette checklist synthétise l'aptitude du système à un déploiement en conditions réelles, sur les plans technique et clinique.</w:t>
      </w:r>
    </w:p>
    <w:p w:rsidR="00A53A25" w:rsidRDefault="00000000">
      <w:pPr>
        <w:pStyle w:val="Titre2"/>
        <w:spacing w:before="300" w:after="150"/>
      </w:pPr>
      <w:r>
        <w:rPr>
          <w:b/>
          <w:bCs/>
        </w:rPr>
        <w:t>7.1 Critères techniques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800"/>
      </w:tblGrid>
      <w:tr w:rsidR="00A53A25" w:rsidTr="00B706A5">
        <w:trPr>
          <w:tblHeader/>
        </w:trPr>
        <w:tc>
          <w:tcPr>
            <w:tcW w:w="3000" w:type="dxa"/>
            <w:shd w:val="clear" w:color="auto" w:fill="1F3864"/>
            <w:tcMar>
              <w:top w:w="100" w:type="dxa"/>
              <w:left w:w="120" w:type="dxa"/>
              <w:bottom w:w="100" w:type="dxa"/>
              <w:right w:w="120" w:type="dxa"/>
            </w:tcMar>
          </w:tcPr>
          <w:p w:rsidR="00A53A25" w:rsidRDefault="00000000">
            <w:r>
              <w:rPr>
                <w:b/>
                <w:bCs/>
                <w:color w:val="FFFFFF"/>
                <w:sz w:val="19"/>
                <w:szCs w:val="19"/>
              </w:rPr>
              <w:t>Critère</w:t>
            </w:r>
          </w:p>
        </w:tc>
        <w:tc>
          <w:tcPr>
            <w:tcW w:w="2000" w:type="dxa"/>
            <w:shd w:val="clear" w:color="auto" w:fill="1F3864"/>
            <w:tcMar>
              <w:top w:w="100" w:type="dxa"/>
              <w:left w:w="120" w:type="dxa"/>
              <w:bottom w:w="100" w:type="dxa"/>
              <w:right w:w="120" w:type="dxa"/>
            </w:tcMar>
          </w:tcPr>
          <w:p w:rsidR="00A53A25" w:rsidRDefault="00000000">
            <w:pPr>
              <w:jc w:val="center"/>
            </w:pPr>
            <w:r>
              <w:rPr>
                <w:b/>
                <w:bCs/>
                <w:color w:val="FFFFFF"/>
                <w:sz w:val="19"/>
                <w:szCs w:val="19"/>
              </w:rPr>
              <w:t>Statut</w:t>
            </w:r>
          </w:p>
        </w:tc>
        <w:tc>
          <w:tcPr>
            <w:tcW w:w="4800" w:type="dxa"/>
            <w:shd w:val="clear" w:color="auto" w:fill="1F3864"/>
            <w:tcMar>
              <w:top w:w="100" w:type="dxa"/>
              <w:left w:w="120" w:type="dxa"/>
              <w:bottom w:w="100" w:type="dxa"/>
              <w:right w:w="120" w:type="dxa"/>
            </w:tcMar>
          </w:tcPr>
          <w:p w:rsidR="00A53A25" w:rsidRDefault="00000000">
            <w:r>
              <w:rPr>
                <w:b/>
                <w:bCs/>
                <w:color w:val="FFFFFF"/>
                <w:sz w:val="19"/>
                <w:szCs w:val="19"/>
              </w:rPr>
              <w:t>Détail</w:t>
            </w:r>
          </w:p>
        </w:tc>
      </w:tr>
      <w:tr w:rsidR="00A53A25" w:rsidTr="00B706A5">
        <w:tc>
          <w:tcPr>
            <w:tcW w:w="3000" w:type="dxa"/>
            <w:tcMar>
              <w:top w:w="100" w:type="dxa"/>
              <w:left w:w="120" w:type="dxa"/>
              <w:bottom w:w="100" w:type="dxa"/>
              <w:right w:w="120" w:type="dxa"/>
            </w:tcMar>
          </w:tcPr>
          <w:p w:rsidR="00A53A25" w:rsidRDefault="00000000">
            <w:r>
              <w:rPr>
                <w:color w:val="000000"/>
                <w:sz w:val="19"/>
                <w:szCs w:val="19"/>
              </w:rPr>
              <w:t>Modèle entraîné et fonctionnel</w:t>
            </w:r>
          </w:p>
        </w:tc>
        <w:tc>
          <w:tcPr>
            <w:tcW w:w="2000" w:type="dxa"/>
            <w:shd w:val="clear" w:color="auto" w:fill="FFF2CC"/>
            <w:tcMar>
              <w:top w:w="100" w:type="dxa"/>
              <w:left w:w="120" w:type="dxa"/>
              <w:bottom w:w="100" w:type="dxa"/>
              <w:right w:w="120" w:type="dxa"/>
            </w:tcMar>
          </w:tcPr>
          <w:p w:rsidR="00A53A25" w:rsidRDefault="00000000">
            <w:pPr>
              <w:jc w:val="center"/>
            </w:pPr>
            <w:r>
              <w:rPr>
                <w:b/>
                <w:bCs/>
                <w:color w:val="BF8F00"/>
                <w:sz w:val="19"/>
                <w:szCs w:val="19"/>
              </w:rPr>
              <w:t>CONDITIONNEL</w:t>
            </w:r>
          </w:p>
        </w:tc>
        <w:tc>
          <w:tcPr>
            <w:tcW w:w="4800" w:type="dxa"/>
            <w:tcMar>
              <w:top w:w="100" w:type="dxa"/>
              <w:left w:w="120" w:type="dxa"/>
              <w:bottom w:w="100" w:type="dxa"/>
              <w:right w:w="120" w:type="dxa"/>
            </w:tcMar>
          </w:tcPr>
          <w:p w:rsidR="00A53A25" w:rsidRDefault="00000000">
            <w:r>
              <w:rPr>
                <w:color w:val="000000"/>
                <w:sz w:val="19"/>
                <w:szCs w:val="19"/>
              </w:rPr>
              <w:t>SFT + DPO opérationnels, mais biais fort vers « urgence maximale » et hallucinations factuelles observées.</w:t>
            </w:r>
          </w:p>
        </w:tc>
      </w:tr>
      <w:tr w:rsidR="00A53A25" w:rsidTr="00B706A5">
        <w:tc>
          <w:tcPr>
            <w:tcW w:w="3000" w:type="dxa"/>
            <w:tcMar>
              <w:top w:w="100" w:type="dxa"/>
              <w:left w:w="120" w:type="dxa"/>
              <w:bottom w:w="100" w:type="dxa"/>
              <w:right w:w="120" w:type="dxa"/>
            </w:tcMar>
          </w:tcPr>
          <w:p w:rsidR="00A53A25" w:rsidRDefault="00000000">
            <w:r>
              <w:rPr>
                <w:color w:val="000000"/>
                <w:sz w:val="19"/>
                <w:szCs w:val="19"/>
              </w:rPr>
              <w:t>Latence acceptable</w:t>
            </w:r>
          </w:p>
        </w:tc>
        <w:tc>
          <w:tcPr>
            <w:tcW w:w="2000" w:type="dxa"/>
            <w:shd w:val="clear" w:color="auto" w:fill="E2EFDA"/>
            <w:tcMar>
              <w:top w:w="100" w:type="dxa"/>
              <w:left w:w="120" w:type="dxa"/>
              <w:bottom w:w="100" w:type="dxa"/>
              <w:right w:w="120" w:type="dxa"/>
            </w:tcMar>
          </w:tcPr>
          <w:p w:rsidR="00A53A25" w:rsidRDefault="00000000">
            <w:pPr>
              <w:jc w:val="center"/>
            </w:pPr>
            <w:r>
              <w:rPr>
                <w:b/>
                <w:bCs/>
                <w:color w:val="2E7D32"/>
                <w:sz w:val="19"/>
                <w:szCs w:val="19"/>
              </w:rPr>
              <w:t>GO</w:t>
            </w:r>
          </w:p>
        </w:tc>
        <w:tc>
          <w:tcPr>
            <w:tcW w:w="4800" w:type="dxa"/>
            <w:tcMar>
              <w:top w:w="100" w:type="dxa"/>
              <w:left w:w="120" w:type="dxa"/>
              <w:bottom w:w="100" w:type="dxa"/>
              <w:right w:w="120" w:type="dxa"/>
            </w:tcMar>
          </w:tcPr>
          <w:p w:rsidR="00A53A25" w:rsidRDefault="00000000">
            <w:r>
              <w:rPr>
                <w:color w:val="000000"/>
                <w:sz w:val="19"/>
                <w:szCs w:val="19"/>
              </w:rPr>
              <w:t>≈ 2,4 s en moyenne, stable sur les tests réalisés.</w:t>
            </w:r>
          </w:p>
        </w:tc>
      </w:tr>
      <w:tr w:rsidR="00A53A25" w:rsidTr="00B706A5">
        <w:tc>
          <w:tcPr>
            <w:tcW w:w="3000" w:type="dxa"/>
            <w:tcMar>
              <w:top w:w="100" w:type="dxa"/>
              <w:left w:w="120" w:type="dxa"/>
              <w:bottom w:w="100" w:type="dxa"/>
              <w:right w:w="120" w:type="dxa"/>
            </w:tcMar>
          </w:tcPr>
          <w:p w:rsidR="00A53A25" w:rsidRDefault="00000000">
            <w:r>
              <w:rPr>
                <w:color w:val="000000"/>
                <w:sz w:val="19"/>
                <w:szCs w:val="19"/>
              </w:rPr>
              <w:t>Endpoint déployé et accessible</w:t>
            </w:r>
          </w:p>
        </w:tc>
        <w:tc>
          <w:tcPr>
            <w:tcW w:w="2000" w:type="dxa"/>
            <w:shd w:val="clear" w:color="auto" w:fill="E2EFDA"/>
            <w:tcMar>
              <w:top w:w="100" w:type="dxa"/>
              <w:left w:w="120" w:type="dxa"/>
              <w:bottom w:w="100" w:type="dxa"/>
              <w:right w:w="120" w:type="dxa"/>
            </w:tcMar>
          </w:tcPr>
          <w:p w:rsidR="00A53A25" w:rsidRDefault="00000000">
            <w:pPr>
              <w:jc w:val="center"/>
            </w:pPr>
            <w:r>
              <w:rPr>
                <w:b/>
                <w:bCs/>
                <w:color w:val="2E7D32"/>
                <w:sz w:val="19"/>
                <w:szCs w:val="19"/>
              </w:rPr>
              <w:t>GO</w:t>
            </w:r>
          </w:p>
        </w:tc>
        <w:tc>
          <w:tcPr>
            <w:tcW w:w="4800" w:type="dxa"/>
            <w:tcMar>
              <w:top w:w="100" w:type="dxa"/>
              <w:left w:w="120" w:type="dxa"/>
              <w:bottom w:w="100" w:type="dxa"/>
              <w:right w:w="120" w:type="dxa"/>
            </w:tcMar>
          </w:tcPr>
          <w:p w:rsidR="00A53A25" w:rsidRDefault="00000000">
            <w:proofErr w:type="spellStart"/>
            <w:proofErr w:type="gramStart"/>
            <w:r>
              <w:rPr>
                <w:color w:val="000000"/>
                <w:sz w:val="19"/>
                <w:szCs w:val="19"/>
              </w:rPr>
              <w:t>vLLM</w:t>
            </w:r>
            <w:proofErr w:type="spellEnd"/>
            <w:proofErr w:type="gramEnd"/>
            <w:r>
              <w:rPr>
                <w:color w:val="000000"/>
                <w:sz w:val="19"/>
                <w:szCs w:val="19"/>
              </w:rPr>
              <w:t xml:space="preserve"> + </w:t>
            </w:r>
            <w:proofErr w:type="spellStart"/>
            <w:r>
              <w:rPr>
                <w:color w:val="000000"/>
                <w:sz w:val="19"/>
                <w:szCs w:val="19"/>
              </w:rPr>
              <w:t>FastAPI</w:t>
            </w:r>
            <w:proofErr w:type="spellEnd"/>
            <w:r>
              <w:rPr>
                <w:color w:val="000000"/>
                <w:sz w:val="19"/>
                <w:szCs w:val="19"/>
              </w:rPr>
              <w:t xml:space="preserve"> fonctionnels et testés en conditions quasi-réelles.</w:t>
            </w:r>
          </w:p>
        </w:tc>
      </w:tr>
      <w:tr w:rsidR="00A53A25" w:rsidTr="00B706A5">
        <w:tc>
          <w:tcPr>
            <w:tcW w:w="3000" w:type="dxa"/>
            <w:tcMar>
              <w:top w:w="100" w:type="dxa"/>
              <w:left w:w="120" w:type="dxa"/>
              <w:bottom w:w="100" w:type="dxa"/>
              <w:right w:w="120" w:type="dxa"/>
            </w:tcMar>
          </w:tcPr>
          <w:p w:rsidR="00A53A25" w:rsidRDefault="00000000">
            <w:r>
              <w:rPr>
                <w:color w:val="000000"/>
                <w:sz w:val="19"/>
                <w:szCs w:val="19"/>
              </w:rPr>
              <w:t>Traçabilité des interactions</w:t>
            </w:r>
          </w:p>
        </w:tc>
        <w:tc>
          <w:tcPr>
            <w:tcW w:w="2000" w:type="dxa"/>
            <w:shd w:val="clear" w:color="auto" w:fill="E2EFDA"/>
            <w:tcMar>
              <w:top w:w="100" w:type="dxa"/>
              <w:left w:w="120" w:type="dxa"/>
              <w:bottom w:w="100" w:type="dxa"/>
              <w:right w:w="120" w:type="dxa"/>
            </w:tcMar>
          </w:tcPr>
          <w:p w:rsidR="00A53A25" w:rsidRDefault="00000000">
            <w:pPr>
              <w:jc w:val="center"/>
            </w:pPr>
            <w:r>
              <w:rPr>
                <w:b/>
                <w:bCs/>
                <w:color w:val="2E7D32"/>
                <w:sz w:val="19"/>
                <w:szCs w:val="19"/>
              </w:rPr>
              <w:t>GO</w:t>
            </w:r>
          </w:p>
        </w:tc>
        <w:tc>
          <w:tcPr>
            <w:tcW w:w="4800" w:type="dxa"/>
            <w:tcMar>
              <w:top w:w="100" w:type="dxa"/>
              <w:left w:w="120" w:type="dxa"/>
              <w:bottom w:w="100" w:type="dxa"/>
              <w:right w:w="120" w:type="dxa"/>
            </w:tcMar>
          </w:tcPr>
          <w:p w:rsidR="00A53A25" w:rsidRDefault="00000000">
            <w:r>
              <w:rPr>
                <w:color w:val="000000"/>
                <w:sz w:val="19"/>
                <w:szCs w:val="19"/>
              </w:rPr>
              <w:t>Journalisation structurée (ID, horodatage, contexte, réponse, latence).</w:t>
            </w:r>
          </w:p>
        </w:tc>
      </w:tr>
      <w:tr w:rsidR="00A53A25" w:rsidTr="00B706A5">
        <w:tc>
          <w:tcPr>
            <w:tcW w:w="3000" w:type="dxa"/>
            <w:tcMar>
              <w:top w:w="100" w:type="dxa"/>
              <w:left w:w="120" w:type="dxa"/>
              <w:bottom w:w="100" w:type="dxa"/>
              <w:right w:w="120" w:type="dxa"/>
            </w:tcMar>
          </w:tcPr>
          <w:p w:rsidR="00A53A25" w:rsidRDefault="00000000">
            <w:r>
              <w:rPr>
                <w:color w:val="000000"/>
                <w:sz w:val="19"/>
                <w:szCs w:val="19"/>
              </w:rPr>
              <w:t>Gestion des erreurs / robustesse</w:t>
            </w:r>
          </w:p>
        </w:tc>
        <w:tc>
          <w:tcPr>
            <w:tcW w:w="2000" w:type="dxa"/>
            <w:shd w:val="clear" w:color="auto" w:fill="FFF2CC"/>
            <w:tcMar>
              <w:top w:w="100" w:type="dxa"/>
              <w:left w:w="120" w:type="dxa"/>
              <w:bottom w:w="100" w:type="dxa"/>
              <w:right w:w="120" w:type="dxa"/>
            </w:tcMar>
          </w:tcPr>
          <w:p w:rsidR="00A53A25" w:rsidRDefault="00000000">
            <w:pPr>
              <w:jc w:val="center"/>
            </w:pPr>
            <w:r>
              <w:rPr>
                <w:b/>
                <w:bCs/>
                <w:color w:val="BF8F00"/>
                <w:sz w:val="19"/>
                <w:szCs w:val="19"/>
              </w:rPr>
              <w:t>CONDITIONNEL</w:t>
            </w:r>
          </w:p>
        </w:tc>
        <w:tc>
          <w:tcPr>
            <w:tcW w:w="4800" w:type="dxa"/>
            <w:tcMar>
              <w:top w:w="100" w:type="dxa"/>
              <w:left w:w="120" w:type="dxa"/>
              <w:bottom w:w="100" w:type="dxa"/>
              <w:right w:w="120" w:type="dxa"/>
            </w:tcMar>
          </w:tcPr>
          <w:p w:rsidR="00A53A25" w:rsidRDefault="00000000">
            <w:r>
              <w:rPr>
                <w:color w:val="000000"/>
                <w:sz w:val="19"/>
                <w:szCs w:val="19"/>
              </w:rPr>
              <w:t>Validation des champs requis correcte ; contextes longs en échec sec ; champs vides non filtrés.</w:t>
            </w:r>
          </w:p>
        </w:tc>
      </w:tr>
      <w:tr w:rsidR="00A53A25" w:rsidTr="00B706A5">
        <w:tc>
          <w:tcPr>
            <w:tcW w:w="3000" w:type="dxa"/>
            <w:tcMar>
              <w:top w:w="100" w:type="dxa"/>
              <w:left w:w="120" w:type="dxa"/>
              <w:bottom w:w="100" w:type="dxa"/>
              <w:right w:w="120" w:type="dxa"/>
            </w:tcMar>
          </w:tcPr>
          <w:p w:rsidR="00A53A25" w:rsidRDefault="00000000">
            <w:r>
              <w:rPr>
                <w:color w:val="000000"/>
                <w:sz w:val="19"/>
                <w:szCs w:val="19"/>
              </w:rPr>
              <w:t>Anonymisation des données</w:t>
            </w:r>
          </w:p>
        </w:tc>
        <w:tc>
          <w:tcPr>
            <w:tcW w:w="2000" w:type="dxa"/>
            <w:shd w:val="clear" w:color="auto" w:fill="FFF2CC"/>
            <w:tcMar>
              <w:top w:w="100" w:type="dxa"/>
              <w:left w:w="120" w:type="dxa"/>
              <w:bottom w:w="100" w:type="dxa"/>
              <w:right w:w="120" w:type="dxa"/>
            </w:tcMar>
          </w:tcPr>
          <w:p w:rsidR="00A53A25" w:rsidRDefault="00000000">
            <w:pPr>
              <w:jc w:val="center"/>
            </w:pPr>
            <w:r>
              <w:rPr>
                <w:b/>
                <w:bCs/>
                <w:color w:val="BF8F00"/>
                <w:sz w:val="19"/>
                <w:szCs w:val="19"/>
              </w:rPr>
              <w:t>CONDITIONNEL</w:t>
            </w:r>
          </w:p>
        </w:tc>
        <w:tc>
          <w:tcPr>
            <w:tcW w:w="4800" w:type="dxa"/>
            <w:tcMar>
              <w:top w:w="100" w:type="dxa"/>
              <w:left w:w="120" w:type="dxa"/>
              <w:bottom w:w="100" w:type="dxa"/>
              <w:right w:w="120" w:type="dxa"/>
            </w:tcMar>
          </w:tcPr>
          <w:p w:rsidR="00A53A25" w:rsidRDefault="00000000">
            <w:r>
              <w:rPr>
                <w:color w:val="000000"/>
                <w:sz w:val="19"/>
                <w:szCs w:val="19"/>
              </w:rPr>
              <w:t>Fonctionnelle, mais faux positifs résiduels documentés.</w:t>
            </w:r>
          </w:p>
        </w:tc>
      </w:tr>
      <w:tr w:rsidR="00B706A5" w:rsidTr="00B706A5">
        <w:trPr>
          <w:trHeight w:val="297"/>
        </w:trPr>
        <w:tc>
          <w:tcPr>
            <w:tcW w:w="3000" w:type="dxa"/>
            <w:tcMar>
              <w:top w:w="100" w:type="dxa"/>
              <w:left w:w="120" w:type="dxa"/>
              <w:bottom w:w="100" w:type="dxa"/>
              <w:right w:w="120" w:type="dxa"/>
            </w:tcMar>
          </w:tcPr>
          <w:p w:rsidR="00B706A5" w:rsidRDefault="00B706A5" w:rsidP="00B706A5">
            <w:pPr>
              <w:rPr>
                <w:color w:val="000000"/>
                <w:sz w:val="19"/>
                <w:szCs w:val="19"/>
              </w:rPr>
            </w:pPr>
            <w:r>
              <w:rPr>
                <w:color w:val="000000"/>
                <w:sz w:val="19"/>
                <w:szCs w:val="19"/>
              </w:rPr>
              <w:t>Pipeline CI/CD</w:t>
            </w:r>
          </w:p>
          <w:p w:rsidR="00B706A5" w:rsidRDefault="00B706A5">
            <w:pPr>
              <w:rPr>
                <w:color w:val="000000"/>
                <w:sz w:val="19"/>
                <w:szCs w:val="19"/>
              </w:rPr>
            </w:pPr>
          </w:p>
        </w:tc>
        <w:tc>
          <w:tcPr>
            <w:tcW w:w="2000" w:type="dxa"/>
            <w:shd w:val="clear" w:color="auto" w:fill="E2EFDA"/>
            <w:tcMar>
              <w:top w:w="100" w:type="dxa"/>
              <w:left w:w="120" w:type="dxa"/>
              <w:bottom w:w="100" w:type="dxa"/>
              <w:right w:w="120" w:type="dxa"/>
            </w:tcMar>
          </w:tcPr>
          <w:p w:rsidR="00B706A5" w:rsidRDefault="00B706A5" w:rsidP="00B706A5">
            <w:pPr>
              <w:jc w:val="center"/>
              <w:rPr>
                <w:b/>
                <w:bCs/>
                <w:color w:val="2E7D32"/>
                <w:sz w:val="19"/>
                <w:szCs w:val="19"/>
              </w:rPr>
            </w:pPr>
            <w:r>
              <w:rPr>
                <w:b/>
                <w:bCs/>
                <w:color w:val="2E7D32"/>
                <w:sz w:val="19"/>
                <w:szCs w:val="19"/>
              </w:rPr>
              <w:t>GO</w:t>
            </w:r>
          </w:p>
          <w:p w:rsidR="00B706A5" w:rsidRDefault="00B706A5">
            <w:pPr>
              <w:jc w:val="center"/>
              <w:rPr>
                <w:b/>
                <w:bCs/>
                <w:color w:val="2E7D32"/>
                <w:sz w:val="19"/>
                <w:szCs w:val="19"/>
              </w:rPr>
            </w:pPr>
          </w:p>
        </w:tc>
        <w:tc>
          <w:tcPr>
            <w:tcW w:w="4800" w:type="dxa"/>
            <w:tcMar>
              <w:top w:w="100" w:type="dxa"/>
              <w:left w:w="120" w:type="dxa"/>
              <w:bottom w:w="100" w:type="dxa"/>
              <w:right w:w="120" w:type="dxa"/>
            </w:tcMar>
          </w:tcPr>
          <w:p w:rsidR="00B706A5" w:rsidRDefault="00B706A5" w:rsidP="00B706A5">
            <w:pPr>
              <w:rPr>
                <w:color w:val="000000"/>
                <w:sz w:val="19"/>
                <w:szCs w:val="19"/>
              </w:rPr>
            </w:pPr>
            <w:r>
              <w:rPr>
                <w:color w:val="000000"/>
                <w:sz w:val="19"/>
                <w:szCs w:val="19"/>
              </w:rPr>
              <w:t>GitHub Actions opérationnel (</w:t>
            </w:r>
            <w:proofErr w:type="spellStart"/>
            <w:r>
              <w:rPr>
                <w:color w:val="000000"/>
                <w:sz w:val="19"/>
                <w:szCs w:val="19"/>
              </w:rPr>
              <w:t>build</w:t>
            </w:r>
            <w:proofErr w:type="spellEnd"/>
            <w:r>
              <w:rPr>
                <w:color w:val="000000"/>
                <w:sz w:val="19"/>
                <w:szCs w:val="19"/>
              </w:rPr>
              <w:t>, test, nettoyage automatiques).</w:t>
            </w:r>
          </w:p>
          <w:p w:rsidR="00B706A5" w:rsidRDefault="00B706A5">
            <w:pPr>
              <w:rPr>
                <w:color w:val="000000"/>
                <w:sz w:val="19"/>
                <w:szCs w:val="19"/>
              </w:rPr>
            </w:pPr>
          </w:p>
        </w:tc>
      </w:tr>
      <w:tr w:rsidR="00A53A25" w:rsidTr="00B706A5">
        <w:trPr>
          <w:trHeight w:val="297"/>
        </w:trPr>
        <w:tc>
          <w:tcPr>
            <w:tcW w:w="3000" w:type="dxa"/>
            <w:tcMar>
              <w:top w:w="100" w:type="dxa"/>
              <w:left w:w="120" w:type="dxa"/>
              <w:bottom w:w="100" w:type="dxa"/>
              <w:right w:w="120" w:type="dxa"/>
            </w:tcMar>
          </w:tcPr>
          <w:p w:rsidR="00B706A5" w:rsidRDefault="00B706A5">
            <w:r>
              <w:rPr>
                <w:color w:val="000000"/>
                <w:sz w:val="19"/>
                <w:szCs w:val="19"/>
              </w:rPr>
              <w:t>Sécurité des accès (clés/secrets</w:t>
            </w:r>
            <w:r>
              <w:rPr>
                <w:color w:val="000000"/>
                <w:sz w:val="19"/>
                <w:szCs w:val="19"/>
              </w:rPr>
              <w:t>)</w:t>
            </w:r>
          </w:p>
        </w:tc>
        <w:tc>
          <w:tcPr>
            <w:tcW w:w="2000" w:type="dxa"/>
            <w:shd w:val="clear" w:color="auto" w:fill="E2EFDA"/>
            <w:tcMar>
              <w:top w:w="100" w:type="dxa"/>
              <w:left w:w="120" w:type="dxa"/>
              <w:bottom w:w="100" w:type="dxa"/>
              <w:right w:w="120" w:type="dxa"/>
            </w:tcMar>
          </w:tcPr>
          <w:p w:rsidR="00B706A5" w:rsidRDefault="00B706A5" w:rsidP="00B706A5">
            <w:pPr>
              <w:rPr>
                <w:b/>
                <w:bCs/>
                <w:color w:val="2E7D32"/>
              </w:rPr>
            </w:pPr>
          </w:p>
          <w:p w:rsidR="00B706A5" w:rsidRDefault="00B706A5">
            <w:pPr>
              <w:jc w:val="center"/>
            </w:pPr>
            <w:r>
              <w:rPr>
                <w:b/>
                <w:bCs/>
                <w:color w:val="2E7D32"/>
                <w:sz w:val="19"/>
                <w:szCs w:val="19"/>
              </w:rPr>
              <w:t>GO</w:t>
            </w:r>
          </w:p>
        </w:tc>
        <w:tc>
          <w:tcPr>
            <w:tcW w:w="4800" w:type="dxa"/>
            <w:tcMar>
              <w:top w:w="100" w:type="dxa"/>
              <w:left w:w="120" w:type="dxa"/>
              <w:bottom w:w="100" w:type="dxa"/>
              <w:right w:w="120" w:type="dxa"/>
            </w:tcMar>
          </w:tcPr>
          <w:p w:rsidR="00B706A5" w:rsidRPr="00B706A5" w:rsidRDefault="00B706A5">
            <w:pPr>
              <w:rPr>
                <w:color w:val="000000"/>
                <w:sz w:val="19"/>
                <w:szCs w:val="19"/>
              </w:rPr>
            </w:pPr>
            <w:r w:rsidRPr="00B706A5">
              <w:rPr>
                <w:rFonts w:ascii="AppleSystemUIFont" w:hAnsi="AppleSystemUIFont" w:cs="AppleSystemUIFont"/>
                <w:sz w:val="19"/>
                <w:szCs w:val="19"/>
              </w:rPr>
              <w:t>Authentification X-API-Key</w:t>
            </w:r>
          </w:p>
        </w:tc>
      </w:tr>
    </w:tbl>
    <w:p w:rsidR="00A53A25" w:rsidRDefault="00A53A25">
      <w:pPr>
        <w:spacing w:before="300"/>
      </w:pPr>
    </w:p>
    <w:p w:rsidR="00A53A25" w:rsidRDefault="00000000">
      <w:pPr>
        <w:pStyle w:val="Titre2"/>
        <w:spacing w:before="300" w:after="150"/>
      </w:pPr>
      <w:r>
        <w:rPr>
          <w:b/>
          <w:bCs/>
        </w:rPr>
        <w:t>7.2 Critères cliniques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800"/>
      </w:tblGrid>
      <w:tr w:rsidR="00A53A25">
        <w:trPr>
          <w:tblHeader/>
        </w:trPr>
        <w:tc>
          <w:tcPr>
            <w:tcW w:w="3000" w:type="dxa"/>
            <w:shd w:val="clear" w:color="auto" w:fill="1F3864"/>
            <w:tcMar>
              <w:top w:w="100" w:type="dxa"/>
              <w:left w:w="120" w:type="dxa"/>
              <w:bottom w:w="100" w:type="dxa"/>
              <w:right w:w="120" w:type="dxa"/>
            </w:tcMar>
          </w:tcPr>
          <w:p w:rsidR="00A53A25" w:rsidRDefault="00000000">
            <w:r>
              <w:rPr>
                <w:b/>
                <w:bCs/>
                <w:color w:val="FFFFFF"/>
                <w:sz w:val="19"/>
                <w:szCs w:val="19"/>
              </w:rPr>
              <w:t>Critère</w:t>
            </w:r>
          </w:p>
        </w:tc>
        <w:tc>
          <w:tcPr>
            <w:tcW w:w="2000" w:type="dxa"/>
            <w:shd w:val="clear" w:color="auto" w:fill="1F3864"/>
            <w:tcMar>
              <w:top w:w="100" w:type="dxa"/>
              <w:left w:w="120" w:type="dxa"/>
              <w:bottom w:w="100" w:type="dxa"/>
              <w:right w:w="120" w:type="dxa"/>
            </w:tcMar>
          </w:tcPr>
          <w:p w:rsidR="00A53A25" w:rsidRDefault="00000000">
            <w:pPr>
              <w:jc w:val="center"/>
            </w:pPr>
            <w:r>
              <w:rPr>
                <w:b/>
                <w:bCs/>
                <w:color w:val="FFFFFF"/>
                <w:sz w:val="19"/>
                <w:szCs w:val="19"/>
              </w:rPr>
              <w:t>Statut</w:t>
            </w:r>
          </w:p>
        </w:tc>
        <w:tc>
          <w:tcPr>
            <w:tcW w:w="4800" w:type="dxa"/>
            <w:shd w:val="clear" w:color="auto" w:fill="1F3864"/>
            <w:tcMar>
              <w:top w:w="100" w:type="dxa"/>
              <w:left w:w="120" w:type="dxa"/>
              <w:bottom w:w="100" w:type="dxa"/>
              <w:right w:w="120" w:type="dxa"/>
            </w:tcMar>
          </w:tcPr>
          <w:p w:rsidR="00A53A25" w:rsidRDefault="00000000">
            <w:r>
              <w:rPr>
                <w:b/>
                <w:bCs/>
                <w:color w:val="FFFFFF"/>
                <w:sz w:val="19"/>
                <w:szCs w:val="19"/>
              </w:rPr>
              <w:t>Détail</w:t>
            </w:r>
          </w:p>
        </w:tc>
      </w:tr>
      <w:tr w:rsidR="00A53A25">
        <w:tc>
          <w:tcPr>
            <w:tcW w:w="3000" w:type="dxa"/>
            <w:tcMar>
              <w:top w:w="100" w:type="dxa"/>
              <w:left w:w="120" w:type="dxa"/>
              <w:bottom w:w="100" w:type="dxa"/>
              <w:right w:w="120" w:type="dxa"/>
            </w:tcMar>
          </w:tcPr>
          <w:p w:rsidR="00A53A25" w:rsidRDefault="00000000">
            <w:r>
              <w:rPr>
                <w:color w:val="000000"/>
                <w:sz w:val="19"/>
                <w:szCs w:val="19"/>
              </w:rPr>
              <w:t>Fiabilité du signal de priorité</w:t>
            </w:r>
          </w:p>
        </w:tc>
        <w:tc>
          <w:tcPr>
            <w:tcW w:w="2000" w:type="dxa"/>
            <w:shd w:val="clear" w:color="auto" w:fill="FCE4E4"/>
            <w:tcMar>
              <w:top w:w="100" w:type="dxa"/>
              <w:left w:w="120" w:type="dxa"/>
              <w:bottom w:w="100" w:type="dxa"/>
              <w:right w:w="120" w:type="dxa"/>
            </w:tcMar>
          </w:tcPr>
          <w:p w:rsidR="00A53A25" w:rsidRDefault="00000000">
            <w:pPr>
              <w:jc w:val="center"/>
            </w:pPr>
            <w:r>
              <w:rPr>
                <w:b/>
                <w:bCs/>
                <w:color w:val="C00000"/>
                <w:sz w:val="19"/>
                <w:szCs w:val="19"/>
              </w:rPr>
              <w:t>NO-GO</w:t>
            </w:r>
          </w:p>
        </w:tc>
        <w:tc>
          <w:tcPr>
            <w:tcW w:w="4800" w:type="dxa"/>
            <w:tcMar>
              <w:top w:w="100" w:type="dxa"/>
              <w:left w:w="120" w:type="dxa"/>
              <w:bottom w:w="100" w:type="dxa"/>
              <w:right w:w="120" w:type="dxa"/>
            </w:tcMar>
          </w:tcPr>
          <w:p w:rsidR="00A53A25" w:rsidRDefault="00000000">
            <w:r>
              <w:rPr>
                <w:color w:val="000000"/>
                <w:sz w:val="19"/>
                <w:szCs w:val="19"/>
              </w:rPr>
              <w:t xml:space="preserve">Volume d'annotation insuffisant (4 % du corpus) ; ne discrimine pas </w:t>
            </w:r>
            <w:proofErr w:type="spellStart"/>
            <w:r>
              <w:rPr>
                <w:color w:val="000000"/>
                <w:sz w:val="19"/>
                <w:szCs w:val="19"/>
              </w:rPr>
              <w:t>fiablement</w:t>
            </w:r>
            <w:proofErr w:type="spellEnd"/>
            <w:r>
              <w:rPr>
                <w:color w:val="000000"/>
                <w:sz w:val="19"/>
                <w:szCs w:val="19"/>
              </w:rPr>
              <w:t xml:space="preserve"> les cas bénins.</w:t>
            </w:r>
          </w:p>
        </w:tc>
      </w:tr>
      <w:tr w:rsidR="00A53A25">
        <w:tc>
          <w:tcPr>
            <w:tcW w:w="3000" w:type="dxa"/>
            <w:tcMar>
              <w:top w:w="100" w:type="dxa"/>
              <w:left w:w="120" w:type="dxa"/>
              <w:bottom w:w="100" w:type="dxa"/>
              <w:right w:w="120" w:type="dxa"/>
            </w:tcMar>
          </w:tcPr>
          <w:p w:rsidR="00A53A25" w:rsidRDefault="00000000">
            <w:r>
              <w:rPr>
                <w:color w:val="000000"/>
                <w:sz w:val="19"/>
                <w:szCs w:val="19"/>
              </w:rPr>
              <w:t>Validation par des professionnels de santé</w:t>
            </w:r>
          </w:p>
        </w:tc>
        <w:tc>
          <w:tcPr>
            <w:tcW w:w="2000" w:type="dxa"/>
            <w:shd w:val="clear" w:color="auto" w:fill="FCE4E4"/>
            <w:tcMar>
              <w:top w:w="100" w:type="dxa"/>
              <w:left w:w="120" w:type="dxa"/>
              <w:bottom w:w="100" w:type="dxa"/>
              <w:right w:w="120" w:type="dxa"/>
            </w:tcMar>
          </w:tcPr>
          <w:p w:rsidR="00A53A25" w:rsidRDefault="00000000">
            <w:pPr>
              <w:jc w:val="center"/>
            </w:pPr>
            <w:r>
              <w:rPr>
                <w:b/>
                <w:bCs/>
                <w:color w:val="C00000"/>
                <w:sz w:val="19"/>
                <w:szCs w:val="19"/>
              </w:rPr>
              <w:t>NO-GO</w:t>
            </w:r>
          </w:p>
        </w:tc>
        <w:tc>
          <w:tcPr>
            <w:tcW w:w="4800" w:type="dxa"/>
            <w:tcMar>
              <w:top w:w="100" w:type="dxa"/>
              <w:left w:w="120" w:type="dxa"/>
              <w:bottom w:w="100" w:type="dxa"/>
              <w:right w:w="120" w:type="dxa"/>
            </w:tcMar>
          </w:tcPr>
          <w:p w:rsidR="00A53A25" w:rsidRDefault="00000000">
            <w:r>
              <w:rPr>
                <w:color w:val="000000"/>
                <w:sz w:val="19"/>
                <w:szCs w:val="19"/>
              </w:rPr>
              <w:t>Aucune validation clinique effectuée à ce stade (hors périmètre du POC).</w:t>
            </w:r>
          </w:p>
        </w:tc>
      </w:tr>
      <w:tr w:rsidR="00A53A25">
        <w:tc>
          <w:tcPr>
            <w:tcW w:w="3000" w:type="dxa"/>
            <w:tcMar>
              <w:top w:w="100" w:type="dxa"/>
              <w:left w:w="120" w:type="dxa"/>
              <w:bottom w:w="100" w:type="dxa"/>
              <w:right w:w="120" w:type="dxa"/>
            </w:tcMar>
          </w:tcPr>
          <w:p w:rsidR="00A53A25" w:rsidRDefault="00000000">
            <w:r>
              <w:rPr>
                <w:color w:val="000000"/>
                <w:sz w:val="19"/>
                <w:szCs w:val="19"/>
              </w:rPr>
              <w:t>Absence d'hallucinations dangereuses</w:t>
            </w:r>
          </w:p>
        </w:tc>
        <w:tc>
          <w:tcPr>
            <w:tcW w:w="2000" w:type="dxa"/>
            <w:shd w:val="clear" w:color="auto" w:fill="FCE4E4"/>
            <w:tcMar>
              <w:top w:w="100" w:type="dxa"/>
              <w:left w:w="120" w:type="dxa"/>
              <w:bottom w:w="100" w:type="dxa"/>
              <w:right w:w="120" w:type="dxa"/>
            </w:tcMar>
          </w:tcPr>
          <w:p w:rsidR="00A53A25" w:rsidRDefault="00000000">
            <w:pPr>
              <w:jc w:val="center"/>
            </w:pPr>
            <w:r>
              <w:rPr>
                <w:b/>
                <w:bCs/>
                <w:color w:val="C00000"/>
                <w:sz w:val="19"/>
                <w:szCs w:val="19"/>
              </w:rPr>
              <w:t>NO-GO</w:t>
            </w:r>
          </w:p>
        </w:tc>
        <w:tc>
          <w:tcPr>
            <w:tcW w:w="4800" w:type="dxa"/>
            <w:tcMar>
              <w:top w:w="100" w:type="dxa"/>
              <w:left w:w="120" w:type="dxa"/>
              <w:bottom w:w="100" w:type="dxa"/>
              <w:right w:w="120" w:type="dxa"/>
            </w:tcMar>
          </w:tcPr>
          <w:p w:rsidR="00A53A25" w:rsidRDefault="00000000">
            <w:r>
              <w:rPr>
                <w:color w:val="000000"/>
                <w:sz w:val="19"/>
                <w:szCs w:val="19"/>
              </w:rPr>
              <w:t>Cas observés d'invention de symptômes non présents dans l'énoncé.</w:t>
            </w:r>
          </w:p>
        </w:tc>
      </w:tr>
    </w:tbl>
    <w:p w:rsidR="00A53A25" w:rsidRDefault="00000000">
      <w:pPr>
        <w:spacing w:before="300"/>
      </w:pPr>
      <w:r>
        <w:rPr>
          <w:b/>
          <w:bCs/>
          <w:sz w:val="22"/>
          <w:szCs w:val="22"/>
        </w:rPr>
        <w:t xml:space="preserve">Verdict global : </w:t>
      </w:r>
      <w:r>
        <w:rPr>
          <w:b/>
          <w:bCs/>
          <w:color w:val="C00000"/>
          <w:sz w:val="22"/>
          <w:szCs w:val="22"/>
        </w:rPr>
        <w:t>NO-GO pour un déploiement en conditions réelles. GO pour la poursuite en Phase 2 encadrée.</w:t>
      </w:r>
    </w:p>
    <w:p w:rsidR="00A53A25" w:rsidRDefault="002E285A">
      <w:pPr>
        <w:spacing w:after="160" w:line="300" w:lineRule="auto"/>
      </w:pPr>
      <w:r>
        <w:rPr>
          <w:sz w:val="21"/>
          <w:szCs w:val="21"/>
        </w:rPr>
        <w:t>Un POC a pour objet de démontrer une faisabilité technique, non de livrer un produit fini prêt pour la production clinique.</w:t>
      </w:r>
    </w:p>
    <w:p w:rsidR="00A53A25" w:rsidRDefault="00000000">
      <w:pPr>
        <w:pStyle w:val="Titre1"/>
        <w:spacing w:before="400" w:after="200"/>
      </w:pPr>
      <w:r>
        <w:rPr>
          <w:b/>
          <w:bCs/>
          <w:color w:val="1F3864"/>
        </w:rPr>
        <w:t>8. Recommandations et roadmap Phase 2</w:t>
      </w:r>
    </w:p>
    <w:p w:rsidR="00A53A25" w:rsidRDefault="00000000">
      <w:pPr>
        <w:pStyle w:val="Titre2"/>
        <w:spacing w:before="300" w:after="150"/>
      </w:pPr>
      <w:r>
        <w:rPr>
          <w:b/>
          <w:bCs/>
        </w:rPr>
        <w:t>8.1 Recommandations prioritaires</w:t>
      </w:r>
    </w:p>
    <w:p w:rsidR="00A53A25" w:rsidRDefault="00000000">
      <w:pPr>
        <w:pStyle w:val="Paragraphedeliste"/>
        <w:numPr>
          <w:ilvl w:val="0"/>
          <w:numId w:val="4"/>
        </w:numPr>
        <w:spacing w:after="100" w:line="280" w:lineRule="auto"/>
      </w:pPr>
      <w:r>
        <w:rPr>
          <w:sz w:val="21"/>
          <w:szCs w:val="21"/>
        </w:rPr>
        <w:t>Partenariat CHSA pour un corpus de triage réel, annoté par des professionnels de santé (infirmiers organisateurs de l'accueil), afin de dépasser la limite structurelle des 214 cas actuels ;</w:t>
      </w:r>
    </w:p>
    <w:p w:rsidR="00A53A25" w:rsidRDefault="00000000">
      <w:pPr>
        <w:pStyle w:val="Paragraphedeliste"/>
        <w:numPr>
          <w:ilvl w:val="0"/>
          <w:numId w:val="4"/>
        </w:numPr>
        <w:spacing w:after="100" w:line="280" w:lineRule="auto"/>
      </w:pPr>
      <w:r>
        <w:rPr>
          <w:sz w:val="21"/>
          <w:szCs w:val="21"/>
        </w:rPr>
        <w:lastRenderedPageBreak/>
        <w:t>Validation clinique formelle du signal de priorité par un comité médical, avant tout usage impliquant des patients réels ;</w:t>
      </w:r>
    </w:p>
    <w:p w:rsidR="00A53A25" w:rsidRDefault="00000000">
      <w:pPr>
        <w:pStyle w:val="Paragraphedeliste"/>
        <w:numPr>
          <w:ilvl w:val="0"/>
          <w:numId w:val="4"/>
        </w:numPr>
        <w:spacing w:after="100" w:line="280" w:lineRule="auto"/>
      </w:pPr>
      <w:r>
        <w:rPr>
          <w:sz w:val="21"/>
          <w:szCs w:val="21"/>
        </w:rPr>
        <w:t>Mise en place d'un mécanisme de garde-fou (seuil de confiance, réponse « indéterminé » plutôt qu'un signal potentiellement erroné) pour les cas ambigus ;</w:t>
      </w:r>
    </w:p>
    <w:p w:rsidR="00A53A25" w:rsidRDefault="00000000">
      <w:pPr>
        <w:pStyle w:val="Paragraphedeliste"/>
        <w:numPr>
          <w:ilvl w:val="0"/>
          <w:numId w:val="4"/>
        </w:numPr>
        <w:spacing w:after="100" w:line="280" w:lineRule="auto"/>
      </w:pPr>
      <w:r>
        <w:rPr>
          <w:sz w:val="21"/>
          <w:szCs w:val="21"/>
        </w:rPr>
        <w:t>Renforcement de l'anonymisation par une relecture humaine ciblée sur les faux positifs résiduels.</w:t>
      </w:r>
    </w:p>
    <w:p w:rsidR="00A53A25" w:rsidRDefault="00000000">
      <w:pPr>
        <w:pStyle w:val="Titre2"/>
        <w:spacing w:before="300" w:after="150"/>
      </w:pPr>
      <w:r>
        <w:rPr>
          <w:b/>
          <w:bCs/>
        </w:rPr>
        <w:t>8.2 Projection vers la Phase 3 (passage à l'échelle)</w:t>
      </w:r>
    </w:p>
    <w:p w:rsidR="00A53A25" w:rsidRDefault="00000000">
      <w:pPr>
        <w:spacing w:after="160" w:line="300" w:lineRule="auto"/>
      </w:pPr>
      <w:r>
        <w:rPr>
          <w:sz w:val="21"/>
          <w:szCs w:val="21"/>
        </w:rPr>
        <w:t>Conformément à la stratégie en trois phases définie initialement, un passage à l'échelle pourra être envisagé après validation de la Phase 2, avec :</w:t>
      </w:r>
    </w:p>
    <w:p w:rsidR="00A53A25" w:rsidRDefault="00000000">
      <w:pPr>
        <w:pStyle w:val="Paragraphedeliste"/>
        <w:numPr>
          <w:ilvl w:val="0"/>
          <w:numId w:val="2"/>
        </w:numPr>
        <w:spacing w:after="80" w:line="280" w:lineRule="auto"/>
      </w:pPr>
      <w:r>
        <w:rPr>
          <w:sz w:val="21"/>
          <w:szCs w:val="21"/>
        </w:rPr>
        <w:t>Des modèles de plus grande envergure (32 milliards de paramètres et plus) ;</w:t>
      </w:r>
    </w:p>
    <w:p w:rsidR="00A53A25" w:rsidRDefault="00000000">
      <w:pPr>
        <w:pStyle w:val="Paragraphedeliste"/>
        <w:numPr>
          <w:ilvl w:val="0"/>
          <w:numId w:val="2"/>
        </w:numPr>
        <w:spacing w:after="80" w:line="280" w:lineRule="auto"/>
      </w:pPr>
      <w:r>
        <w:rPr>
          <w:sz w:val="21"/>
          <w:szCs w:val="21"/>
        </w:rPr>
        <w:t>Des jeux de données étendus, en particulier sur le signal de priorité, avec une architecture de données cliniques (symptomatologie, antécédents, constantes vitales, protocoles de triage) rigoureusement structurée ;</w:t>
      </w:r>
    </w:p>
    <w:p w:rsidR="00A53A25" w:rsidRDefault="00000000">
      <w:pPr>
        <w:pStyle w:val="Paragraphedeliste"/>
        <w:numPr>
          <w:ilvl w:val="0"/>
          <w:numId w:val="2"/>
        </w:numPr>
        <w:spacing w:after="80" w:line="280" w:lineRule="auto"/>
      </w:pPr>
      <w:r>
        <w:rPr>
          <w:sz w:val="21"/>
          <w:szCs w:val="21"/>
        </w:rPr>
        <w:t>Une infrastructure de production robuste (monitoring, plan de bascule, procédures de surveillance post-déploiement).</w:t>
      </w:r>
    </w:p>
    <w:p w:rsidR="00A53A25" w:rsidRDefault="00000000">
      <w:pPr>
        <w:pStyle w:val="Titre2"/>
        <w:spacing w:before="300" w:after="150"/>
      </w:pPr>
      <w:r>
        <w:rPr>
          <w:b/>
          <w:bCs/>
        </w:rPr>
        <w:t>8.3 Synthèse</w:t>
      </w:r>
    </w:p>
    <w:p w:rsidR="00A53A25" w:rsidRDefault="00000000">
      <w:pPr>
        <w:spacing w:after="160" w:line="300" w:lineRule="auto"/>
      </w:pPr>
      <w:r>
        <w:rPr>
          <w:sz w:val="21"/>
          <w:szCs w:val="21"/>
        </w:rPr>
        <w:t xml:space="preserve">Ce POC atteint son objectif : démontrer la faisabilité technique d'un agent de triage médical, du recueil des données jusqu'au déploiement d'un </w:t>
      </w:r>
      <w:proofErr w:type="spellStart"/>
      <w:r>
        <w:rPr>
          <w:sz w:val="21"/>
          <w:szCs w:val="21"/>
        </w:rPr>
        <w:t>endpoint</w:t>
      </w:r>
      <w:proofErr w:type="spellEnd"/>
      <w:r>
        <w:rPr>
          <w:sz w:val="21"/>
          <w:szCs w:val="21"/>
        </w:rPr>
        <w:t xml:space="preserve"> tracé et testé. La rigueur méthodologique — en particulier la détection et la correction itérative des biais d'annotation, ainsi que le diagnostic approfondi des instabilités d'entraînement — constitue une base solide et documentée pour engager, en toute connaissance de ses limites, la prochaine phase du projet aux côtés des équipes médicales du CHSA.</w:t>
      </w:r>
    </w:p>
    <w:sectPr w:rsidR="00A53A25">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1E8A" w:rsidRDefault="00771E8A">
      <w:r>
        <w:separator/>
      </w:r>
    </w:p>
  </w:endnote>
  <w:endnote w:type="continuationSeparator" w:id="0">
    <w:p w:rsidR="00771E8A" w:rsidRDefault="00771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3A25"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E285A">
      <w:rPr>
        <w:noProof/>
        <w:color w:val="595959"/>
        <w:sz w:val="16"/>
        <w:szCs w:val="16"/>
      </w:rPr>
      <w:t>3</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2E285A">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1E8A" w:rsidRDefault="00771E8A">
      <w:r>
        <w:separator/>
      </w:r>
    </w:p>
  </w:footnote>
  <w:footnote w:type="continuationSeparator" w:id="0">
    <w:p w:rsidR="00771E8A" w:rsidRDefault="00771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3A25" w:rsidRDefault="00000000">
    <w:pPr>
      <w:jc w:val="right"/>
    </w:pPr>
    <w:r>
      <w:rPr>
        <w:i/>
        <w:iCs/>
        <w:color w:val="595959"/>
        <w:sz w:val="16"/>
        <w:szCs w:val="16"/>
      </w:rPr>
      <w:t>POC Agent de Triage Médical — CHSA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A279D"/>
    <w:multiLevelType w:val="hybridMultilevel"/>
    <w:tmpl w:val="E90E4ADE"/>
    <w:lvl w:ilvl="0" w:tplc="7C72B608">
      <w:start w:val="1"/>
      <w:numFmt w:val="bullet"/>
      <w:lvlText w:val="•"/>
      <w:lvlJc w:val="left"/>
      <w:pPr>
        <w:ind w:left="420" w:hanging="260"/>
      </w:pPr>
    </w:lvl>
    <w:lvl w:ilvl="1" w:tplc="CA06E8D4">
      <w:start w:val="1"/>
      <w:numFmt w:val="bullet"/>
      <w:lvlText w:val="◦"/>
      <w:lvlJc w:val="left"/>
      <w:pPr>
        <w:ind w:left="840" w:hanging="260"/>
      </w:pPr>
    </w:lvl>
    <w:lvl w:ilvl="2" w:tplc="99AA7802">
      <w:numFmt w:val="decimal"/>
      <w:lvlText w:val=""/>
      <w:lvlJc w:val="left"/>
    </w:lvl>
    <w:lvl w:ilvl="3" w:tplc="720004A4">
      <w:numFmt w:val="decimal"/>
      <w:lvlText w:val=""/>
      <w:lvlJc w:val="left"/>
    </w:lvl>
    <w:lvl w:ilvl="4" w:tplc="4314E52C">
      <w:numFmt w:val="decimal"/>
      <w:lvlText w:val=""/>
      <w:lvlJc w:val="left"/>
    </w:lvl>
    <w:lvl w:ilvl="5" w:tplc="51BC0576">
      <w:numFmt w:val="decimal"/>
      <w:lvlText w:val=""/>
      <w:lvlJc w:val="left"/>
    </w:lvl>
    <w:lvl w:ilvl="6" w:tplc="E36A1240">
      <w:numFmt w:val="decimal"/>
      <w:lvlText w:val=""/>
      <w:lvlJc w:val="left"/>
    </w:lvl>
    <w:lvl w:ilvl="7" w:tplc="657CCC02">
      <w:numFmt w:val="decimal"/>
      <w:lvlText w:val=""/>
      <w:lvlJc w:val="left"/>
    </w:lvl>
    <w:lvl w:ilvl="8" w:tplc="11320AC4">
      <w:numFmt w:val="decimal"/>
      <w:lvlText w:val=""/>
      <w:lvlJc w:val="left"/>
    </w:lvl>
  </w:abstractNum>
  <w:abstractNum w:abstractNumId="1" w15:restartNumberingAfterBreak="0">
    <w:nsid w:val="263035AE"/>
    <w:multiLevelType w:val="hybridMultilevel"/>
    <w:tmpl w:val="2750B066"/>
    <w:lvl w:ilvl="0" w:tplc="BEE62622">
      <w:start w:val="1"/>
      <w:numFmt w:val="decimal"/>
      <w:lvlText w:val="%1."/>
      <w:lvlJc w:val="left"/>
      <w:pPr>
        <w:ind w:left="420" w:hanging="260"/>
      </w:pPr>
    </w:lvl>
    <w:lvl w:ilvl="1" w:tplc="63AC5394">
      <w:numFmt w:val="decimal"/>
      <w:lvlText w:val=""/>
      <w:lvlJc w:val="left"/>
    </w:lvl>
    <w:lvl w:ilvl="2" w:tplc="E37A5A4E">
      <w:numFmt w:val="decimal"/>
      <w:lvlText w:val=""/>
      <w:lvlJc w:val="left"/>
    </w:lvl>
    <w:lvl w:ilvl="3" w:tplc="D06674EE">
      <w:numFmt w:val="decimal"/>
      <w:lvlText w:val=""/>
      <w:lvlJc w:val="left"/>
    </w:lvl>
    <w:lvl w:ilvl="4" w:tplc="65E8E574">
      <w:numFmt w:val="decimal"/>
      <w:lvlText w:val=""/>
      <w:lvlJc w:val="left"/>
    </w:lvl>
    <w:lvl w:ilvl="5" w:tplc="3504362A">
      <w:numFmt w:val="decimal"/>
      <w:lvlText w:val=""/>
      <w:lvlJc w:val="left"/>
    </w:lvl>
    <w:lvl w:ilvl="6" w:tplc="3EF01030">
      <w:numFmt w:val="decimal"/>
      <w:lvlText w:val=""/>
      <w:lvlJc w:val="left"/>
    </w:lvl>
    <w:lvl w:ilvl="7" w:tplc="7E7E3A6C">
      <w:numFmt w:val="decimal"/>
      <w:lvlText w:val=""/>
      <w:lvlJc w:val="left"/>
    </w:lvl>
    <w:lvl w:ilvl="8" w:tplc="AA76F938">
      <w:numFmt w:val="decimal"/>
      <w:lvlText w:val=""/>
      <w:lvlJc w:val="left"/>
    </w:lvl>
  </w:abstractNum>
  <w:abstractNum w:abstractNumId="2" w15:restartNumberingAfterBreak="0">
    <w:nsid w:val="2CD1047B"/>
    <w:multiLevelType w:val="multilevel"/>
    <w:tmpl w:val="464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E773C"/>
    <w:multiLevelType w:val="hybridMultilevel"/>
    <w:tmpl w:val="F2DA3648"/>
    <w:lvl w:ilvl="0" w:tplc="EB72FEA8">
      <w:start w:val="1"/>
      <w:numFmt w:val="bullet"/>
      <w:lvlText w:val="●"/>
      <w:lvlJc w:val="left"/>
      <w:pPr>
        <w:ind w:left="720" w:hanging="360"/>
      </w:pPr>
    </w:lvl>
    <w:lvl w:ilvl="1" w:tplc="137CCF06">
      <w:start w:val="1"/>
      <w:numFmt w:val="bullet"/>
      <w:lvlText w:val="○"/>
      <w:lvlJc w:val="left"/>
      <w:pPr>
        <w:ind w:left="1440" w:hanging="360"/>
      </w:pPr>
    </w:lvl>
    <w:lvl w:ilvl="2" w:tplc="9B2C738A">
      <w:start w:val="1"/>
      <w:numFmt w:val="bullet"/>
      <w:lvlText w:val="■"/>
      <w:lvlJc w:val="left"/>
      <w:pPr>
        <w:ind w:left="2160" w:hanging="360"/>
      </w:pPr>
    </w:lvl>
    <w:lvl w:ilvl="3" w:tplc="CFA20A76">
      <w:start w:val="1"/>
      <w:numFmt w:val="bullet"/>
      <w:lvlText w:val="●"/>
      <w:lvlJc w:val="left"/>
      <w:pPr>
        <w:ind w:left="2880" w:hanging="360"/>
      </w:pPr>
    </w:lvl>
    <w:lvl w:ilvl="4" w:tplc="D6B8E02A">
      <w:start w:val="1"/>
      <w:numFmt w:val="bullet"/>
      <w:lvlText w:val="○"/>
      <w:lvlJc w:val="left"/>
      <w:pPr>
        <w:ind w:left="3600" w:hanging="360"/>
      </w:pPr>
    </w:lvl>
    <w:lvl w:ilvl="5" w:tplc="42D65926">
      <w:start w:val="1"/>
      <w:numFmt w:val="bullet"/>
      <w:lvlText w:val="■"/>
      <w:lvlJc w:val="left"/>
      <w:pPr>
        <w:ind w:left="4320" w:hanging="360"/>
      </w:pPr>
    </w:lvl>
    <w:lvl w:ilvl="6" w:tplc="90EE7022">
      <w:start w:val="1"/>
      <w:numFmt w:val="bullet"/>
      <w:lvlText w:val="●"/>
      <w:lvlJc w:val="left"/>
      <w:pPr>
        <w:ind w:left="5040" w:hanging="360"/>
      </w:pPr>
    </w:lvl>
    <w:lvl w:ilvl="7" w:tplc="232247B8">
      <w:start w:val="1"/>
      <w:numFmt w:val="bullet"/>
      <w:lvlText w:val="●"/>
      <w:lvlJc w:val="left"/>
      <w:pPr>
        <w:ind w:left="5760" w:hanging="360"/>
      </w:pPr>
    </w:lvl>
    <w:lvl w:ilvl="8" w:tplc="C992A37A">
      <w:start w:val="1"/>
      <w:numFmt w:val="bullet"/>
      <w:lvlText w:val="●"/>
      <w:lvlJc w:val="left"/>
      <w:pPr>
        <w:ind w:left="6480" w:hanging="360"/>
      </w:pPr>
    </w:lvl>
  </w:abstractNum>
  <w:abstractNum w:abstractNumId="4" w15:restartNumberingAfterBreak="0">
    <w:nsid w:val="4A92184B"/>
    <w:multiLevelType w:val="hybridMultilevel"/>
    <w:tmpl w:val="33548C16"/>
    <w:lvl w:ilvl="0" w:tplc="C9EE4AA8">
      <w:start w:val="1"/>
      <w:numFmt w:val="decimal"/>
      <w:lvlText w:val="%1."/>
      <w:lvlJc w:val="left"/>
      <w:pPr>
        <w:ind w:left="420" w:hanging="260"/>
      </w:pPr>
    </w:lvl>
    <w:lvl w:ilvl="1" w:tplc="9F4A8936">
      <w:numFmt w:val="decimal"/>
      <w:lvlText w:val=""/>
      <w:lvlJc w:val="left"/>
    </w:lvl>
    <w:lvl w:ilvl="2" w:tplc="7E1A3252">
      <w:numFmt w:val="decimal"/>
      <w:lvlText w:val=""/>
      <w:lvlJc w:val="left"/>
    </w:lvl>
    <w:lvl w:ilvl="3" w:tplc="BC50CC7A">
      <w:numFmt w:val="decimal"/>
      <w:lvlText w:val=""/>
      <w:lvlJc w:val="left"/>
    </w:lvl>
    <w:lvl w:ilvl="4" w:tplc="E558EBAA">
      <w:numFmt w:val="decimal"/>
      <w:lvlText w:val=""/>
      <w:lvlJc w:val="left"/>
    </w:lvl>
    <w:lvl w:ilvl="5" w:tplc="68365ACC">
      <w:numFmt w:val="decimal"/>
      <w:lvlText w:val=""/>
      <w:lvlJc w:val="left"/>
    </w:lvl>
    <w:lvl w:ilvl="6" w:tplc="E1D4073C">
      <w:numFmt w:val="decimal"/>
      <w:lvlText w:val=""/>
      <w:lvlJc w:val="left"/>
    </w:lvl>
    <w:lvl w:ilvl="7" w:tplc="EB8E390C">
      <w:numFmt w:val="decimal"/>
      <w:lvlText w:val=""/>
      <w:lvlJc w:val="left"/>
    </w:lvl>
    <w:lvl w:ilvl="8" w:tplc="03DE95C4">
      <w:numFmt w:val="decimal"/>
      <w:lvlText w:val=""/>
      <w:lvlJc w:val="left"/>
    </w:lvl>
  </w:abstractNum>
  <w:num w:numId="1" w16cid:durableId="149057781">
    <w:abstractNumId w:val="3"/>
    <w:lvlOverride w:ilvl="0">
      <w:startOverride w:val="1"/>
    </w:lvlOverride>
  </w:num>
  <w:num w:numId="2" w16cid:durableId="1065177585">
    <w:abstractNumId w:val="0"/>
    <w:lvlOverride w:ilvl="0">
      <w:startOverride w:val="1"/>
    </w:lvlOverride>
  </w:num>
  <w:num w:numId="3" w16cid:durableId="1871720088">
    <w:abstractNumId w:val="4"/>
    <w:lvlOverride w:ilvl="0">
      <w:startOverride w:val="1"/>
    </w:lvlOverride>
  </w:num>
  <w:num w:numId="4" w16cid:durableId="2113815181">
    <w:abstractNumId w:val="1"/>
    <w:lvlOverride w:ilvl="0">
      <w:startOverride w:val="1"/>
    </w:lvlOverride>
  </w:num>
  <w:num w:numId="5" w16cid:durableId="204222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25"/>
    <w:rsid w:val="002E285A"/>
    <w:rsid w:val="00771E8A"/>
    <w:rsid w:val="00A53A25"/>
    <w:rsid w:val="00B706A5"/>
    <w:rsid w:val="00C75C07"/>
    <w:rsid w:val="00F32A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97D468F"/>
  <w15:docId w15:val="{12069793-68F7-8C4A-B191-9E22E430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F32A56"/>
    <w:rPr>
      <w:b/>
      <w:bCs/>
    </w:rPr>
  </w:style>
  <w:style w:type="paragraph" w:styleId="NormalWeb">
    <w:name w:val="Normal (Web)"/>
    <w:basedOn w:val="Normal"/>
    <w:uiPriority w:val="99"/>
    <w:semiHidden/>
    <w:unhideWhenUsed/>
    <w:rsid w:val="00F32A56"/>
    <w:pPr>
      <w:spacing w:before="100" w:beforeAutospacing="1" w:after="100" w:afterAutospacing="1"/>
    </w:pPr>
    <w:rPr>
      <w:sz w:val="24"/>
      <w:szCs w:val="24"/>
    </w:rPr>
  </w:style>
  <w:style w:type="character" w:styleId="CodeHTML">
    <w:name w:val="HTML Code"/>
    <w:basedOn w:val="Policepardfaut"/>
    <w:uiPriority w:val="99"/>
    <w:semiHidden/>
    <w:unhideWhenUsed/>
    <w:rsid w:val="00F32A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469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2895</Words>
  <Characters>15926</Characters>
  <Application>Microsoft Office Word</Application>
  <DocSecurity>0</DocSecurity>
  <Lines>132</Lines>
  <Paragraphs>37</Paragraphs>
  <ScaleCrop>false</ScaleCrop>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Mac3</cp:lastModifiedBy>
  <cp:revision>5</cp:revision>
  <dcterms:created xsi:type="dcterms:W3CDTF">2026-08-20T01:51:00Z</dcterms:created>
  <dcterms:modified xsi:type="dcterms:W3CDTF">2026-08-25T01:32:00Z</dcterms:modified>
</cp:coreProperties>
</file>