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sz w:val="24"/>
          <w:szCs w:val="24"/>
        </w:rPr>
        <w:t xml:space="preserve">DuocUC</w:t>
      </w:r>
    </w:p>
    <w:p>
      <w:pPr>
        <w:spacing w:after="800" w:before="100"/>
        <w:jc w:val="center"/>
      </w:pPr>
      <w:r>
        <w:rPr>
          <w:rFonts w:ascii="Arial" w:cs="Arial" w:eastAsia="Arial" w:hAnsi="Arial"/>
          <w:sz w:val="22"/>
          <w:szCs w:val="22"/>
        </w:rPr>
        <w:t xml:space="preserve">Escuela de Informática y Telecomunicaciones</w:t>
      </w:r>
    </w:p>
    <w:p>
      <w:pPr>
        <w:spacing w:after="100" w:before="200"/>
        <w:jc w:val="center"/>
      </w:pPr>
      <w:r>
        <w:rPr>
          <w:rFonts w:ascii="Arial" w:cs="Arial" w:eastAsia="Arial" w:hAnsi="Arial"/>
          <w:b/>
          <w:bCs/>
          <w:sz w:val="32"/>
          <w:szCs w:val="32"/>
        </w:rPr>
        <w:t xml:space="preserve">Definición de Proyecto APT</w:t>
      </w:r>
    </w:p>
    <w:p>
      <w:pPr>
        <w:spacing w:after="800"/>
        <w:jc w:val="center"/>
      </w:pPr>
      <w:r>
        <w:rPr>
          <w:rFonts w:ascii="Arial" w:cs="Arial" w:eastAsia="Arial" w:hAnsi="Arial"/>
          <w:b w:val="false"/>
          <w:bCs w:val="false"/>
          <w:i/>
          <w:iCs/>
          <w:sz w:val="26"/>
          <w:szCs w:val="26"/>
        </w:rPr>
        <w:t xml:space="preserve">MuniVox: Plataforma de Gestión Inteligente de Reclamos Ciudadanos con WhatsApp, IA y Centro de Comando C4</w:t>
      </w:r>
    </w:p>
    <w:p>
      <w:pPr>
        <w:spacing w:after="100"/>
        <w:jc w:val="center"/>
      </w:pPr>
      <w:r>
        <w:rPr>
          <w:rFonts w:ascii="Arial" w:cs="Arial" w:eastAsia="Arial" w:hAnsi="Arial"/>
          <w:sz w:val="22"/>
          <w:szCs w:val="22"/>
        </w:rPr>
        <w:t xml:space="preserve">Asignatura: Proyecto de Título (Capstone) — PTY4614</w:t>
      </w:r>
    </w:p>
    <w:p>
      <w:pPr>
        <w:spacing w:after="100"/>
        <w:jc w:val="center"/>
      </w:pPr>
      <w:r>
        <w:rPr>
          <w:rFonts w:ascii="Arial" w:cs="Arial" w:eastAsia="Arial" w:hAnsi="Arial"/>
          <w:sz w:val="22"/>
          <w:szCs w:val="22"/>
        </w:rPr>
        <w:t xml:space="preserve">Integrantes: Pablo Vargas · Alonso Campusano</w:t>
      </w:r>
    </w:p>
    <w:p>
      <w:pPr>
        <w:spacing w:after="1200"/>
        <w:jc w:val="center"/>
      </w:pPr>
      <w:r>
        <w:rPr>
          <w:rFonts w:ascii="Arial" w:cs="Arial" w:eastAsia="Arial" w:hAnsi="Arial"/>
          <w:sz w:val="22"/>
          <w:szCs w:val="22"/>
        </w:rPr>
        <w:t xml:space="preserve">Formativa Fase 1 — Definición de Proyecto</w:t>
      </w:r>
    </w:p>
    <w:p>
      <w:pPr>
        <w:jc w:val="center"/>
      </w:pPr>
      <w:r>
        <w:rPr>
          <w:rFonts w:ascii="Arial" w:cs="Arial" w:eastAsia="Arial" w:hAnsi="Arial"/>
          <w:sz w:val="22"/>
          <w:szCs w:val="22"/>
        </w:rPr>
        <w:t xml:space="preserve">Santiago de Chile, agosto de 2026</w:t>
      </w:r>
    </w:p>
    <w:p>
      <w:pPr>
        <w:sectPr>
          <w:pgSz w:w="11906" w:h="16838" w:orient="portrait"/>
          <w:pgMar w:top="1440" w:right="1440" w:bottom="1440" w:left="1440" w:header="708" w:footer="708" w:gutter="0"/>
          <w:pgNumType/>
          <w:titlePg/>
          <w:docGrid w:linePitch="360"/>
        </w:sectPr>
      </w:pPr>
    </w:p>
    <w:p>
      <w:pPr>
        <w:pStyle w:val="Heading1"/>
        <w:spacing w:after="200" w:before="400"/>
      </w:pPr>
      <w:r>
        <w:rPr>
          <w:rFonts w:ascii="Arial" w:cs="Arial" w:eastAsia="Arial" w:hAnsi="Arial"/>
        </w:rPr>
        <w:t xml:space="preserve">Índice</w:t>
      </w:r>
    </w:p>
    <w:p>
      <w:pPr>
        <w:tabs>
          <w:tab w:val="right" w:pos="9026" w:leader="dot"/>
        </w:tabs>
        <w:spacing w:after="140"/>
        <w:ind w:left="0"/>
      </w:pPr>
      <w:r>
        <w:rPr>
          <w:rFonts w:ascii="Arial" w:cs="Arial" w:eastAsia="Arial" w:hAnsi="Arial"/>
          <w:sz w:val="22"/>
          <w:szCs w:val="22"/>
        </w:rPr>
        <w:t xml:space="preserve">Abstract (Español)</w:t>
      </w:r>
      <w:r>
        <w:rPr>
          <w:rFonts w:ascii="Arial" w:cs="Arial" w:eastAsia="Arial" w:hAnsi="Arial"/>
          <w:sz w:val="22"/>
          <w:szCs w:val="22"/>
        </w:rPr>
        <w:t xml:space="preserve">	3</w:t>
      </w:r>
    </w:p>
    <w:p>
      <w:pPr>
        <w:tabs>
          <w:tab w:val="right" w:pos="9026" w:leader="dot"/>
        </w:tabs>
        <w:spacing w:after="140"/>
        <w:ind w:left="0"/>
      </w:pPr>
      <w:r>
        <w:rPr>
          <w:rFonts w:ascii="Arial" w:cs="Arial" w:eastAsia="Arial" w:hAnsi="Arial"/>
          <w:sz w:val="22"/>
          <w:szCs w:val="22"/>
        </w:rPr>
        <w:t xml:space="preserve">Abstract (English)</w:t>
      </w:r>
      <w:r>
        <w:rPr>
          <w:rFonts w:ascii="Arial" w:cs="Arial" w:eastAsia="Arial" w:hAnsi="Arial"/>
          <w:sz w:val="22"/>
          <w:szCs w:val="22"/>
        </w:rPr>
        <w:t xml:space="preserve">	3</w:t>
      </w:r>
    </w:p>
    <w:p>
      <w:pPr>
        <w:tabs>
          <w:tab w:val="right" w:pos="9026" w:leader="dot"/>
        </w:tabs>
        <w:spacing w:after="140"/>
        <w:ind w:left="0"/>
      </w:pPr>
      <w:r>
        <w:rPr>
          <w:rFonts w:ascii="Arial" w:cs="Arial" w:eastAsia="Arial" w:hAnsi="Arial"/>
          <w:sz w:val="22"/>
          <w:szCs w:val="22"/>
        </w:rPr>
        <w:t xml:space="preserve">Desarrollo de Ingeniería</w:t>
      </w:r>
      <w:r>
        <w:rPr>
          <w:rFonts w:ascii="Arial" w:cs="Arial" w:eastAsia="Arial" w:hAnsi="Arial"/>
          <w:sz w:val="22"/>
          <w:szCs w:val="22"/>
        </w:rPr>
        <w:t xml:space="preserve">	4</w:t>
      </w:r>
    </w:p>
    <w:p>
      <w:pPr>
        <w:tabs>
          <w:tab w:val="right" w:pos="9026" w:leader="dot"/>
        </w:tabs>
        <w:spacing w:after="140"/>
        <w:ind w:left="360"/>
      </w:pPr>
      <w:r>
        <w:rPr>
          <w:rFonts w:ascii="Arial" w:cs="Arial" w:eastAsia="Arial" w:hAnsi="Arial"/>
          <w:sz w:val="22"/>
          <w:szCs w:val="22"/>
        </w:rPr>
        <w:t xml:space="preserve">1. Descripción del Proyecto y Justificación de su Relevancia</w:t>
      </w:r>
      <w:r>
        <w:rPr>
          <w:rFonts w:ascii="Arial" w:cs="Arial" w:eastAsia="Arial" w:hAnsi="Arial"/>
          <w:sz w:val="22"/>
          <w:szCs w:val="22"/>
        </w:rPr>
        <w:t xml:space="preserve">	4</w:t>
      </w:r>
    </w:p>
    <w:p>
      <w:pPr>
        <w:tabs>
          <w:tab w:val="right" w:pos="9026" w:leader="dot"/>
        </w:tabs>
        <w:spacing w:after="140"/>
        <w:ind w:left="360"/>
      </w:pPr>
      <w:r>
        <w:rPr>
          <w:rFonts w:ascii="Arial" w:cs="Arial" w:eastAsia="Arial" w:hAnsi="Arial"/>
          <w:sz w:val="22"/>
          <w:szCs w:val="22"/>
        </w:rPr>
        <w:t xml:space="preserve">2. Relación del Proyecto APT con las Competencias del Perfil de Egreso</w:t>
      </w:r>
      <w:r>
        <w:rPr>
          <w:rFonts w:ascii="Arial" w:cs="Arial" w:eastAsia="Arial" w:hAnsi="Arial"/>
          <w:sz w:val="22"/>
          <w:szCs w:val="22"/>
        </w:rPr>
        <w:t xml:space="preserve">	5</w:t>
      </w:r>
    </w:p>
    <w:p>
      <w:pPr>
        <w:tabs>
          <w:tab w:val="right" w:pos="9026" w:leader="dot"/>
        </w:tabs>
        <w:spacing w:after="140"/>
        <w:ind w:left="360"/>
      </w:pPr>
      <w:r>
        <w:rPr>
          <w:rFonts w:ascii="Arial" w:cs="Arial" w:eastAsia="Arial" w:hAnsi="Arial"/>
          <w:sz w:val="22"/>
          <w:szCs w:val="22"/>
        </w:rPr>
        <w:t xml:space="preserve">3. Relación del Proyecto APT con los Intereses Profesionales del Equipo</w:t>
      </w:r>
      <w:r>
        <w:rPr>
          <w:rFonts w:ascii="Arial" w:cs="Arial" w:eastAsia="Arial" w:hAnsi="Arial"/>
          <w:sz w:val="22"/>
          <w:szCs w:val="22"/>
        </w:rPr>
        <w:t xml:space="preserve">	6</w:t>
      </w:r>
    </w:p>
    <w:p>
      <w:pPr>
        <w:tabs>
          <w:tab w:val="right" w:pos="9026" w:leader="dot"/>
        </w:tabs>
        <w:spacing w:after="140"/>
        <w:ind w:left="360"/>
      </w:pPr>
      <w:r>
        <w:rPr>
          <w:rFonts w:ascii="Arial" w:cs="Arial" w:eastAsia="Arial" w:hAnsi="Arial"/>
          <w:sz w:val="22"/>
          <w:szCs w:val="22"/>
        </w:rPr>
        <w:t xml:space="preserve">4. Factibilidad del Proyecto en el Marco de la Asignatura</w:t>
      </w:r>
      <w:r>
        <w:rPr>
          <w:rFonts w:ascii="Arial" w:cs="Arial" w:eastAsia="Arial" w:hAnsi="Arial"/>
          <w:sz w:val="22"/>
          <w:szCs w:val="22"/>
        </w:rPr>
        <w:t xml:space="preserve">	6</w:t>
      </w:r>
    </w:p>
    <w:p>
      <w:pPr>
        <w:tabs>
          <w:tab w:val="right" w:pos="9026" w:leader="dot"/>
        </w:tabs>
        <w:spacing w:after="140"/>
        <w:ind w:left="0"/>
      </w:pPr>
      <w:r>
        <w:rPr>
          <w:rFonts w:ascii="Arial" w:cs="Arial" w:eastAsia="Arial" w:hAnsi="Arial"/>
          <w:sz w:val="22"/>
          <w:szCs w:val="22"/>
        </w:rPr>
        <w:t xml:space="preserve">Conclusions</w:t>
      </w:r>
      <w:r>
        <w:rPr>
          <w:rFonts w:ascii="Arial" w:cs="Arial" w:eastAsia="Arial" w:hAnsi="Arial"/>
          <w:sz w:val="22"/>
          <w:szCs w:val="22"/>
        </w:rPr>
        <w:t xml:space="preserve">	8</w:t>
      </w:r>
    </w:p>
    <w:p>
      <w:pPr>
        <w:tabs>
          <w:tab w:val="right" w:pos="9026" w:leader="dot"/>
        </w:tabs>
        <w:spacing w:after="140"/>
        <w:ind w:left="360"/>
      </w:pPr>
      <w:r>
        <w:rPr>
          <w:rFonts w:ascii="Arial" w:cs="Arial" w:eastAsia="Arial" w:hAnsi="Arial"/>
          <w:sz w:val="22"/>
          <w:szCs w:val="22"/>
        </w:rPr>
        <w:t xml:space="preserve">Pablo Vargas</w:t>
      </w:r>
      <w:r>
        <w:rPr>
          <w:rFonts w:ascii="Arial" w:cs="Arial" w:eastAsia="Arial" w:hAnsi="Arial"/>
          <w:sz w:val="22"/>
          <w:szCs w:val="22"/>
        </w:rPr>
        <w:t xml:space="preserve">	8</w:t>
      </w:r>
    </w:p>
    <w:p>
      <w:pPr>
        <w:tabs>
          <w:tab w:val="right" w:pos="9026" w:leader="dot"/>
        </w:tabs>
        <w:spacing w:after="140"/>
        <w:ind w:left="360"/>
      </w:pPr>
      <w:r>
        <w:rPr>
          <w:rFonts w:ascii="Arial" w:cs="Arial" w:eastAsia="Arial" w:hAnsi="Arial"/>
          <w:sz w:val="22"/>
          <w:szCs w:val="22"/>
        </w:rPr>
        <w:t xml:space="preserve">Alonso Campusano</w:t>
      </w:r>
      <w:r>
        <w:rPr>
          <w:rFonts w:ascii="Arial" w:cs="Arial" w:eastAsia="Arial" w:hAnsi="Arial"/>
          <w:sz w:val="22"/>
          <w:szCs w:val="22"/>
        </w:rPr>
        <w:t xml:space="preserve">	8</w:t>
      </w:r>
    </w:p>
    <w:p>
      <w:pPr>
        <w:tabs>
          <w:tab w:val="right" w:pos="9026" w:leader="dot"/>
        </w:tabs>
        <w:spacing w:after="140"/>
        <w:ind w:left="0"/>
      </w:pPr>
      <w:r>
        <w:rPr>
          <w:rFonts w:ascii="Arial" w:cs="Arial" w:eastAsia="Arial" w:hAnsi="Arial"/>
          <w:sz w:val="22"/>
          <w:szCs w:val="22"/>
        </w:rPr>
        <w:t xml:space="preserve">Reflection</w:t>
      </w:r>
      <w:r>
        <w:rPr>
          <w:rFonts w:ascii="Arial" w:cs="Arial" w:eastAsia="Arial" w:hAnsi="Arial"/>
          <w:sz w:val="22"/>
          <w:szCs w:val="22"/>
        </w:rPr>
        <w:t xml:space="preserve">	8</w:t>
      </w:r>
    </w:p>
    <w:p>
      <w:pPr>
        <w:tabs>
          <w:tab w:val="right" w:pos="9026" w:leader="dot"/>
        </w:tabs>
        <w:spacing w:after="140"/>
        <w:ind w:left="0"/>
      </w:pPr>
      <w:r>
        <w:rPr>
          <w:rFonts w:ascii="Arial" w:cs="Arial" w:eastAsia="Arial" w:hAnsi="Arial"/>
          <w:sz w:val="22"/>
          <w:szCs w:val="22"/>
        </w:rPr>
        <w:t xml:space="preserve">Fuentes</w:t>
      </w:r>
      <w:r>
        <w:rPr>
          <w:rFonts w:ascii="Arial" w:cs="Arial" w:eastAsia="Arial" w:hAnsi="Arial"/>
          <w:sz w:val="22"/>
          <w:szCs w:val="22"/>
        </w:rPr>
        <w:t xml:space="preserve">	9</w:t>
      </w:r>
    </w:p>
    <w:p>
      <w:pPr>
        <w:tabs>
          <w:tab w:val="right" w:pos="9026" w:leader="dot"/>
        </w:tabs>
        <w:spacing w:after="140"/>
        <w:ind w:left="0"/>
      </w:pPr>
      <w:r>
        <w:rPr>
          <w:rFonts w:ascii="Arial" w:cs="Arial" w:eastAsia="Arial" w:hAnsi="Arial"/>
          <w:sz w:val="22"/>
          <w:szCs w:val="22"/>
        </w:rPr>
        <w:t xml:space="preserve">Anexo A: Evidencia Técnica de Diseño</w:t>
      </w:r>
      <w:r>
        <w:rPr>
          <w:rFonts w:ascii="Arial" w:cs="Arial" w:eastAsia="Arial" w:hAnsi="Arial"/>
          <w:sz w:val="22"/>
          <w:szCs w:val="22"/>
        </w:rPr>
        <w:t xml:space="preserve">	10</w:t>
      </w:r>
    </w:p>
    <w:p>
      <w:r>
        <w:br w:type="page"/>
      </w:r>
    </w:p>
    <w:p>
      <w:pPr>
        <w:pStyle w:val="Heading1"/>
        <w:spacing w:after="200" w:before="400"/>
      </w:pPr>
      <w:r>
        <w:rPr>
          <w:rFonts w:ascii="Arial" w:cs="Arial" w:eastAsia="Arial" w:hAnsi="Arial"/>
        </w:rPr>
        <w:t xml:space="preserve">Abstract (Español)</w:t>
      </w:r>
    </w:p>
    <w:p>
      <w:pPr>
        <w:spacing w:after="200" w:line="360"/>
      </w:pPr>
      <w:r>
        <w:rPr>
          <w:rFonts w:ascii="Arial" w:cs="Arial" w:eastAsia="Arial" w:hAnsi="Arial"/>
          <w:b w:val="false"/>
          <w:bCs w:val="false"/>
          <w:i w:val="false"/>
          <w:iCs w:val="false"/>
          <w:sz w:val="22"/>
          <w:szCs w:val="22"/>
        </w:rPr>
        <w:t xml:space="preserve">Este documento presenta la definición del Proyecto APT denominado MuniVox, una plataforma de gestión de reclamos e incidencias urbanas orientada a la Municipalidad de Buin. La propuesta responde a una brecha de la gestión municipal chilena: cuando el registro, la clasificación y la derivación de los reclamos dependen de procesos manuales, las respuestas se demoran y el ciudadano no recibe información sobre el avance de su caso. El proyecto plantea un ecosistema compuesto por un asistente de inteligencia artificial conectado a WhatsApp, que actúa como primer inspector —analiza el texto y las fotografías y exige la ubicación GPS antes de crear el ticket—, y un Centro de Comando, Control, Comunicaciones y Computación (C4) web con tres interfaces: un mapa 3D para el operador central, un panel de despacho para cada departamento municipal y una aplicación web móvil para el funcionario en terreno. La plataforma se construye sobre una arquitectura orientada a eventos y microservicios (Azure Container Apps, AWS Lambda, PostgreSQL, Redis y Next.js) y notifica automáticamente al ciudadano cada cambio de estado de su reporte. Este informe describe la relevancia del proyecto para el campo laboral de la carrera, su relación con las competencias del perfil de egreso, su vínculo con los intereses profesionales del equipo y los argumentos que sustentan su factibilidad dentro de los plazos y recursos definidos para la asignatura.</w:t>
      </w:r>
    </w:p>
    <w:p>
      <w:pPr>
        <w:pStyle w:val="Heading1"/>
        <w:spacing w:after="200" w:before="400"/>
      </w:pPr>
      <w:r>
        <w:rPr>
          <w:rFonts w:ascii="Arial" w:cs="Arial" w:eastAsia="Arial" w:hAnsi="Arial"/>
        </w:rPr>
        <w:t xml:space="preserve">Abstract (English)</w:t>
      </w:r>
    </w:p>
    <w:p>
      <w:pPr>
        <w:spacing w:after="200" w:line="360"/>
      </w:pPr>
      <w:r>
        <w:rPr>
          <w:rFonts w:ascii="Arial" w:cs="Arial" w:eastAsia="Arial" w:hAnsi="Arial"/>
          <w:b w:val="false"/>
          <w:bCs w:val="false"/>
          <w:i w:val="false"/>
          <w:iCs w:val="false"/>
          <w:sz w:val="22"/>
          <w:szCs w:val="22"/>
        </w:rPr>
        <w:t xml:space="preserve">This report presents the definition of the APT Project MuniVox, a platform for managing urban incidents and citizen complaints designed for the Municipality of Buin. The proposal addresses a gap in Chilean municipal management: when the registration, classification and routing of complaints rely on manual processes, responses are delayed and citizens receive no information about the progress of their case. The project proposes an ecosystem made up of an artificial intelligence assistant connected to WhatsApp, which acts as a first inspector —it analyzes the text and photographs and requires a GPS location before a ticket is created— and a web-based Command, Control, Communications and Computing (C4) center with three interfaces: a 3D map for the central operator, a dispatch panel for each municipal department, and a mobile web app for field staff. The platform is built on an event-driven, microservices architecture (Azure Container Apps, AWS Lambda, PostgreSQL, Redis and Next.js) and automatically notifies the citizen of every status change of their report. This report outlines the project's relevance to the professional field, its connection to the competencies defined in the graduate profile, its relation to the team's professional interests, and the reasoning that supports its feasibility within the time and resource constraints of the course.</w:t>
      </w:r>
    </w:p>
    <w:p>
      <w:r>
        <w:br w:type="page"/>
      </w:r>
    </w:p>
    <w:p>
      <w:pPr>
        <w:pStyle w:val="Heading1"/>
        <w:spacing w:after="200" w:before="400"/>
      </w:pPr>
      <w:r>
        <w:rPr>
          <w:rFonts w:ascii="Arial" w:cs="Arial" w:eastAsia="Arial" w:hAnsi="Arial"/>
        </w:rPr>
        <w:t xml:space="preserve">Desarrollo de Ingeniería</w:t>
      </w:r>
    </w:p>
    <w:p>
      <w:pPr>
        <w:pStyle w:val="Heading2"/>
        <w:spacing w:after="160" w:before="300"/>
      </w:pPr>
      <w:r>
        <w:rPr>
          <w:rFonts w:ascii="Arial" w:cs="Arial" w:eastAsia="Arial" w:hAnsi="Arial"/>
        </w:rPr>
        <w:t xml:space="preserve">1. Descripción del Proyecto y Justificación de su Relevancia</w:t>
      </w:r>
    </w:p>
    <w:p>
      <w:pPr>
        <w:spacing w:after="200" w:line="360"/>
      </w:pPr>
      <w:r>
        <w:rPr>
          <w:rFonts w:ascii="Arial" w:cs="Arial" w:eastAsia="Arial" w:hAnsi="Arial"/>
          <w:b w:val="false"/>
          <w:bCs w:val="false"/>
          <w:i w:val="false"/>
          <w:iCs w:val="false"/>
          <w:sz w:val="22"/>
          <w:szCs w:val="22"/>
        </w:rPr>
        <w:t xml:space="preserve">MuniVox nace de un problema que se repite en los municipios del país: las incidencias urbanas —baches, microbasurales, vehículos abandonados, ruidos molestos, luminarias— llegan por canales no estandarizados (redes sociales, llamadas telefónicas, correos o atención presencial) y dependen de que una persona lea, interprete y derive cada caso de forma manual. El resultado son reportes incompletos, sin ubicación exacta ni evidencia fotográfica, duplicados o que ni siquiera corresponden a la municipalidad (por ejemplo, emergencias vitales que competen a Carabineros o a una ambulancia); equipos que se despachan sin saber dónde están los vehículos municipales; y ciudadanos que, una vez que reportan, no vuelven a saber nada de su caso. El Estado reconoce esta brecha de manera explícita: la SUBDERE aplica un Diagnóstico Nacional de Calidad de la Gestión Municipal a los 345 municipios del país, y su instrumento 2019 consulta a cada municipio si cuenta con un Sistema Integrado de Reclamos que permita registrar, clasificar, derivar, responder y hacer seguimiento de los casos (SUBDERE, 2019). A su vez, el Diagnóstico de Calidad de Servicio y Experiencia Usuaria y MESU 2023 identifica como debilidad principal el retraso en la entrega oportuna de respuestas a las consultas, reclamos y sugerencias que la ciudadanía realiza a través del Portal de Atención Ciudadana (SUBDERE, 2023).</w:t>
      </w:r>
    </w:p>
    <w:p>
      <w:pPr>
        <w:spacing w:after="200" w:line="360"/>
      </w:pPr>
      <w:r>
        <w:rPr>
          <w:rFonts w:ascii="Arial" w:cs="Arial" w:eastAsia="Arial" w:hAnsi="Arial"/>
          <w:b w:val="false"/>
          <w:bCs w:val="false"/>
          <w:i w:val="false"/>
          <w:iCs w:val="false"/>
          <w:sz w:val="22"/>
          <w:szCs w:val="22"/>
        </w:rPr>
        <w:t xml:space="preserve">La propuesta consiste en un ecosistema con dos componentes. El primero es un flujo de inteligencia artificial conectado a WhatsApp: el ciudadano reporta por el canal más accesible y un worker con un modelo de Gemini actúa como primer inspector, evaluando el texto y las fotografías (visión artificial), derivando las emergencias vitales a los números 131, 132 y 133 y exigiendo la ubicación GPS mediante un flujo estricto antes de crear el ticket. El segundo es una plataforma web C4 con tres vistas: el operador central ve en un mapa 3D todas las incidencias y la ubicación en vivo del personal en terreno; cada departamento (Aseo, Tránsito, Seguridad y Obras) asigna los tickets a funcionarios de su área, ordenados por cercanía; y el funcionario en terreno recibe la tarea en una aplicación web móvil, la acepta o rechaza, transmite su ubicación, navega hasta el punto mediante Waze o Google Maps y la cierra al resolverla. Cada cambio de estado dispara un WhatsApp automático al ciudadano, cerrando el ciclo de transparencia. Desde el punto de vista técnico, el sistema separa la carga intensiva de la IA del backend transaccional y del frontend reactivo mediante una cola de mensajes, un servicio de tiempo real por WebSocket y una API REST sobre AWS Lambda, con una base de datos PostgreSQL.</w:t>
      </w:r>
    </w:p>
    <w:p>
      <w:pPr>
        <w:spacing w:after="200" w:line="360"/>
      </w:pPr>
      <w:r>
        <w:rPr>
          <w:rFonts w:ascii="Arial" w:cs="Arial" w:eastAsia="Arial" w:hAnsi="Arial"/>
          <w:b w:val="false"/>
          <w:bCs w:val="false"/>
          <w:i w:val="false"/>
          <w:iCs w:val="false"/>
          <w:sz w:val="22"/>
          <w:szCs w:val="22"/>
        </w:rPr>
        <w:t xml:space="preserve">La relevancia para el campo laboral de la carrera es directa: el proyecto integra desarrollo de microservicios, integración con APIs de terceros (WhatsApp Cloud API, un modelo de IA generativa y cartografía), arquitectura cloud sobre dos proveedores, modelamiento de datos, procesamiento en tiempo real y diseño de interfaces para perfiles operativos distintos, que es exactamente el tipo de trabajo interdisciplinario que hoy se pide a un ingeniero en informática que se desempeña en soluciones de gobierno digital o ciudades inteligentes. El problema, además, es verificable en el contexto local. Según la Radiografía de los residuos domiciliarios municipales de Chile Sin Basura, 305 comunas declararon identificar 3.941 microbasurales (Chile Sin Basura, s. f.), un tipo de incidencia que requiere ubicación, evidencia y derivación a un equipo municipal, y ya existen trámites formales para canalizar este tipo de denuncias (ChileAtiende, s. f.). Asimismo, la Municipalidad de Castro habilitó recientemente un WhatsApp 24/7 para denunciar situaciones de inseguridad, donde se reciben fotos, audios, ubicaciones y coordenadas (BioBioChile, 2026). Este caso no se presenta como prueba de que MuniVox funciona, sino como evidencia de que el canal y el requerimiento de ubicación y evidencia son pertinentes en el contexto municipal chileno.</w:t>
      </w:r>
    </w:p>
    <w:p>
      <w:pPr>
        <w:pStyle w:val="Heading2"/>
        <w:spacing w:after="160" w:before="300"/>
      </w:pPr>
      <w:r>
        <w:rPr>
          <w:rFonts w:ascii="Arial" w:cs="Arial" w:eastAsia="Arial" w:hAnsi="Arial"/>
        </w:rPr>
        <w:t xml:space="preserve">2. Relación del Proyecto APT con las Competencias del Perfil de Egreso</w:t>
      </w:r>
    </w:p>
    <w:p>
      <w:pPr>
        <w:spacing w:after="200" w:line="360"/>
      </w:pPr>
      <w:r>
        <w:rPr>
          <w:rFonts w:ascii="Arial" w:cs="Arial" w:eastAsia="Arial" w:hAnsi="Arial"/>
          <w:b w:val="false"/>
          <w:bCs w:val="false"/>
          <w:i w:val="false"/>
          <w:iCs w:val="false"/>
          <w:sz w:val="22"/>
          <w:szCs w:val="22"/>
        </w:rPr>
        <w:t xml:space="preserve">El proyecto fue diseñado de manera que su desarrollo movilice al menos cuatro competencias del perfil de egreso, no como un ejercicio formal, sino porque la naturaleza del problema las requiere todas.</w:t>
      </w:r>
    </w:p>
    <w:p>
      <w:pPr>
        <w:spacing w:after="200" w:line="360"/>
      </w:pPr>
      <w:r>
        <w:rPr>
          <w:rFonts w:ascii="Arial" w:cs="Arial" w:eastAsia="Arial" w:hAnsi="Arial"/>
          <w:b w:val="false"/>
          <w:bCs w:val="false"/>
          <w:i w:val="false"/>
          <w:iCs w:val="false"/>
          <w:sz w:val="22"/>
          <w:szCs w:val="22"/>
        </w:rPr>
        <w:t xml:space="preserve">En cuanto a desarrollar una solución de software, MuniVox no es un solo programa sino la integración de varios componentes independientes: un webhook que recibe los mensajes de WhatsApp, un worker que los procesa con IA, un servicio de tiempo real, una API REST sobre AWS Lambda y una aplicación Next.js con tres interfaces según el rol del usuario (operador central, jefatura de departamento y funcionario en terreno), autenticada con AWS Cognito. Diseñar cómo estas piezas se comunican entre sí —mediante una cola Redis con BullMQ, un canal Pub/Sub, WebSockets y llamadas REST— y qué información viaja por cada una es en sí mismo un ejercicio de arquitectura de software.</w:t>
      </w:r>
    </w:p>
    <w:p>
      <w:pPr>
        <w:spacing w:after="200" w:line="360"/>
      </w:pPr>
      <w:r>
        <w:rPr>
          <w:rFonts w:ascii="Arial" w:cs="Arial" w:eastAsia="Arial" w:hAnsi="Arial"/>
          <w:b w:val="false"/>
          <w:bCs w:val="false"/>
          <w:i w:val="false"/>
          <w:iCs w:val="false"/>
          <w:sz w:val="22"/>
          <w:szCs w:val="22"/>
        </w:rPr>
        <w:t xml:space="preserve">Respecto a construir modelos de datos, el sistema necesita estructurar la información de ciudadanos, reportes, categorías, departamentos, operadores, evidencias fotográficas e historial de cambios de estado, de modo que cada ticket conserve su trazabilidad completa desde el mensaje original hasta su cierre. Esto se resolvió con un modelo relacional en PostgreSQL, accedido mediante Prisma, que comparten el worker y la API REST. Implica decisiones concretas de modelamiento —qué enumeraciones definen los estados y las prioridades, qué relaciones son opcionales (un ticket puede quedar sin categoría o sin departamento sin generar error), qué registros se eliminan en cascada— antes de escribir una sola línea de backend.</w:t>
      </w:r>
    </w:p>
    <w:p>
      <w:pPr>
        <w:spacing w:after="200" w:line="360"/>
      </w:pPr>
      <w:r>
        <w:rPr>
          <w:rFonts w:ascii="Arial" w:cs="Arial" w:eastAsia="Arial" w:hAnsi="Arial"/>
          <w:b w:val="false"/>
          <w:bCs w:val="false"/>
          <w:i w:val="false"/>
          <w:iCs w:val="false"/>
          <w:sz w:val="22"/>
          <w:szCs w:val="22"/>
        </w:rPr>
        <w:t xml:space="preserve">En la dimensión de gestionar proyectos informáticos, el equipo tuvo que tomar decisiones de arquitectura con impacto directo en la confiabilidad, la mantenibilidad y el tiempo de desarrollo, como separar la ingesta de mensajes del procesamiento con IA mediante una cola, de modo que el sistema responda de inmediato a Meta (que exige confirmar la recepción en pocos segundos y reintenta los mensajes que no confirma) y que esos reintentos no generen tickets duplicados. También debió coordinar el despliegue de los servicios entre contenedores en Azure y servicios administrados en AWS, lo que obliga a gestionar variables de entorno, credenciales y dependencias entre plataformas.</w:t>
      </w:r>
    </w:p>
    <w:p>
      <w:pPr>
        <w:spacing w:after="200" w:line="360"/>
      </w:pPr>
      <w:r>
        <w:rPr>
          <w:rFonts w:ascii="Arial" w:cs="Arial" w:eastAsia="Arial" w:hAnsi="Arial"/>
          <w:b w:val="false"/>
          <w:bCs w:val="false"/>
          <w:i w:val="false"/>
          <w:iCs w:val="false"/>
          <w:sz w:val="22"/>
          <w:szCs w:val="22"/>
        </w:rPr>
        <w:t xml:space="preserve">Finalmente, en realizar pruebas de validación, el proyecto contempla verificar el flujo de extremo a extremo —desde el mensaje de WhatsApp del ciudadano hasta el aviso de cierre del caso— con reportes simulados que cubran los distintos escenarios (reporte completo, reporte sin ubicación o sin fotografía, evidencia que no corresponde al reporte, emergencia vital, mensajes duplicados y rechazo de la tarea por parte del funcionario), y recoger evidencia cualitativa de operadores municipales y funcionarios sobre la claridad de las interfaces antes de avanzar a una segunda iteración del prototipo.</w:t>
      </w:r>
    </w:p>
    <w:p>
      <w:pPr>
        <w:pStyle w:val="Heading2"/>
        <w:spacing w:after="160" w:before="300"/>
      </w:pPr>
      <w:r>
        <w:rPr>
          <w:rFonts w:ascii="Arial" w:cs="Arial" w:eastAsia="Arial" w:hAnsi="Arial"/>
        </w:rPr>
        <w:t xml:space="preserve">3. Relación del Proyecto APT con los Intereses Profesionales del Equipo</w:t>
      </w:r>
    </w:p>
    <w:p>
      <w:pPr>
        <w:spacing w:after="200" w:line="360"/>
      </w:pPr>
      <w:r>
        <w:rPr>
          <w:rFonts w:ascii="Arial" w:cs="Arial" w:eastAsia="Arial" w:hAnsi="Arial"/>
          <w:b w:val="false"/>
          <w:bCs w:val="false"/>
          <w:i w:val="false"/>
          <w:iCs w:val="false"/>
          <w:sz w:val="22"/>
          <w:szCs w:val="22"/>
        </w:rPr>
        <w:t xml:space="preserve">Para Pablo Vargas, el interés detrás de este proyecto está en construir sistemas que funcionan en tiempo real y que usan personas en terreno. La posibilidad de integrar mensajería, inteligencia artificial, geolocalización en dispositivos móviles y despliegue en la nube conecta directamente con lo que busca profundizar antes de egresar: no quedarse solo en una aplicación web aislada, sino entender cómo se construye un producto que debe funcionar en el teléfono de un funcionario que está en la calle.</w:t>
      </w:r>
    </w:p>
    <w:p>
      <w:pPr>
        <w:spacing w:after="200" w:line="360"/>
      </w:pPr>
      <w:r>
        <w:rPr>
          <w:rFonts w:ascii="Arial" w:cs="Arial" w:eastAsia="Arial" w:hAnsi="Arial"/>
          <w:b w:val="false"/>
          <w:bCs w:val="false"/>
          <w:i w:val="false"/>
          <w:iCs w:val="false"/>
          <w:sz w:val="22"/>
          <w:szCs w:val="22"/>
        </w:rPr>
        <w:t xml:space="preserve">Para Alonso Campusano, el interés está del lado de la arquitectura de backend y el manejo de datos a escala: cómo diseñar un sistema orientado a eventos que hoy atiende los reportes de una comuna, pero que en un escenario de crecimiento debe sostener más ciudadanos y más municipios sin perder confiabilidad. MuniVox le permite abordar ese problema desde el diseño —colas, protección contra duplicados, tiempo real y separación de servicios—, no solo en teoría.</w:t>
      </w:r>
    </w:p>
    <w:p>
      <w:pPr>
        <w:spacing w:after="200" w:line="360"/>
      </w:pPr>
      <w:r>
        <w:rPr>
          <w:rFonts w:ascii="Arial" w:cs="Arial" w:eastAsia="Arial" w:hAnsi="Arial"/>
          <w:b w:val="false"/>
          <w:bCs w:val="false"/>
          <w:i w:val="false"/>
          <w:iCs w:val="false"/>
          <w:sz w:val="22"/>
          <w:szCs w:val="22"/>
        </w:rPr>
        <w:t xml:space="preserve">Ambos coinciden en que el proyecto responde a una motivación compartida: aplicar la ingeniería informática a un problema concreto del sector público del país, la atención al ciudadano, más allá de un ejercicio académico aislado.</w:t>
      </w:r>
    </w:p>
    <w:p>
      <w:pPr>
        <w:pStyle w:val="Heading2"/>
        <w:spacing w:after="160" w:before="300"/>
      </w:pPr>
      <w:r>
        <w:rPr>
          <w:rFonts w:ascii="Arial" w:cs="Arial" w:eastAsia="Arial" w:hAnsi="Arial"/>
        </w:rPr>
        <w:t xml:space="preserve">4. Factibilidad del Proyecto en el Marco de la Asignatura</w:t>
      </w:r>
    </w:p>
    <w:p>
      <w:pPr>
        <w:spacing w:after="200" w:line="360"/>
      </w:pPr>
      <w:r>
        <w:rPr>
          <w:rFonts w:ascii="Arial" w:cs="Arial" w:eastAsia="Arial" w:hAnsi="Arial"/>
          <w:b w:val="false"/>
          <w:bCs w:val="false"/>
          <w:i w:val="false"/>
          <w:iCs w:val="false"/>
          <w:sz w:val="22"/>
          <w:szCs w:val="22"/>
        </w:rPr>
        <w:t xml:space="preserve">En términos de tiempo, el proyecto se plantea en fases compatibles con un semestre: definición y diseño de arquitectura en las primeras semanas, construcción del flujo de ingesta con IA y de la API en el desarrollo intermedio, y una etapa final de desarrollo de las interfaces, pruebas de extremo a extremo y ajustes. La arquitectura y los servicios centrales ya están definidos y documentados en una documentación técnica integral, lo que permite concentrar el tiempo restante en completar y validar el prototipo. Algunas funciones, como la consulta de tickets cercanos o los iconos de nuevas categorías en el mapa, están identificadas como mejoras reservadas y no condicionan la entrega.</w:t>
      </w:r>
    </w:p>
    <w:p>
      <w:pPr>
        <w:spacing w:after="200" w:line="360"/>
      </w:pPr>
      <w:r>
        <w:rPr>
          <w:rFonts w:ascii="Arial" w:cs="Arial" w:eastAsia="Arial" w:hAnsi="Arial"/>
          <w:b w:val="false"/>
          <w:bCs w:val="false"/>
          <w:i w:val="false"/>
          <w:iCs w:val="false"/>
          <w:sz w:val="22"/>
          <w:szCs w:val="22"/>
        </w:rPr>
        <w:t xml:space="preserve">En cuanto a materiales, el proyecto no depende de hardware especializado: se construye con servicios en la nube (Azure Container Apps, AWS Lambda, RDS, ElastiCache, S3, Cognito y Amplify), la WhatsApp Cloud API de Meta, un modelo de Google Gemini y la cartografía de Mapbox, todos accesibles mediante cuentas de desarrollador. Además, los datos geográficos de la comuna (el contorno de Buin y sus 19 unidades vecinales) ya están incorporados al frontend, y la navegación con Waze o Google Maps se resuelve con enlaces profundos, sin integración por API ni claves adicionales.</w:t>
      </w:r>
    </w:p>
    <w:p>
      <w:pPr>
        <w:spacing w:after="200" w:line="360"/>
      </w:pPr>
      <w:r>
        <w:rPr>
          <w:rFonts w:ascii="Arial" w:cs="Arial" w:eastAsia="Arial" w:hAnsi="Arial"/>
          <w:b w:val="false"/>
          <w:bCs w:val="false"/>
          <w:i w:val="false"/>
          <w:iCs w:val="false"/>
          <w:sz w:val="22"/>
          <w:szCs w:val="22"/>
        </w:rPr>
        <w:t xml:space="preserve">El factor externo más relevante es el acceso a un entorno municipal real: datos de reclamos, personal en terreno y un número de WhatsApp Business verificado. Como plan de contingencia, si ese acceso se retrasa o resulta limitado, el equipo puede validar la plataforma en un entorno de prueba, con un número de pruebas de la WhatsApp Cloud API, cuentas de operador central, de jefatura y de terreno creadas en Cognito según la convención de correos del sistema, y reportes simulados de las categorías habituales (baches, microbasurales, luminarias, ruidos y vehículos abandonados). Esto permite sostener la validación técnica del proyecto incluso si el escenario municipal ideal no está disponible dentro del plazo de la asignatura.</w:t>
      </w:r>
    </w:p>
    <w:p>
      <w:pPr>
        <w:spacing w:after="200" w:line="360"/>
      </w:pPr>
      <w:r>
        <w:rPr>
          <w:rFonts w:ascii="Arial" w:cs="Arial" w:eastAsia="Arial" w:hAnsi="Arial"/>
          <w:b w:val="false"/>
          <w:bCs w:val="false"/>
          <w:i w:val="false"/>
          <w:iCs w:val="false"/>
          <w:sz w:val="22"/>
          <w:szCs w:val="22"/>
        </w:rPr>
        <w:t xml:space="preserve">Con dos integrantes que se reparten el desarrollo de los servicios de backend y de las interfaces web, el equipo considera que el proyecto es abordable dentro de los plazos, recursos y nivel de complejidad esperado para esta etapa formativa.</w:t>
      </w:r>
    </w:p>
    <w:p>
      <w:r>
        <w:br w:type="page"/>
      </w:r>
    </w:p>
    <w:p>
      <w:pPr>
        <w:pStyle w:val="Heading1"/>
        <w:spacing w:after="200" w:before="400"/>
      </w:pPr>
      <w:r>
        <w:rPr>
          <w:rFonts w:ascii="Arial" w:cs="Arial" w:eastAsia="Arial" w:hAnsi="Arial"/>
        </w:rPr>
        <w:t xml:space="preserve">Conclusions</w:t>
      </w:r>
    </w:p>
    <w:p>
      <w:pPr>
        <w:pStyle w:val="Heading2"/>
        <w:spacing w:after="160" w:before="300"/>
      </w:pPr>
      <w:r>
        <w:rPr>
          <w:rFonts w:ascii="Arial" w:cs="Arial" w:eastAsia="Arial" w:hAnsi="Arial"/>
        </w:rPr>
        <w:t xml:space="preserve">Pablo Vargas</w:t>
      </w:r>
    </w:p>
    <w:p>
      <w:pPr>
        <w:spacing w:after="200" w:line="360"/>
      </w:pPr>
      <w:r>
        <w:rPr>
          <w:rFonts w:ascii="Arial" w:cs="Arial" w:eastAsia="Arial" w:hAnsi="Arial"/>
          <w:b w:val="false"/>
          <w:bCs w:val="false"/>
          <w:i w:val="false"/>
          <w:iCs w:val="false"/>
          <w:sz w:val="22"/>
          <w:szCs w:val="22"/>
        </w:rPr>
        <w:t xml:space="preserve">Working on the technical definition of MuniVox helped me understand that a system that looks simple from the citizen's side —a WhatsApp message and a ticket— hides many design decisions behind it, such as how to answer Meta's webhook fast enough, how to avoid duplicate tickets when messages are retried, and how to make the field officer's app useful on a phone in the street. Writing down the flow between the services made me see which responsibilities belong to which component. Going into the following stages of the course, I expect to focus on the field officer's web app and on validating that the end-to-end flow holds up with realistic reports.</w:t>
      </w:r>
    </w:p>
    <w:p>
      <w:pPr>
        <w:pStyle w:val="Heading2"/>
        <w:spacing w:after="160" w:before="300"/>
      </w:pPr>
      <w:r>
        <w:rPr>
          <w:rFonts w:ascii="Arial" w:cs="Arial" w:eastAsia="Arial" w:hAnsi="Arial"/>
        </w:rPr>
        <w:t xml:space="preserve">Alonso Campusano</w:t>
      </w:r>
    </w:p>
    <w:p>
      <w:pPr>
        <w:spacing w:after="200" w:line="360"/>
      </w:pPr>
      <w:r>
        <w:rPr>
          <w:rFonts w:ascii="Arial" w:cs="Arial" w:eastAsia="Arial" w:hAnsi="Arial"/>
          <w:b w:val="false"/>
          <w:bCs w:val="false"/>
          <w:i w:val="false"/>
          <w:iCs w:val="false"/>
          <w:sz w:val="22"/>
          <w:szCs w:val="22"/>
        </w:rPr>
        <w:t xml:space="preserve">This first phase of the project made me think seriously about how to design an event-driven system so that it does not break when something fails in the middle of the flow. Deciding what goes through the queue, what is stored in the database and what is only a notification, and documenting it with architecture, component and sequence diagrams, was a more demanding exercise than I expected. I also found it useful to review the municipal context, such as the SUBDERE diagnostics, since it clarified which parts of our design answer a real management gap. For the next stage, I want to focus on the reliability of the backend and on keeping the status notifications simple enough for citizens to trust.</w:t>
      </w:r>
    </w:p>
    <w:p>
      <w:pPr>
        <w:pStyle w:val="Heading1"/>
        <w:spacing w:after="200" w:before="400"/>
      </w:pPr>
      <w:r>
        <w:rPr>
          <w:rFonts w:ascii="Arial" w:cs="Arial" w:eastAsia="Arial" w:hAnsi="Arial"/>
        </w:rPr>
        <w:t xml:space="preserve">Reflection</w:t>
      </w:r>
    </w:p>
    <w:p>
      <w:pPr>
        <w:spacing w:after="200" w:line="360"/>
      </w:pPr>
      <w:r>
        <w:rPr>
          <w:rFonts w:ascii="Arial" w:cs="Arial" w:eastAsia="Arial" w:hAnsi="Arial"/>
          <w:b w:val="false"/>
          <w:bCs w:val="false"/>
          <w:i w:val="false"/>
          <w:iCs w:val="false"/>
          <w:sz w:val="22"/>
          <w:szCs w:val="22"/>
        </w:rPr>
        <w:t xml:space="preserve">Choosing a project that combines a conversational AI flow, a real-time command center and a multi-service cloud architecture was, in hindsight, an ambitious decision for a single semester. What kept it grounded was documenting the architecture early, so that every component, interface and ticket state was defined before building further. We are aware that a working prototype is not the same as a validated product, and that some of the assumptions behind MuniVox, such as how accurately the AI classifies real citizen reports or how municipal staff will adopt the tools, will need to be tested rather than taken for granted. If there is one thing we want to carry forward into the next phase, it is to keep treating this project as a hypothesis to be tested with real municipal users, rather than as a finished idea we simply need to build.</w:t>
      </w:r>
    </w:p>
    <w:p>
      <w:r>
        <w:br w:type="page"/>
      </w:r>
    </w:p>
    <w:p>
      <w:pPr>
        <w:pStyle w:val="Heading1"/>
        <w:spacing w:after="200" w:before="400"/>
      </w:pPr>
      <w:r>
        <w:rPr>
          <w:rFonts w:ascii="Arial" w:cs="Arial" w:eastAsia="Arial" w:hAnsi="Arial"/>
        </w:rPr>
        <w:t xml:space="preserve">Fuentes</w:t>
      </w:r>
    </w:p>
    <w:p>
      <w:pPr>
        <w:spacing w:after="220" w:line="240"/>
        <w:ind w:left="720" w:hanging="720"/>
      </w:pPr>
      <w:r>
        <w:rPr>
          <w:rFonts w:ascii="Arial" w:cs="Arial" w:eastAsia="Arial" w:hAnsi="Arial"/>
        </w:rPr>
        <w:t xml:space="preserve">SUBDERE. (s. f.). </w:t>
      </w:r>
      <w:r>
        <w:rPr>
          <w:rFonts w:ascii="Arial" w:cs="Arial" w:eastAsia="Arial" w:hAnsi="Arial"/>
          <w:i/>
          <w:iCs/>
        </w:rPr>
        <w:t xml:space="preserve">Capacitación a los 345 municipios del país para el Diagnóstico Nacional.</w:t>
      </w:r>
      <w:r>
        <w:rPr>
          <w:rFonts w:ascii="Arial" w:cs="Arial" w:eastAsia="Arial" w:hAnsi="Arial"/>
        </w:rPr>
        <w:t xml:space="preserve"> https://www.subdere.gov.cl/sala-de-prensa/subdere-capacitar%C3%A1-los-345-municipios-del-pa%C3%ADs-para-el-diagn%C3%B3stico-nacional-de-la</w:t>
      </w:r>
    </w:p>
    <w:p>
      <w:pPr>
        <w:spacing w:after="220" w:line="240"/>
        <w:ind w:left="720" w:hanging="720"/>
      </w:pPr>
      <w:r>
        <w:rPr>
          <w:rFonts w:ascii="Arial" w:cs="Arial" w:eastAsia="Arial" w:hAnsi="Arial"/>
        </w:rPr>
        <w:t xml:space="preserve">SUBDERE. (s. f.). </w:t>
      </w:r>
      <w:r>
        <w:rPr>
          <w:rFonts w:ascii="Arial" w:cs="Arial" w:eastAsia="Arial" w:hAnsi="Arial"/>
          <w:i/>
          <w:iCs/>
        </w:rPr>
        <w:t xml:space="preserve">Diagnóstico Municipal: plataforma oficial.</w:t>
      </w:r>
      <w:r>
        <w:rPr>
          <w:rFonts w:ascii="Arial" w:cs="Arial" w:eastAsia="Arial" w:hAnsi="Arial"/>
        </w:rPr>
        <w:t xml:space="preserve"> https://diagnostico.subdere.gov.cl/</w:t>
      </w:r>
    </w:p>
    <w:p>
      <w:pPr>
        <w:spacing w:after="220" w:line="240"/>
        <w:ind w:left="720" w:hanging="720"/>
      </w:pPr>
      <w:r>
        <w:rPr>
          <w:rFonts w:ascii="Arial" w:cs="Arial" w:eastAsia="Arial" w:hAnsi="Arial"/>
        </w:rPr>
        <w:t xml:space="preserve">SUBDERE. (2019). </w:t>
      </w:r>
      <w:r>
        <w:rPr>
          <w:rFonts w:ascii="Arial" w:cs="Arial" w:eastAsia="Arial" w:hAnsi="Arial"/>
          <w:i/>
          <w:iCs/>
        </w:rPr>
        <w:t xml:space="preserve">Diagnóstico Nacional, Calidad de la Gestión Municipal 2019 (facsímil).</w:t>
      </w:r>
      <w:r>
        <w:rPr>
          <w:rFonts w:ascii="Arial" w:cs="Arial" w:eastAsia="Arial" w:hAnsi="Arial"/>
        </w:rPr>
        <w:t xml:space="preserve"> https://proactiva.subdere.gov.cl/bitstream/handle/123456789/537/FACSIMIL%20DIAGNOSTICO%202019%20(1).pdf?sequence=1&amp;isAllowed=y</w:t>
      </w:r>
    </w:p>
    <w:p>
      <w:pPr>
        <w:spacing w:after="220" w:line="240"/>
        <w:ind w:left="720" w:hanging="720"/>
      </w:pPr>
      <w:r>
        <w:rPr>
          <w:rFonts w:ascii="Arial" w:cs="Arial" w:eastAsia="Arial" w:hAnsi="Arial"/>
        </w:rPr>
        <w:t xml:space="preserve">SUBDERE. (2023). </w:t>
      </w:r>
      <w:r>
        <w:rPr>
          <w:rFonts w:ascii="Arial" w:cs="Arial" w:eastAsia="Arial" w:hAnsi="Arial"/>
          <w:i/>
          <w:iCs/>
        </w:rPr>
        <w:t xml:space="preserve">Diagnóstico Calidad de Servicio y Experiencia Usuaria y MESU 2023.</w:t>
      </w:r>
      <w:r>
        <w:rPr>
          <w:rFonts w:ascii="Arial" w:cs="Arial" w:eastAsia="Arial" w:hAnsi="Arial"/>
        </w:rPr>
        <w:t xml:space="preserve"> https://proactiva.subdere.gov.cl/bitstream/handle/123456789/630/Diagn%C3%B3stico%20Calidad%20de%20Servicio%20y%20Experiencia%20Usuaria%20y%20MESU%202023.pdf?sequence=1&amp;isAllowed=y</w:t>
      </w:r>
    </w:p>
    <w:p>
      <w:pPr>
        <w:spacing w:after="220" w:line="240"/>
        <w:ind w:left="720" w:hanging="720"/>
      </w:pPr>
      <w:r>
        <w:rPr>
          <w:rFonts w:ascii="Arial" w:cs="Arial" w:eastAsia="Arial" w:hAnsi="Arial"/>
        </w:rPr>
        <w:t xml:space="preserve">Chile Sin Basura. (s. f.). </w:t>
      </w:r>
      <w:r>
        <w:rPr>
          <w:rFonts w:ascii="Arial" w:cs="Arial" w:eastAsia="Arial" w:hAnsi="Arial"/>
          <w:i/>
          <w:iCs/>
        </w:rPr>
        <w:t xml:space="preserve">Radiografía de los residuos domiciliarios municipales.</w:t>
      </w:r>
      <w:r>
        <w:rPr>
          <w:rFonts w:ascii="Arial" w:cs="Arial" w:eastAsia="Arial" w:hAnsi="Arial"/>
        </w:rPr>
        <w:t xml:space="preserve"> https://chilesinbasura.cl/wp-content/uploads/2025/08/Radiografia-de-los-residuos-domiciliarios-municipales-1.pdf</w:t>
      </w:r>
    </w:p>
    <w:p>
      <w:pPr>
        <w:spacing w:after="220" w:line="240"/>
        <w:ind w:left="720" w:hanging="720"/>
      </w:pPr>
      <w:r>
        <w:rPr>
          <w:rFonts w:ascii="Arial" w:cs="Arial" w:eastAsia="Arial" w:hAnsi="Arial"/>
        </w:rPr>
        <w:t xml:space="preserve">Universidad General Miguel de Cervantes. (s. f.). </w:t>
      </w:r>
      <w:r>
        <w:rPr>
          <w:rFonts w:ascii="Arial" w:cs="Arial" w:eastAsia="Arial" w:hAnsi="Arial"/>
          <w:i/>
          <w:iCs/>
        </w:rPr>
        <w:t xml:space="preserve">Procesos de erradicación de microbasurales.</w:t>
      </w:r>
      <w:r>
        <w:rPr>
          <w:rFonts w:ascii="Arial" w:cs="Arial" w:eastAsia="Arial" w:hAnsi="Arial"/>
        </w:rPr>
        <w:t xml:space="preserve"> https://repositorio.ugm.cl/bitstream/handle/20.500.12743/2368/ME.ADP%20(2)%202023.pdf?sequence=1&amp;isAllowed=y</w:t>
      </w:r>
    </w:p>
    <w:p>
      <w:pPr>
        <w:spacing w:after="220" w:line="240"/>
        <w:ind w:left="720" w:hanging="720"/>
      </w:pPr>
      <w:r>
        <w:rPr>
          <w:rFonts w:ascii="Arial" w:cs="Arial" w:eastAsia="Arial" w:hAnsi="Arial"/>
        </w:rPr>
        <w:t xml:space="preserve">ChileAtiende. (s. f.). </w:t>
      </w:r>
      <w:r>
        <w:rPr>
          <w:rFonts w:ascii="Arial" w:cs="Arial" w:eastAsia="Arial" w:hAnsi="Arial"/>
          <w:i/>
          <w:iCs/>
        </w:rPr>
        <w:t xml:space="preserve">Denuncia de microbasural, Municipalidad de Nacimiento.</w:t>
      </w:r>
      <w:r>
        <w:rPr>
          <w:rFonts w:ascii="Arial" w:cs="Arial" w:eastAsia="Arial" w:hAnsi="Arial"/>
        </w:rPr>
        <w:t xml:space="preserve"> https://digitalizacion.simple.digital.gob.cl/tramites/informativo/14077</w:t>
      </w:r>
    </w:p>
    <w:p>
      <w:pPr>
        <w:spacing w:after="220" w:line="240"/>
        <w:ind w:left="720" w:hanging="720"/>
      </w:pPr>
      <w:r>
        <w:rPr>
          <w:rFonts w:ascii="Arial" w:cs="Arial" w:eastAsia="Arial" w:hAnsi="Arial"/>
        </w:rPr>
        <w:t xml:space="preserve">BioBioChile. (2026). </w:t>
      </w:r>
      <w:r>
        <w:rPr>
          <w:rFonts w:ascii="Arial" w:cs="Arial" w:eastAsia="Arial" w:hAnsi="Arial"/>
          <w:i/>
          <w:iCs/>
        </w:rPr>
        <w:t xml:space="preserve">Municipalidad de Castro habilita WhatsApp 24/7 para denunciar situaciones de inseguridad.</w:t>
      </w:r>
      <w:r>
        <w:rPr>
          <w:rFonts w:ascii="Arial" w:cs="Arial" w:eastAsia="Arial" w:hAnsi="Arial"/>
        </w:rPr>
        <w:t xml:space="preserve"> https://www.biobiochile.cl/noticias/nacional/region-de-los-lagos/2026/08/21/municipalidad-de-castro-habilita-whatsapp-24-7-para-denunciar-situaciones-de-inseguridad.shtml</w:t>
      </w:r>
    </w:p>
    <w:p>
      <w:r>
        <w:br w:type="page"/>
      </w:r>
    </w:p>
    <w:p>
      <w:pPr>
        <w:pStyle w:val="Heading1"/>
        <w:spacing w:after="200" w:before="400"/>
      </w:pPr>
      <w:r>
        <w:rPr>
          <w:rFonts w:ascii="Arial" w:cs="Arial" w:eastAsia="Arial" w:hAnsi="Arial"/>
        </w:rPr>
        <w:t xml:space="preserve">Anexo A: Evidencia Técnica de Diseño</w:t>
      </w:r>
    </w:p>
    <w:p>
      <w:pPr>
        <w:spacing w:after="200" w:line="360"/>
      </w:pPr>
      <w:r>
        <w:rPr>
          <w:rFonts w:ascii="Arial" w:cs="Arial" w:eastAsia="Arial" w:hAnsi="Arial"/>
          <w:b w:val="false"/>
          <w:bCs w:val="false"/>
          <w:i w:val="false"/>
          <w:iCs w:val="false"/>
          <w:sz w:val="22"/>
          <w:szCs w:val="22"/>
        </w:rPr>
        <w:t xml:space="preserve">Como antecedente adicional de factibilidad, el proyecto MuniVox cuenta con una documentación técnica integral que describe el problema, la solución, la arquitectura, el flujo operativo y cada uno de los componentes del sistema (webhook-service, worker de IA, socket-service, API REST, base de datos y frontend). Esa documentación se complementa con los siguientes diagramas, elaborados a partir de ella:</w:t>
      </w:r>
    </w:p>
    <w:p>
      <w:pPr>
        <w:spacing w:after="120" w:line="360"/>
        <w:ind w:left="360" w:hanging="240"/>
      </w:pPr>
      <w:r>
        <w:rPr>
          <w:rFonts w:ascii="Arial" w:cs="Arial" w:eastAsia="Arial" w:hAnsi="Arial"/>
          <w:b w:val="false"/>
          <w:bCs w:val="false"/>
          <w:i w:val="false"/>
          <w:iCs w:val="false"/>
          <w:sz w:val="22"/>
          <w:szCs w:val="22"/>
        </w:rPr>
        <w:t xml:space="preserve">• Arquitectura 4+1 (vistas Lógica, de Procesos, de Desarrollo, Física y de Escenarios), en versión formal y en versión simplificada para la presentación.</w:t>
      </w:r>
    </w:p>
    <w:p>
      <w:pPr>
        <w:spacing w:after="120" w:line="360"/>
        <w:ind w:left="360" w:hanging="240"/>
      </w:pPr>
      <w:r>
        <w:rPr>
          <w:rFonts w:ascii="Arial" w:cs="Arial" w:eastAsia="Arial" w:hAnsi="Arial"/>
          <w:b w:val="false"/>
          <w:bCs w:val="false"/>
          <w:i w:val="false"/>
          <w:iCs w:val="false"/>
          <w:sz w:val="22"/>
          <w:szCs w:val="22"/>
        </w:rPr>
        <w:t xml:space="preserve">• Arquitectura del sistema por capas, con el flujo numerado desde el mensaje del ciudadano hasta el aviso de cambio de estado.</w:t>
      </w:r>
    </w:p>
    <w:p>
      <w:pPr>
        <w:spacing w:after="120" w:line="360"/>
        <w:ind w:left="360" w:hanging="240"/>
      </w:pPr>
      <w:r>
        <w:rPr>
          <w:rFonts w:ascii="Arial" w:cs="Arial" w:eastAsia="Arial" w:hAnsi="Arial"/>
          <w:b w:val="false"/>
          <w:bCs w:val="false"/>
          <w:i w:val="false"/>
          <w:iCs w:val="false"/>
          <w:sz w:val="22"/>
          <w:szCs w:val="22"/>
        </w:rPr>
        <w:t xml:space="preserve">• Diagrama de casos de uso, con cinco actores y 21 casos de uso.</w:t>
      </w:r>
    </w:p>
    <w:p>
      <w:pPr>
        <w:spacing w:after="120" w:line="360"/>
        <w:ind w:left="360" w:hanging="240"/>
      </w:pPr>
      <w:r>
        <w:rPr>
          <w:rFonts w:ascii="Arial" w:cs="Arial" w:eastAsia="Arial" w:hAnsi="Arial"/>
          <w:b w:val="false"/>
          <w:bCs w:val="false"/>
          <w:i w:val="false"/>
          <w:iCs w:val="false"/>
          <w:sz w:val="22"/>
          <w:szCs w:val="22"/>
        </w:rPr>
        <w:t xml:space="preserve">• Diagrama de estados del ticket (PENDIENTE, EN_REVISION, DESPACHADO, RESUELTO y DESCARTADO) y subestados de completitud de PENDIENTE.</w:t>
      </w:r>
    </w:p>
    <w:p>
      <w:pPr>
        <w:spacing w:after="120" w:line="360"/>
        <w:ind w:left="360" w:hanging="240"/>
      </w:pPr>
      <w:r>
        <w:rPr>
          <w:rFonts w:ascii="Arial" w:cs="Arial" w:eastAsia="Arial" w:hAnsi="Arial"/>
          <w:b w:val="false"/>
          <w:bCs w:val="false"/>
          <w:i w:val="false"/>
          <w:iCs w:val="false"/>
          <w:sz w:val="22"/>
          <w:szCs w:val="22"/>
        </w:rPr>
        <w:t xml:space="preserve">• Diagrama de componentes, con interfaces provistas y dependencias entre servicios.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8"/>
        <w:szCs w:val="18"/>
      </w:rPr>
      <w:t xml:space="preserve">MuniVox — Definición de Proyecto APT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2026-08-31T23:43:40.978Z</dcterms:created>
  <dcterms:modified xsi:type="dcterms:W3CDTF">2026-08-31T23:43:40.992Z</dcterms:modified>
</cp:coreProperties>
</file>

<file path=docProps/custom.xml><?xml version="1.0" encoding="utf-8"?>
<Properties xmlns="http://schemas.openxmlformats.org/officeDocument/2006/custom-properties" xmlns:vt="http://schemas.openxmlformats.org/officeDocument/2006/docPropsVTypes"/>
</file>