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14</w:t>
      </w:r>
    </w:p>
    <w:p>
      <w:pPr>
        <w:pStyle w:val="Subtitle"/>
      </w:pPr>
      <w:r>
        <w:t xml:space="preserve">Именованные</w:t>
      </w:r>
      <w:r>
        <w:t xml:space="preserve"> </w:t>
      </w:r>
      <w:r>
        <w:t xml:space="preserve">каналы</w:t>
      </w:r>
    </w:p>
    <w:p>
      <w:pPr>
        <w:pStyle w:val="Author"/>
      </w:pPr>
      <w:r>
        <w:t xml:space="preserve">Коняева</w:t>
      </w:r>
      <w:r>
        <w:t xml:space="preserve"> </w:t>
      </w:r>
      <w:r>
        <w:t xml:space="preserve">Марина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теоретическое-введение"/>
    <w:p>
      <w:pPr>
        <w:pStyle w:val="Heading1"/>
      </w:pPr>
      <w:r>
        <w:t xml:space="preserve">Теоретическое введение</w:t>
      </w:r>
    </w:p>
    <w:p>
      <w:pPr>
        <w:pStyle w:val="FirstParagraph"/>
      </w:pPr>
      <w:r>
        <w:t xml:space="preserve">Одним из видов взаимодействия между процессами в операционных системах является обмен сообщениями. Под сообщением понимается последовательность байтов,</w:t>
      </w:r>
      <w:r>
        <w:t xml:space="preserve"> </w:t>
      </w:r>
      <w:r>
        <w:t xml:space="preserve">передаваемая от одного процесса другому.</w:t>
      </w:r>
      <w:r>
        <w:t xml:space="preserve"> </w:t>
      </w:r>
      <w:r>
        <w:t xml:space="preserve">В операционных системах типа UNIX есть 3 вида межпроцессорных взаимодействий:</w:t>
      </w:r>
      <w:r>
        <w:t xml:space="preserve"> </w:t>
      </w:r>
      <w:r>
        <w:t xml:space="preserve">общеюниксные (именованные каналы, сигналы), System V Interface Definition (SVID —</w:t>
      </w:r>
      <w:r>
        <w:t xml:space="preserve"> </w:t>
      </w:r>
      <w:r>
        <w:t xml:space="preserve">разделяемая память, очередь сообщений, семафоры) и BSD (сокеты).</w:t>
      </w:r>
      <w:r>
        <w:t xml:space="preserve"> </w:t>
      </w:r>
      <w:r>
        <w:t xml:space="preserve">Для передачи данных между неродственными процессами можно использовать механизм именованных каналов (named pipes). Данные передаются по принципу FIFO (First</w:t>
      </w:r>
      <w:r>
        <w:t xml:space="preserve"> </w:t>
      </w:r>
      <w:r>
        <w:t xml:space="preserve">In First Out) (первым записан — первым прочитан), поэтому они называются также FIFO</w:t>
      </w:r>
      <w:r>
        <w:t xml:space="preserve"> </w:t>
      </w:r>
      <w:r>
        <w:t xml:space="preserve">pipes или просто FIFO. Именованные каналы отличаются от неименованных наличием</w:t>
      </w:r>
      <w:r>
        <w:t xml:space="preserve"> </w:t>
      </w:r>
      <w:r>
        <w:t xml:space="preserve">идентификатора канала, который представлен как специальный файл (соответственно</w:t>
      </w:r>
      <w:r>
        <w:t xml:space="preserve"> </w:t>
      </w:r>
      <w:r>
        <w:t xml:space="preserve">имя именованного канала — это имя файла). Поскольку файл находится на локальной</w:t>
      </w:r>
      <w:r>
        <w:t xml:space="preserve"> </w:t>
      </w:r>
      <w:r>
        <w:t xml:space="preserve">файловой системе, данное IPC используется внутри одной системы.</w:t>
      </w:r>
    </w:p>
    <w:bookmarkEnd w:id="21"/>
    <w:bookmarkStart w:id="32"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Скрипт 1-4 (изображение 1.1-4)</w:t>
      </w:r>
    </w:p>
    <w:p>
      <w:pPr>
        <w:pStyle w:val="FirstParagraph"/>
      </w:pPr>
      <w:bookmarkStart w:id="23" w:name="fig:001"/>
      <w:r>
        <w:drawing>
          <wp:inline>
            <wp:extent cx="5334000" cy="5355980"/>
            <wp:effectExtent b="0" l="0" r="0" t="0"/>
            <wp:docPr descr="Скрипт 1" title="" id="1" name="Picture"/>
            <a:graphic>
              <a:graphicData uri="http://schemas.openxmlformats.org/drawingml/2006/picture">
                <pic:pic>
                  <pic:nvPicPr>
                    <pic:cNvPr descr="image/14.1.png" id="0" name="Picture"/>
                    <pic:cNvPicPr>
                      <a:picLocks noChangeArrowheads="1" noChangeAspect="1"/>
                    </pic:cNvPicPr>
                  </pic:nvPicPr>
                  <pic:blipFill>
                    <a:blip r:embed="rId22"/>
                    <a:stretch>
                      <a:fillRect/>
                    </a:stretch>
                  </pic:blipFill>
                  <pic:spPr bwMode="auto">
                    <a:xfrm>
                      <a:off x="0" y="0"/>
                      <a:ext cx="5334000" cy="5355980"/>
                    </a:xfrm>
                    <a:prstGeom prst="rect">
                      <a:avLst/>
                    </a:prstGeom>
                    <a:noFill/>
                    <a:ln w="9525">
                      <a:noFill/>
                      <a:headEnd/>
                      <a:tailEnd/>
                    </a:ln>
                  </pic:spPr>
                </pic:pic>
              </a:graphicData>
            </a:graphic>
          </wp:inline>
        </w:drawing>
      </w:r>
      <w:bookmarkEnd w:id="23"/>
      <w:r>
        <w:t xml:space="preserve"> </w:t>
      </w:r>
      <w:r>
        <w:rPr>
          <w:iCs/>
          <w:i/>
        </w:rPr>
        <w:t xml:space="preserve">Изображение 1.1 Скрипт 1</w:t>
      </w:r>
    </w:p>
    <w:p>
      <w:pPr>
        <w:pStyle w:val="BodyText"/>
      </w:pPr>
      <w:bookmarkStart w:id="25" w:name="fig:001"/>
      <w:r>
        <w:drawing>
          <wp:inline>
            <wp:extent cx="4948517" cy="5655448"/>
            <wp:effectExtent b="0" l="0" r="0" t="0"/>
            <wp:docPr descr="Скрипт 2" title="" id="1" name="Picture"/>
            <a:graphic>
              <a:graphicData uri="http://schemas.openxmlformats.org/drawingml/2006/picture">
                <pic:pic>
                  <pic:nvPicPr>
                    <pic:cNvPr descr="image/14.2.png" id="0" name="Picture"/>
                    <pic:cNvPicPr>
                      <a:picLocks noChangeArrowheads="1" noChangeAspect="1"/>
                    </pic:cNvPicPr>
                  </pic:nvPicPr>
                  <pic:blipFill>
                    <a:blip r:embed="rId24"/>
                    <a:stretch>
                      <a:fillRect/>
                    </a:stretch>
                  </pic:blipFill>
                  <pic:spPr bwMode="auto">
                    <a:xfrm>
                      <a:off x="0" y="0"/>
                      <a:ext cx="4948517" cy="5655448"/>
                    </a:xfrm>
                    <a:prstGeom prst="rect">
                      <a:avLst/>
                    </a:prstGeom>
                    <a:noFill/>
                    <a:ln w="9525">
                      <a:noFill/>
                      <a:headEnd/>
                      <a:tailEnd/>
                    </a:ln>
                  </pic:spPr>
                </pic:pic>
              </a:graphicData>
            </a:graphic>
          </wp:inline>
        </w:drawing>
      </w:r>
      <w:bookmarkEnd w:id="25"/>
      <w:r>
        <w:t xml:space="preserve"> </w:t>
      </w:r>
      <w:r>
        <w:rPr>
          <w:iCs/>
          <w:i/>
        </w:rPr>
        <w:t xml:space="preserve">Изображение 1.2 Скрипт 2</w:t>
      </w:r>
    </w:p>
    <w:p>
      <w:pPr>
        <w:pStyle w:val="BodyText"/>
      </w:pPr>
      <w:bookmarkStart w:id="27" w:name="fig:001"/>
      <w:r>
        <w:drawing>
          <wp:inline>
            <wp:extent cx="5334000" cy="4637961"/>
            <wp:effectExtent b="0" l="0" r="0" t="0"/>
            <wp:docPr descr="Скрипт 3" title="" id="1" name="Picture"/>
            <a:graphic>
              <a:graphicData uri="http://schemas.openxmlformats.org/drawingml/2006/picture">
                <pic:pic>
                  <pic:nvPicPr>
                    <pic:cNvPr descr="image/14.3.png" id="0" name="Picture"/>
                    <pic:cNvPicPr>
                      <a:picLocks noChangeArrowheads="1" noChangeAspect="1"/>
                    </pic:cNvPicPr>
                  </pic:nvPicPr>
                  <pic:blipFill>
                    <a:blip r:embed="rId26"/>
                    <a:stretch>
                      <a:fillRect/>
                    </a:stretch>
                  </pic:blipFill>
                  <pic:spPr bwMode="auto">
                    <a:xfrm>
                      <a:off x="0" y="0"/>
                      <a:ext cx="5334000" cy="4637961"/>
                    </a:xfrm>
                    <a:prstGeom prst="rect">
                      <a:avLst/>
                    </a:prstGeom>
                    <a:noFill/>
                    <a:ln w="9525">
                      <a:noFill/>
                      <a:headEnd/>
                      <a:tailEnd/>
                    </a:ln>
                  </pic:spPr>
                </pic:pic>
              </a:graphicData>
            </a:graphic>
          </wp:inline>
        </w:drawing>
      </w:r>
      <w:bookmarkEnd w:id="27"/>
      <w:r>
        <w:t xml:space="preserve"> </w:t>
      </w:r>
      <w:r>
        <w:rPr>
          <w:iCs/>
          <w:i/>
        </w:rPr>
        <w:t xml:space="preserve">Изображение 1.3 Скрипт 3</w:t>
      </w:r>
    </w:p>
    <w:p>
      <w:pPr>
        <w:pStyle w:val="BodyText"/>
      </w:pPr>
      <w:bookmarkStart w:id="29" w:name="fig:001"/>
      <w:r>
        <w:drawing>
          <wp:inline>
            <wp:extent cx="5148302" cy="2374366"/>
            <wp:effectExtent b="0" l="0" r="0" t="0"/>
            <wp:docPr descr="Скрипт 4" title="" id="1" name="Picture"/>
            <a:graphic>
              <a:graphicData uri="http://schemas.openxmlformats.org/drawingml/2006/picture">
                <pic:pic>
                  <pic:nvPicPr>
                    <pic:cNvPr descr="image/14.4.png" id="0" name="Picture"/>
                    <pic:cNvPicPr>
                      <a:picLocks noChangeArrowheads="1" noChangeAspect="1"/>
                    </pic:cNvPicPr>
                  </pic:nvPicPr>
                  <pic:blipFill>
                    <a:blip r:embed="rId28"/>
                    <a:stretch>
                      <a:fillRect/>
                    </a:stretch>
                  </pic:blipFill>
                  <pic:spPr bwMode="auto">
                    <a:xfrm>
                      <a:off x="0" y="0"/>
                      <a:ext cx="5148302" cy="2374366"/>
                    </a:xfrm>
                    <a:prstGeom prst="rect">
                      <a:avLst/>
                    </a:prstGeom>
                    <a:noFill/>
                    <a:ln w="9525">
                      <a:noFill/>
                      <a:headEnd/>
                      <a:tailEnd/>
                    </a:ln>
                  </pic:spPr>
                </pic:pic>
              </a:graphicData>
            </a:graphic>
          </wp:inline>
        </w:drawing>
      </w:r>
      <w:bookmarkEnd w:id="29"/>
      <w:r>
        <w:t xml:space="preserve"> </w:t>
      </w:r>
      <w:r>
        <w:rPr>
          <w:iCs/>
          <w:i/>
        </w:rPr>
        <w:t xml:space="preserve">Изображение 1.4 Скрипт 4</w:t>
      </w:r>
    </w:p>
    <w:p>
      <w:pPr>
        <w:numPr>
          <w:ilvl w:val="0"/>
          <w:numId w:val="1002"/>
        </w:numPr>
        <w:pStyle w:val="Compact"/>
      </w:pPr>
      <w:r>
        <w:t xml:space="preserve">Запустим в разных консолях (изображение 2.1)</w:t>
      </w:r>
    </w:p>
    <w:p>
      <w:pPr>
        <w:pStyle w:val="FirstParagraph"/>
      </w:pPr>
      <w:bookmarkStart w:id="31" w:name="fig:001"/>
      <w:r>
        <w:drawing>
          <wp:inline>
            <wp:extent cx="5334000" cy="2496038"/>
            <wp:effectExtent b="0" l="0" r="0" t="0"/>
            <wp:docPr descr="Скрипт 2" title="" id="1" name="Picture"/>
            <a:graphic>
              <a:graphicData uri="http://schemas.openxmlformats.org/drawingml/2006/picture">
                <pic:pic>
                  <pic:nvPicPr>
                    <pic:cNvPr descr="image/14.5.png" id="0" name="Picture"/>
                    <pic:cNvPicPr>
                      <a:picLocks noChangeArrowheads="1" noChangeAspect="1"/>
                    </pic:cNvPicPr>
                  </pic:nvPicPr>
                  <pic:blipFill>
                    <a:blip r:embed="rId30"/>
                    <a:stretch>
                      <a:fillRect/>
                    </a:stretch>
                  </pic:blipFill>
                  <pic:spPr bwMode="auto">
                    <a:xfrm>
                      <a:off x="0" y="0"/>
                      <a:ext cx="5334000" cy="2496038"/>
                    </a:xfrm>
                    <a:prstGeom prst="rect">
                      <a:avLst/>
                    </a:prstGeom>
                    <a:noFill/>
                    <a:ln w="9525">
                      <a:noFill/>
                      <a:headEnd/>
                      <a:tailEnd/>
                    </a:ln>
                  </pic:spPr>
                </pic:pic>
              </a:graphicData>
            </a:graphic>
          </wp:inline>
        </w:drawing>
      </w:r>
      <w:bookmarkEnd w:id="31"/>
      <w:r>
        <w:t xml:space="preserve"> </w:t>
      </w:r>
      <w:r>
        <w:rPr>
          <w:iCs/>
          <w:i/>
        </w:rPr>
        <w:t xml:space="preserve">Изображение 2.1 Запустим в разных консолях</w:t>
      </w:r>
    </w:p>
    <w:bookmarkEnd w:id="32"/>
    <w:bookmarkStart w:id="33" w:name="выводы"/>
    <w:p>
      <w:pPr>
        <w:pStyle w:val="Heading1"/>
      </w:pPr>
      <w:r>
        <w:t xml:space="preserve">Выводы</w:t>
      </w:r>
    </w:p>
    <w:p>
      <w:pPr>
        <w:pStyle w:val="FirstParagraph"/>
      </w:pPr>
      <w:r>
        <w:t xml:space="preserve">В ходе данной лабораторной работы приобрели практических навыков работы с именованными каналами, а также ответили на контрольные вопросы.</w:t>
      </w:r>
    </w:p>
    <w:bookmarkEnd w:id="33"/>
    <w:bookmarkStart w:id="34" w:name="контрольные-вопросы"/>
    <w:p>
      <w:pPr>
        <w:pStyle w:val="Heading1"/>
      </w:pPr>
      <w:r>
        <w:t xml:space="preserve">Контрольные вопросы</w:t>
      </w:r>
    </w:p>
    <w:p>
      <w:pPr>
        <w:numPr>
          <w:ilvl w:val="0"/>
          <w:numId w:val="1003"/>
        </w:numPr>
      </w:pPr>
      <w:r>
        <w:t xml:space="preserve">Именованные каналы отличаются от неименованных наличием имени (странно, не правда ли?), то есть идентификатора канала, потенциально видимого всем процессам системы. Для идентификации именованного канала создается файл специального типа pipe.</w:t>
      </w:r>
    </w:p>
    <w:p>
      <w:pPr>
        <w:numPr>
          <w:ilvl w:val="0"/>
          <w:numId w:val="1003"/>
        </w:numPr>
      </w:pPr>
      <w:r>
        <w:t xml:space="preserve">Для создания неименованного канала используется системный вызов pipe. Массив из двух целых чисел является выходным параметром этого системного вызова. Если вызов выполнился нормально, то массив содержит два файловых дескриптора: для чтения информации из канала и для записи в него соответственно.</w:t>
      </w:r>
    </w:p>
    <w:p>
      <w:pPr>
        <w:numPr>
          <w:ilvl w:val="0"/>
          <w:numId w:val="1003"/>
        </w:numPr>
      </w:pPr>
      <w:r>
        <w:t xml:space="preserve">Чтобы создать именованный канал, используется команда: mkfifo</w:t>
      </w:r>
      <w:r>
        <w:t xml:space="preserve"> </w:t>
      </w:r>
      <w:r>
        <w:t xml:space="preserve">. Она создает файл именованного канала, который можно использовать даже в нескольких сеансах оболочки. Другой способ создать именованный канал FIFO - использовать следующую команду: mknod p</w:t>
      </w:r>
      <w:r>
        <w:t xml:space="preserve"> </w:t>
      </w:r>
      <w:r>
        <w:t xml:space="preserve">. Чтобы перенаправить стандартный вывод любой команды другому процессу, используйте символ &gt;. Чтобы перенаправить стандартный ввод любой команды, используйте символ &lt;.</w:t>
      </w:r>
    </w:p>
    <w:p>
      <w:pPr>
        <w:numPr>
          <w:ilvl w:val="0"/>
          <w:numId w:val="1003"/>
        </w:numPr>
      </w:pPr>
      <w:r>
        <w:t xml:space="preserve">Для создания неименованного канала используется системный вызов pipe. Массив из двух целых чисел является выходным параметром этого системного вызова. Если вызов выполнился нормально, то массив содержит два файловых дескриптора: для чтения информации из канала и для записи в него соответственно.</w:t>
      </w:r>
    </w:p>
    <w:p>
      <w:pPr>
        <w:numPr>
          <w:ilvl w:val="0"/>
          <w:numId w:val="1003"/>
        </w:numPr>
      </w:pPr>
      <w:r>
        <w:t xml:space="preserve">Использование пайпов для передачи данных внутри одного процесса – дичайший оверкилл, хуже было бы разве что использовать сокеты. Для передачи данных из потока в поток используйте разделяемую структуру данных (например, std::queue), защищая её от одновременного доступа при помощи мьютекса (например, CRITICAL_SECTION, если хотите Windows-specific, или лучше std::mutex, если ваш компилятор поддерживает стандарт C++11).</w:t>
      </w:r>
    </w:p>
    <w:p>
      <w:pPr>
        <w:numPr>
          <w:ilvl w:val="0"/>
          <w:numId w:val="1003"/>
        </w:numPr>
      </w:pPr>
      <w: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3"/>
        </w:numPr>
      </w:pPr>
      <w: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 3. Если канал пуст и ни один процесс не открыл его на запись, при чтении из канала будет получено 0 байтов. … Это означает, что в случае, когда несколько процессов одновременно записывают в канал, порции данных от этих процессов не перемешиваются. 5.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w:t>
      </w:r>
    </w:p>
    <w:p>
      <w:pPr>
        <w:numPr>
          <w:ilvl w:val="0"/>
          <w:numId w:val="1003"/>
        </w:numPr>
      </w:pPr>
      <w:r>
        <w:t xml:space="preserve">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w:t>
      </w:r>
    </w:p>
    <w:p>
      <w:pPr>
        <w:numPr>
          <w:ilvl w:val="0"/>
          <w:numId w:val="1003"/>
        </w:numPr>
      </w:pPr>
      <w:r>
        <w:t xml:space="preserve">Функция — это самостоятельная единица программы, которая спроектирована для реализации конкретной подзадачи. Функция является подпрограммой, которая может содержаться в основной программе, а может быть создана отдельно (в библиотеке). Каждая функция выполняет в программе определенные действия. … Если функция не возвращает значения, то тип возвращаемого значения для нее указывается как void. При этом операция return может быть опущена.</w:t>
      </w:r>
    </w:p>
    <w:p>
      <w:pPr>
        <w:numPr>
          <w:ilvl w:val="0"/>
          <w:numId w:val="1003"/>
        </w:numPr>
      </w:pPr>
      <w:r>
        <w:t xml:space="preserve">Функция strerror формирует описание ошибки по коду ошибки указанному в аргументе errcode и возвращает указатель на строку, содержащую сформированное описание ошибки.</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 14</dc:title>
  <dc:creator>Коняева Марина Александровна</dc:creator>
  <dc:language>ru-RU</dc:language>
  <cp:keywords/>
  <dcterms:created xsi:type="dcterms:W3CDTF">2022-06-02T23:11:32Z</dcterms:created>
  <dcterms:modified xsi:type="dcterms:W3CDTF">2022-06-02T23:11:32Z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lTitle">
    <vt:lpwstr>Листинги</vt:lpwstr>
  </property>
  <property fmtid="{D5CDD505-2E9C-101B-9397-08002B2CF9AE}" pid="17" name="mainfont">
    <vt:lpwstr>PT Serif</vt:lpwstr>
  </property>
  <property fmtid="{D5CDD505-2E9C-101B-9397-08002B2CF9AE}" pid="18" name="mainfontoptions">
    <vt:lpwstr>Ligatures=TeX</vt:lpwstr>
  </property>
  <property fmtid="{D5CDD505-2E9C-101B-9397-08002B2CF9AE}" pid="19" name="monofont">
    <vt:lpwstr>PT Mono</vt:lpwstr>
  </property>
  <property fmtid="{D5CDD505-2E9C-101B-9397-08002B2CF9AE}" pid="20" name="monofontoptions">
    <vt:lpwstr>Scale=MatchLowercase,Scale=0.9</vt:lpwstr>
  </property>
  <property fmtid="{D5CDD505-2E9C-101B-9397-08002B2CF9AE}" pid="21" name="papersize">
    <vt:lpwstr>a4</vt:lpwstr>
  </property>
  <property fmtid="{D5CDD505-2E9C-101B-9397-08002B2CF9AE}" pid="22" name="polyglossia-lang">
    <vt:lpwstr/>
  </property>
  <property fmtid="{D5CDD505-2E9C-101B-9397-08002B2CF9AE}" pid="23" name="polyglossia-otherlangs">
    <vt:lpwstr/>
  </property>
  <property fmtid="{D5CDD505-2E9C-101B-9397-08002B2CF9AE}" pid="24" name="romanfont">
    <vt:lpwstr>PT Serif</vt:lpwstr>
  </property>
  <property fmtid="{D5CDD505-2E9C-101B-9397-08002B2CF9AE}" pid="25" name="romanfontoptions">
    <vt:lpwstr>Ligatures=TeX</vt:lpwstr>
  </property>
  <property fmtid="{D5CDD505-2E9C-101B-9397-08002B2CF9AE}" pid="26" name="sansfont">
    <vt:lpwstr>PT Sans</vt:lpwstr>
  </property>
  <property fmtid="{D5CDD505-2E9C-101B-9397-08002B2CF9AE}" pid="27" name="sansfontoptions">
    <vt:lpwstr>Ligatures=TeX,Scale=MatchLowercase</vt:lpwstr>
  </property>
  <property fmtid="{D5CDD505-2E9C-101B-9397-08002B2CF9AE}" pid="28" name="subtitle">
    <vt:lpwstr>Именованные каналы</vt:lpwstr>
  </property>
  <property fmtid="{D5CDD505-2E9C-101B-9397-08002B2CF9AE}" pid="29" name="tableTitle">
    <vt:lpwstr>Таблица</vt:lpwstr>
  </property>
  <property fmtid="{D5CDD505-2E9C-101B-9397-08002B2CF9AE}" pid="30" name="toc">
    <vt:lpwstr>True</vt:lpwstr>
  </property>
  <property fmtid="{D5CDD505-2E9C-101B-9397-08002B2CF9AE}" pid="31" name="toc-depth">
    <vt:lpwstr>2</vt:lpwstr>
  </property>
  <property fmtid="{D5CDD505-2E9C-101B-9397-08002B2CF9AE}" pid="32" name="toc-title">
    <vt:lpwstr>Содержание</vt:lpwstr>
  </property>
</Properties>
</file>