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22.png" ContentType="image/png"/>
  <Override PartName="/word/media/rId25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работе с NS2, моделирование сети с применением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Постановка задачи Описание моделируемой сети:</w:t>
      </w:r>
    </w:p>
    <w:p>
      <w:pPr>
        <w:numPr>
          <w:ilvl w:val="0"/>
          <w:numId w:val="1001"/>
        </w:numPr>
      </w:pPr>
      <w:r>
        <w:t xml:space="preserve">сеть состоит из 6 узлов;</w:t>
      </w:r>
    </w:p>
    <w:p>
      <w:pPr>
        <w:numPr>
          <w:ilvl w:val="0"/>
          <w:numId w:val="1001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1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1"/>
        </w:numPr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1"/>
        </w:numPr>
      </w:pPr>
      <w:r>
        <w:t xml:space="preserve">генераторы трафика FTP прикреплены к TCP-агентам.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наши узлы сети.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node_(r2)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Зададим соединения между узлами.</w:t>
      </w:r>
    </w:p>
    <w:p>
      <w:pPr>
        <w:pStyle w:val="SourceCode"/>
      </w:pP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10Mb 2ms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10Mb 3ms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Mb 20ms RED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25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25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10Mb 4ms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(s4)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10Mb 5ms DropTail</w:t>
      </w:r>
    </w:p>
    <w:p>
      <w:pPr>
        <w:numPr>
          <w:ilvl w:val="0"/>
          <w:numId w:val="1004"/>
        </w:numPr>
        <w:pStyle w:val="Compact"/>
      </w:pPr>
      <w:r>
        <w:t xml:space="preserve">Добавим агентов и приложения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tcp1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Добавим мониторинг размера окна.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windowVsTime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WindowVsTimeReno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queue-sample-timeout;</w:t>
      </w:r>
    </w:p>
    <w:p>
      <w:pPr>
        <w:numPr>
          <w:ilvl w:val="0"/>
          <w:numId w:val="1006"/>
        </w:numPr>
        <w:pStyle w:val="Compact"/>
      </w:pPr>
      <w:r>
        <w:t xml:space="preserve">Также добавим мониторинг очереди.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redq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</w:p>
    <w:p>
      <w:pPr>
        <w:numPr>
          <w:ilvl w:val="0"/>
          <w:numId w:val="1007"/>
        </w:numPr>
      </w:pPr>
      <w:r>
        <w:t xml:space="preserve">Добавим допольнительную процедуру для формирования файла с данными о размере окна TCP. Не самое</w:t>
      </w:r>
    </w:p>
    <w:p>
      <w:pPr>
        <w:numPr>
          <w:ilvl w:val="0"/>
          <w:numId w:val="1007"/>
        </w:numPr>
      </w:pPr>
      <w:r>
        <w:t xml:space="preserve">И получим следующие графики.</w:t>
      </w:r>
    </w:p>
    <w:p>
      <w:pPr>
        <w:pStyle w:val="CaptionedFigure"/>
      </w:pPr>
      <w:r>
        <w:drawing>
          <wp:inline>
            <wp:extent cx="2667000" cy="1498970"/>
            <wp:effectExtent b="0" l="0" r="0" t="0"/>
            <wp:docPr descr="Reno - Размер окна TCP" title="" id="23" name="Picture"/>
            <a:graphic>
              <a:graphicData uri="http://schemas.openxmlformats.org/drawingml/2006/picture">
                <pic:pic>
                  <pic:nvPicPr>
                    <pic:cNvPr descr="./image/Reno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Reno - Размер окна TCP</w:t>
      </w:r>
    </w:p>
    <w:p>
      <w:pPr>
        <w:pStyle w:val="CaptionedFigure"/>
      </w:pPr>
      <w:r>
        <w:drawing>
          <wp:inline>
            <wp:extent cx="2667000" cy="1501751"/>
            <wp:effectExtent b="0" l="0" r="0" t="0"/>
            <wp:docPr descr="Reno - Длина очереди и средняя длина очереди" title="" id="26" name="Picture"/>
            <a:graphic>
              <a:graphicData uri="http://schemas.openxmlformats.org/drawingml/2006/picture">
                <pic:pic>
                  <pic:nvPicPr>
                    <pic:cNvPr descr="./image/Reno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Reno - Длина очереди и средняя длина очереди</w:t>
      </w:r>
    </w:p>
    <w:p>
      <w:pPr>
        <w:numPr>
          <w:ilvl w:val="0"/>
          <w:numId w:val="1008"/>
        </w:numPr>
        <w:pStyle w:val="Compact"/>
      </w:pPr>
      <w:r>
        <w:t xml:space="preserve">Давайте проверим другие типы протоколов. Начнем с NewReno. Работает немного эффективнее, но схожа с Reno.</w:t>
      </w:r>
    </w:p>
    <w:p>
      <w:pPr>
        <w:pStyle w:val="CaptionedFigure"/>
      </w:pPr>
      <w:r>
        <w:drawing>
          <wp:inline>
            <wp:extent cx="2667000" cy="1496799"/>
            <wp:effectExtent b="0" l="0" r="0" t="0"/>
            <wp:docPr descr="NewReno - Размер окна TCP" title="" id="29" name="Picture"/>
            <a:graphic>
              <a:graphicData uri="http://schemas.openxmlformats.org/drawingml/2006/picture">
                <pic:pic>
                  <pic:nvPicPr>
                    <pic:cNvPr descr="./image/Newreno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NewReno - Размер окна TCP</w:t>
      </w:r>
    </w:p>
    <w:p>
      <w:pPr>
        <w:pStyle w:val="CaptionedFigure"/>
      </w:pPr>
      <w:r>
        <w:drawing>
          <wp:inline>
            <wp:extent cx="2667000" cy="1496799"/>
            <wp:effectExtent b="0" l="0" r="0" t="0"/>
            <wp:docPr descr="NewReno - Длина очереди и средняя длина очереди" title="" id="32" name="Picture"/>
            <a:graphic>
              <a:graphicData uri="http://schemas.openxmlformats.org/drawingml/2006/picture">
                <pic:pic>
                  <pic:nvPicPr>
                    <pic:cNvPr descr="./image/Newreno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NewReno - Длина очереди и средняя длина очереди</w:t>
      </w:r>
    </w:p>
    <w:p>
      <w:pPr>
        <w:numPr>
          <w:ilvl w:val="0"/>
          <w:numId w:val="1009"/>
        </w:numPr>
        <w:pStyle w:val="Compact"/>
      </w:pPr>
      <w:r>
        <w:t xml:space="preserve">Но мы можем еще улучшить наши результаты, применив друго тип протокола TCP - Vegas.</w:t>
      </w:r>
    </w:p>
    <w:p>
      <w:pPr>
        <w:pStyle w:val="CaptionedFigure"/>
      </w:pPr>
      <w:r>
        <w:drawing>
          <wp:inline>
            <wp:extent cx="2667000" cy="1498626"/>
            <wp:effectExtent b="0" l="0" r="0" t="0"/>
            <wp:docPr descr="Vegas - Размер окна TCP" title="" id="35" name="Picture"/>
            <a:graphic>
              <a:graphicData uri="http://schemas.openxmlformats.org/drawingml/2006/picture">
                <pic:pic>
                  <pic:nvPicPr>
                    <pic:cNvPr descr="./image/Vega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Vegas - Размер окна TCP</w:t>
      </w:r>
    </w:p>
    <w:p>
      <w:pPr>
        <w:pStyle w:val="CaptionedFigure"/>
      </w:pPr>
      <w:r>
        <w:drawing>
          <wp:inline>
            <wp:extent cx="2667000" cy="1497847"/>
            <wp:effectExtent b="0" l="0" r="0" t="0"/>
            <wp:docPr descr="Vegas - Длина очереди и средняя длина очереди" title="" id="38" name="Picture"/>
            <a:graphic>
              <a:graphicData uri="http://schemas.openxmlformats.org/drawingml/2006/picture">
                <pic:pic>
                  <pic:nvPicPr>
                    <pic:cNvPr descr="./image/Vegas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Vegas - Длина очереди и средняя длина очереди</w:t>
      </w:r>
    </w:p>
    <w:p>
      <w:pPr>
        <w:numPr>
          <w:ilvl w:val="0"/>
          <w:numId w:val="1010"/>
        </w:numPr>
        <w:pStyle w:val="Compact"/>
      </w:pPr>
      <w:r>
        <w:t xml:space="preserve">Если нам понадобиться поменять как-то кривую, то можно изменять параметры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, который используется для отрисовки графиков.</w:t>
      </w:r>
    </w:p>
    <w:p>
      <w:pPr>
        <w:pStyle w:val="FirstParagraph"/>
      </w:pPr>
      <w:r>
        <w:t xml:space="preserve">https://manpages.ubuntu.com/manpages/xenial/man1/xgraph.1.html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работы, я приобрел практические навыки моделирования сетей передачи данных с помощью средства имитационного моделирования NS-2, а также смоделировал сеть с RED.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Тагиев Байрам Алтай оглы</dc:creator>
  <dc:language>ru-RU</dc:language>
  <cp:keywords/>
  <dcterms:created xsi:type="dcterms:W3CDTF">2023-04-29T12:16:23Z</dcterms:created>
  <dcterms:modified xsi:type="dcterms:W3CDTF">2023-04-29T12:16:23Z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