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12</w:t>
      </w:r>
    </w:p>
    <w:p>
      <w:pPr>
        <w:pStyle w:val="Author"/>
      </w:pPr>
      <w:r>
        <w:t xml:space="preserve">Тагиев</w:t>
      </w:r>
      <w:r>
        <w:t xml:space="preserve"> </w:t>
      </w:r>
      <w:r>
        <w:t xml:space="preserve">Байрам</w:t>
      </w:r>
      <w:r>
        <w:t xml:space="preserve"> </w:t>
      </w:r>
      <w:r>
        <w:t xml:space="preserve">Алтай</w:t>
      </w:r>
      <w:r>
        <w:t xml:space="preserve"> </w:t>
      </w:r>
      <w:r>
        <w:t xml:space="preserve">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Рассмотрим ненадёжную сеть передачи данных, состоящую из источника, получателя. Перед отправкой очередной порции данных источник должен получить от полу- чателя подтверждение о доставке предыдущей порции данных. Считаем, что пакет состоит из номера пакета и строковых данных. Передавать будем сообщение «Modelling and Analysis by Means of Coloured Petry Nets», разбитое по 8 символов.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Рисуем граф сети.</w:t>
      </w:r>
    </w:p>
    <w:p>
      <w:pPr>
        <w:pStyle w:val="CaptionedFigure"/>
      </w:pPr>
      <w:r>
        <w:drawing>
          <wp:inline>
            <wp:extent cx="3733800" cy="2313416"/>
            <wp:effectExtent b="0" l="0" r="0" t="0"/>
            <wp:docPr descr="Граф сети модели" title="" id="22" name="Picture"/>
            <a:graphic>
              <a:graphicData uri="http://schemas.openxmlformats.org/drawingml/2006/picture">
                <pic:pic>
                  <pic:nvPicPr>
                    <pic:cNvPr descr="./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 сети модели</w:t>
      </w:r>
    </w:p>
    <w:p>
      <w:pPr>
        <w:numPr>
          <w:ilvl w:val="0"/>
          <w:numId w:val="1002"/>
        </w:numPr>
        <w:pStyle w:val="Compact"/>
      </w:pPr>
      <w:r>
        <w:t xml:space="preserve">Зададим декларации модель.</w:t>
      </w:r>
    </w:p>
    <w:p>
      <w:pPr>
        <w:pStyle w:val="CaptionedFigure"/>
      </w:pPr>
      <w:r>
        <w:drawing>
          <wp:inline>
            <wp:extent cx="3213100" cy="2336800"/>
            <wp:effectExtent b="0" l="0" r="0" t="0"/>
            <wp:docPr descr="Декларации модели" title="" id="25" name="Picture"/>
            <a:graphic>
              <a:graphicData uri="http://schemas.openxmlformats.org/drawingml/2006/picture">
                <pic:pic>
                  <pic:nvPicPr>
                    <pic:cNvPr descr="./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Декларации модели</w:t>
      </w:r>
    </w:p>
    <w:p>
      <w:pPr>
        <w:numPr>
          <w:ilvl w:val="0"/>
          <w:numId w:val="1003"/>
        </w:numPr>
        <w:pStyle w:val="Compact"/>
      </w:pPr>
      <w:r>
        <w:t xml:space="preserve">Запустив, получим результат - пакет дошел до Receiver.</w:t>
      </w:r>
    </w:p>
    <w:p>
      <w:pPr>
        <w:pStyle w:val="CaptionedFigure"/>
      </w:pPr>
      <w:r>
        <w:drawing>
          <wp:inline>
            <wp:extent cx="3733800" cy="1380994"/>
            <wp:effectExtent b="0" l="0" r="0" t="0"/>
            <wp:docPr descr="Результат" title="" id="28" name="Picture"/>
            <a:graphic>
              <a:graphicData uri="http://schemas.openxmlformats.org/drawingml/2006/picture">
                <pic:pic>
                  <pic:nvPicPr>
                    <pic:cNvPr descr="./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p>
      <w:pPr>
        <w:numPr>
          <w:ilvl w:val="0"/>
          <w:numId w:val="1004"/>
        </w:numPr>
        <w:pStyle w:val="Compact"/>
      </w:pPr>
      <w:r>
        <w:t xml:space="preserve">Сформируем отчёт о пространстве состояний.</w:t>
      </w:r>
    </w:p>
    <w:p>
      <w:pPr>
        <w:pStyle w:val="SourceCode"/>
      </w:pPr>
      <w:r>
        <w:rPr>
          <w:rStyle w:val="VerbatimChar"/>
        </w:rPr>
        <w:t xml:space="preserve">State Space</w:t>
      </w:r>
      <w:r>
        <w:br/>
      </w:r>
      <w:r>
        <w:rPr>
          <w:rStyle w:val="VerbatimChar"/>
        </w:rPr>
        <w:t xml:space="preserve">  Nodes:  6443</w:t>
      </w:r>
      <w:r>
        <w:br/>
      </w:r>
      <w:r>
        <w:rPr>
          <w:rStyle w:val="VerbatimChar"/>
        </w:rPr>
        <w:t xml:space="preserve">  Arcs:   91940</w:t>
      </w:r>
      <w:r>
        <w:br/>
      </w:r>
      <w:r>
        <w:rPr>
          <w:rStyle w:val="VerbatimChar"/>
        </w:rPr>
        <w:t xml:space="preserve">  Secs:   10</w:t>
      </w:r>
      <w:r>
        <w:br/>
      </w:r>
      <w:r>
        <w:rPr>
          <w:rStyle w:val="VerbatimChar"/>
        </w:rPr>
        <w:t xml:space="preserve">  Status: Partial</w:t>
      </w:r>
      <w:r>
        <w:br/>
      </w:r>
      <w:r>
        <w:br/>
      </w:r>
      <w:r>
        <w:rPr>
          <w:rStyle w:val="VerbatimChar"/>
        </w:rPr>
        <w:t xml:space="preserve">Scc Graph</w:t>
      </w:r>
      <w:r>
        <w:br/>
      </w:r>
      <w:r>
        <w:rPr>
          <w:rStyle w:val="VerbatimChar"/>
        </w:rPr>
        <w:t xml:space="preserve">  Nodes:  3375</w:t>
      </w:r>
      <w:r>
        <w:br/>
      </w:r>
      <w:r>
        <w:rPr>
          <w:rStyle w:val="VerbatimChar"/>
        </w:rPr>
        <w:t xml:space="preserve">  Arcs:   74704</w:t>
      </w:r>
      <w:r>
        <w:br/>
      </w:r>
      <w:r>
        <w:rPr>
          <w:rStyle w:val="VerbatimChar"/>
        </w:rPr>
        <w:t xml:space="preserve">  Secs:   1</w:t>
      </w:r>
    </w:p>
    <w:p>
      <w:pPr>
        <w:numPr>
          <w:ilvl w:val="0"/>
          <w:numId w:val="1005"/>
        </w:numPr>
        <w:pStyle w:val="Compact"/>
      </w:pPr>
      <w:r>
        <w:t xml:space="preserve">Также построим граф пространства состояний.</w:t>
      </w:r>
    </w:p>
    <w:p>
      <w:pPr>
        <w:pStyle w:val="CaptionedFigure"/>
      </w:pPr>
      <w:r>
        <w:drawing>
          <wp:inline>
            <wp:extent cx="3733800" cy="1821180"/>
            <wp:effectExtent b="0" l="0" r="0" t="0"/>
            <wp:docPr descr="Граф пространства состояний" title="" id="31" name="Picture"/>
            <a:graphic>
              <a:graphicData uri="http://schemas.openxmlformats.org/drawingml/2006/picture">
                <pic:pic>
                  <pic:nvPicPr>
                    <pic:cNvPr descr="./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 пространства состояний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смоделировали простой протокол передачи данных.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12</dc:title>
  <dc:creator>Тагиев Байрам Алтай оглы</dc:creator>
  <dc:language>ru-RU</dc:language>
  <cp:keywords/>
  <dcterms:created xsi:type="dcterms:W3CDTF">2023-05-27T19:31:40Z</dcterms:created>
  <dcterms:modified xsi:type="dcterms:W3CDTF">2023-05-27T19:31:40Z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DejaVu Serif</vt:lpwstr>
  </property>
  <property fmtid="{D5CDD505-2E9C-101B-9397-08002B2CF9AE}" pid="56" name="mainfontoptions">
    <vt:lpwstr>Ligatures=TeX</vt:lpwstr>
  </property>
  <property fmtid="{D5CDD505-2E9C-101B-9397-08002B2CF9AE}" pid="57" name="monofont">
    <vt:lpwstr>DejaVu Sans Mono</vt:lpwstr>
  </property>
  <property fmtid="{D5CDD505-2E9C-101B-9397-08002B2CF9AE}" pid="58" name="monofontoptions">
    <vt:lpwstr>Scale=MatchLowercase,Scale=0.9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DejaVu Serif</vt:lpwstr>
  </property>
  <property fmtid="{D5CDD505-2E9C-101B-9397-08002B2CF9AE}" pid="69" name="romanfontoptions">
    <vt:lpwstr>Ligatures=TeX</vt:lpwstr>
  </property>
  <property fmtid="{D5CDD505-2E9C-101B-9397-08002B2CF9AE}" pid="70" name="sansfont">
    <vt:lpwstr>DejaVu Sans</vt:lpwstr>
  </property>
  <property fmtid="{D5CDD505-2E9C-101B-9397-08002B2CF9AE}" pid="71" name="sansfontoptions">
    <vt:lpwstr>Ligatures=TeX,Scale=MatchLowercase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