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User Control of Proactive Assistance in Spatial Workspaces</w:t>
      </w:r>
    </w:p>
    <w:p>
      <w:pPr>
        <w:pStyle w:val="Subtitle"/>
      </w:pPr>
      <w:r>
        <w:t>PhD research proposal   |   Jianxuan Shao   |   23 October 2026</w:t>
      </w:r>
    </w:p>
    <w:p>
      <w:pPr>
        <w:pStyle w:val="Heading1"/>
      </w:pPr>
      <w:r>
        <w:t>Abstract</w:t>
      </w:r>
    </w:p>
    <w:p>
      <w:r>
        <w:t>A useful assistant must recognise when the help a person welcomes has changed. In a spatial workspace, reducing clutter may help a user finish a task, yet moving the same windows can interrupt deliberate exploration or disrupt a familiar arrangement. A refusal may mean “not this layout”, “not during this task”, or a preference that should persist. I propose to study how proactive assistance can distinguish potential task benefit, currently welcome help and the effort a user can spend steering it. Three studies will establish these distinctions in spatial work, compare explicit tracking of current needs and feedback scope with a strong context-aware policy, and examine repair across repeated sessions. The initial system will offer reversible window reconfiguration in VR, with preview, direct choice and immediate recovery. It will use task events and explicit feedback rather than assume that observable behaviour reveals private intentions or emotional state. The intended contribution is evidence about when structured adaptation reduces unwanted help, when it adds unnecessary coordination, and how users can revise the scope of a correction.</w:t>
      </w:r>
    </w:p>
    <w:p>
      <w:pPr>
        <w:pStyle w:val="Heading1"/>
      </w:pPr>
      <w:r>
        <w:t>Motivation and research proposition</w:t>
      </w:r>
    </w:p>
    <w:p>
      <w:r>
        <w:t>My longer-term interest is an assistant that can move between understanding a person’s situation and helping change it. Someone may still need substantial help while having little capacity to explain what they want. Conversely, visible frustration does not establish permission to act. This proposal makes that interest experimentally tractable through one spatial interaction: an assistant offering to reposition or resize windows while a person compares and organises design materials.</w:t>
      </w:r>
    </w:p>
    <w:p>
      <w:r>
        <w:t>Consider a user arranging reference images and notes around a small architectural model. While exploring alternatives, the user wants materials to remain where they placed them. Later, under a deadline, they welcome a compact comparison layout. A previous rejection should not suppress useful help forever; a previous acceptance should not authorise every later change. I use support inertia as an operational label for continuing formerly welcome help after it has become unsuitable. The converse failure is overgeneralising a temporary refusal and withholding help when it is wanted again.</w:t>
      </w:r>
    </w:p>
    <w:p>
      <w:r>
        <w:t>The central proposition is that the system should maintain revisable estimates of what help is welcome and what participation it requires, while treating user permissions as explicit constraints. The main prediction is conditional: explicit tracking should be most useful around changes in goals and constraints, rather than improve every stable episode. Whether it outperforms an equally informed general policy is an empirical question.</w:t>
      </w:r>
    </w:p>
    <w:p>
      <w:r>
        <w:br w:type="page"/>
      </w:r>
    </w:p>
    <w:p>
      <w:pPr>
        <w:pStyle w:val="Heading1"/>
      </w:pPr>
      <w:r>
        <w:t>Research foundation and scope</w:t>
      </w:r>
    </w:p>
    <w:p>
      <w:r>
        <w:t>Mixed-initiative interface research already frames assistance as a choice among acting, asking and waiting under uncertainty and interaction costs [1]. Human-AI interaction guidelines also make correction and cautious adaptation established design requirements [2]. These foundations make the consequences of a correction, and its relevance to later tasks, a focused object for evaluation.</w:t>
      </w:r>
    </w:p>
    <w:p>
      <w:r>
        <w:t>Recent AR systems provide particularly strong foundations. Satori combines a belief-desire-intention model, vision and a multimodal language model to infer tasks and provide proactive guidance [3]. Sensible Agent adapts both the assistance offered and its interaction mode to multimodal context [4]. These systems establish that context-aware timing and modality are substantive prior work. This proposal focuses more narrowly on how a correction constrains later assistance when a user’s goal changes, and on the effort needed to recover from an incorrect transfer of that correction. I will examine these mechanisms alongside adaptive interfaces and preference learning, testing whether explicit scope tracking improves on the behaviour achievable with the same evidence in a general policy.</w:t>
      </w:r>
    </w:p>
    <w:p>
      <w:r>
        <w:t>Professor Xiang Li’s work makes spatial interaction a motivated setting for this question. Handows studies palm-based window control and user-developed layouts in realistic multitasking [5]. Research on on-body menus investigates creation perspectives, placement preferences and recall [6]. These projects motivate attention to physical effort and learned spatial organisation; they do not establish that automatic rearrangement is always desirable. The bodily-control research agenda treats transitions in control and shared agency as design concerns [7]. My initial system changes virtual content rather than actuating a person’s body, so it will test a bounded form of shared control without claiming to resolve bodily-control risks.</w:t>
      </w:r>
    </w:p>
    <w:p>
      <w:r>
        <w:t>The evaluation will distinguish task performance, acceptance of help and perceived control. Li, He and Kristensson’s review of 375 papers shows the importance of selecting measures that match an immersive system’s research purpose [8]. Presence or visual appeal will not substitute for evidence that the assistant helped the user accomplish their task.</w:t>
      </w:r>
    </w:p>
    <w:p>
      <w:pPr>
        <w:pStyle w:val="Heading1"/>
      </w:pPr>
      <w:r>
        <w:t>Research questions</w:t>
      </w:r>
    </w:p>
    <w:p>
      <w:r>
        <w:rPr>
          <w:b/>
        </w:rPr>
        <w:t xml:space="preserve">RQ1 </w:t>
      </w:r>
      <w:r>
        <w:t>When do potential task benefit, welcome assistance and willingness to participate diverge during spatial work, and what do users mean when they correct or decline help?</w:t>
      </w:r>
    </w:p>
    <w:p>
      <w:r>
        <w:rPr>
          <w:b/>
        </w:rPr>
        <w:t xml:space="preserve">RQ2 </w:t>
      </w:r>
      <w:r>
        <w:t>Does explicit tracking of current needs and feedback scope improve assistance around goal changes compared with a strong context-aware policy given the same evidence, and at what coordination cost?</w:t>
      </w:r>
    </w:p>
    <w:p>
      <w:r>
        <w:rPr>
          <w:b/>
        </w:rPr>
        <w:t xml:space="preserve">RQ3 </w:t>
      </w:r>
      <w:r>
        <w:t>How should users inspect and revise corrections that apply to one suggestion, one task or future sessions, and how reliably can an assistant restore useful help after a mistake?</w:t>
      </w:r>
    </w:p>
    <w:p>
      <w:r>
        <w:br w:type="page"/>
      </w:r>
    </w:p>
    <w:p>
      <w:pPr>
        <w:pStyle w:val="Heading1"/>
      </w:pPr>
      <w:r>
        <w:t>Prototype and study design</w:t>
      </w:r>
    </w:p>
    <w:p>
      <w:r>
        <w:t>The core environment will be a seated VR workspace with six to eight image and text windows around a simple architectural model. Participants will compare sources and create a short design rationale using supplied materials. The task supports exploration and completion goals, while window positions, scale, occlusion and interaction events are fully logged. Model content will remain fixed so that candidate layout quality can be checked independently of the assistance policy.</w:t>
      </w:r>
    </w:p>
    <w:p>
      <w:r>
        <w:t>A deterministic candidate generator will propose a small set of reversible layout changes based on visibility and reach constraints. The policy will choose among showing a layout preview, asking one focused question or waiting. Applying a preview will require confirmation in the primary experiment; an explicit user command can request it at any time. Undo, a saved layout and an always-available pause control will support recovery. Gesture input will be prototyped as an optional implementation path, with a controller alternative; recognition accuracy will be evaluated separately from the assistant’s decision.</w:t>
      </w:r>
    </w:p>
    <w:p>
      <w:r>
        <w:t>The proposed representation separates current goal, acceptable help, participation effort and permission scope. Its evidence will be explicit task instructions, recent interaction events and user-provided feedback, with uncertainty retained when evidence is ambiguous. A declined suggestion will constrain that suggestion by default. Broader effects will require an explicit scope such as this task or future sessions. Users can inspect, change and remove these records. Inferred hesitation, silence or repeated undo will not be treated as a diagnosis or a durable preference.</w:t>
      </w:r>
    </w:p>
    <w:p>
      <w:pPr>
        <w:pStyle w:val="Heading1"/>
      </w:pPr>
      <w:r>
        <w:t>Study 1 Grounding welcome assistance and feedback scope</w:t>
      </w:r>
    </w:p>
    <w:p>
      <w:r>
        <w:t>I will begin with approximately 12 to 18 adults who have varied experience organising visual material. Interviews and a task-based walkthrough will examine moments when participants want help but do not want to explain, when they prefer to continue alone, and when a rejection is temporary. Participants will compare identical candidate interventions under different goals, judging potential usefulness, whether they welcome it now and the steering effort they are willing to spend. Short retrospective interviews will examine why these judgments differ.</w:t>
      </w:r>
    </w:p>
    <w:p>
      <w:r>
        <w:t>A formative prototype will use scripted suggestions or a disclosed Wizard-of-Oz operator, avoiding the need to solve perception before understanding the interaction. It will include help opportunities that participants decline and moments when no suggestion is shown. Analysis will combine thematic coding of reasons and correction scope with event-level ratings and recovery traces. Sampling will continue within the planned range according to diversity of relevant episodes rather than a claim of universal saturation.</w:t>
      </w:r>
    </w:p>
    <w:p>
      <w:r>
        <w:t>A separate pilot will check whether the goal-change manipulation actually changes acceptable help, whether the proposed scope labels are understood, and whether private preference probes disrupt the task. These findings will define a compact annotation protocol, candidate set and preregistered study plan. They will also determine whether a distinct participation estimate adds useful information beyond the current goal and question cost.</w:t>
      </w:r>
    </w:p>
    <w:p>
      <w:r>
        <w:br w:type="page"/>
      </w:r>
    </w:p>
    <w:p>
      <w:pPr>
        <w:pStyle w:val="Heading1"/>
      </w:pPr>
      <w:r>
        <w:t>Study 2 Testing assistance when goals change</w:t>
      </w:r>
    </w:p>
    <w:p>
      <w:r>
        <w:t>The controlled study will compare two policies. The proposed policy will update an explicit state and a structured record of feedback scope. The comparator will be a strong language-model policy that receives the same goals, events, full feedback wording and available actions, including every explicit scope. Both will use the same candidate generator, model version, interface, confirmation and recovery controls, history budget and development data. Both will enforce explicit permissions; the comparison concerns inferred preferences and the transfer of feedback within those limits. Prompt development will use participant-separated pilot data and comparable tuning effort. The comparison will test the value of the representation rather than give one system privileged information.</w:t>
      </w:r>
    </w:p>
    <w:p>
      <w:r>
        <w:t>Participants will be assigned to one policy and complete counterbalanced blocks with matched content. Within each participant, a randomised event will either change the task goal from exploration to completion or provide a neutral update matched for reading and attention. Other blocks will test the reverse transition. Before the event, participants will have an opportunity to accept or decline a suggestion and specify its scope. Later blocks will revisit that intervention under the original or a changed goal. Event sequences will be matched across the two policy conditions. Private reports at a small number of fixed decision points will identify acceptable next actions before the policy responds; these reports will remain hidden from both systems. A pilot comparison with fewer probes will assess measurement effects.</w:t>
      </w:r>
    </w:p>
    <w:p>
      <w:r>
        <w:t>The primary outcome will be whether the first post-event action belongs to the participant’s acceptable set, allowing more than one valid action and a deliberate wait. The primary estimand will be the policy difference after a goal change minus the policy difference after a neutral update. This interaction tests the proposed reason for explicit updating. All randomised blocks will enter the analysis; blocks with an observed change in acceptable help will support a secondary descriptive analysis rather than replace the randomised comparison. Mixed-effects models will account for participant and task variation, and results will report probability differences with uncertainty.</w:t>
      </w:r>
    </w:p>
    <w:p>
      <w:r>
        <w:t>Secondary outcomes will include unwanted suggestion frequency, missed welcome help, time and actions needed to restore a desired layout, spatial recall, task quality, physical and mental workload, and perceived ability to direct the system. A blinded rubric will assess the design rationale independently of system acceptance. Coordination effort will count reading, confirmation, clarification, correction and recovery, so a policy cannot appear successful merely by asking for permission repeatedly. Perceived control and trust will be reported as separate constructs.</w:t>
      </w:r>
    </w:p>
    <w:p>
      <w:r>
        <w:t>Before recruitment, simulation will determine the sample required for the interaction across plausible acceptance rates, within-person dependence and attrition. The study will be scaled to a realistic recruitment budget, with the target fixed before confirmatory data collection. If the interaction cannot be adequately estimated, overall action fit will become the preregistered primary target and transition specificity will remain exploratory. A smaller direct-choice condition will provide a practical benchmark if resources permit; its status and allocation will be specified in advance.</w:t>
      </w:r>
    </w:p>
    <w:p>
      <w:r>
        <w:t>Recognition failures, latency and candidate quality will be logged. A technically invalid suggestion will be distinguished from a valid suggestion that is unwelcome. If the informed comparator performs equally well, the result will bound the value of the explicit representation. If direct choice is more efficient, that will support a simpler interaction design.</w:t>
      </w:r>
    </w:p>
    <w:p>
      <w:r>
        <w:br w:type="page"/>
      </w:r>
    </w:p>
    <w:p>
      <w:pPr>
        <w:pStyle w:val="Heading1"/>
      </w:pPr>
      <w:r>
        <w:t>Study 3 Repair and reuse across sessions</w:t>
      </w:r>
    </w:p>
    <w:p>
      <w:r>
        <w:t>A repeated-use study with approximately 18 to 24 adults will examine three sessions over two weeks. Participants will resume a saved workspace, encounter both recurring and changed goals, and review corrections they previously made. This study will test whether the assistant avoids repeating a rejected change while allowing similar help when the original restriction no longer applies. Both policies will provide the same inspection and editing controls. Assignment and tasks will be finalised after Study 2; the study will prioritise failure analysis and feasibility rather than claim a second adequately powered efficacy trial.</w:t>
      </w:r>
    </w:p>
    <w:p>
      <w:r>
        <w:t>Trace-based interviews will examine when users select, omit or revise a scope, how they understand a remembered restriction, and when maintaining that record becomes work. Measures will include recurrence of previously corrected mistakes, time to restore welcome assistance, removal of stale preferences and voluntary use of inspection controls. Missing sessions, withdrawal and unresolved endings will be reported. A correction successfully saved in software will not count as successful repair unless later behaviour respects it in the relevant context.</w:t>
      </w:r>
    </w:p>
    <w:p>
      <w:pPr>
        <w:pStyle w:val="Heading1"/>
      </w:pPr>
      <w:r>
        <w:t>Feasibility and preparation</w:t>
      </w:r>
    </w:p>
    <w:p>
      <w:r>
        <w:t>My training combines architecture with an ongoing Master of Computer Science at the University of Sydney. Architectural surveying and reconstruction have developed my attention to spatial relationships and the evidence needed to represent them. My interactive-media internship involved supporting CAVE projection, touch and radar interactions, and VR/AR visualisation. My rule-based co-play prototype and team work on explainable AI-image detection have also motivated a stronger connection between implementation, evaluation and the limits of a result. These are starting points for the project; the proposed XR assistant and user studies remain work to be undertaken.</w:t>
      </w:r>
    </w:p>
    <w:p>
      <w:r>
        <w:t>Development will begin with a desktop simulation of the same layout events, then move to a standard headset after interaction logging and recovery are reliable. The confirmatory spatial claims will require the headset study. One environment, one intervention family and existing models keep the initial implementation bounded. Training a general multimodal model, fabricating bodily actuators and building a full conversational companion are outside the core programme. Cultural-heritage materials could later support a replication informed by my spatial background, with separate measures if the research question concerns cultural understanding.</w:t>
      </w:r>
    </w:p>
    <w:p>
      <w:r>
        <w:t>The studies will use ordinary adult design tasks with consent-based data collection, configurable retention and deletion. They will record only task-relevant signals and optional self-reported readiness. No facial-emotion recognition or continuous personal-life recording is required. Sessions will include breaks, a seated configuration and a controller option, with discomfort and access constraints reported.</w:t>
      </w:r>
    </w:p>
    <w:p>
      <w:pPr>
        <w:pStyle w:val="Heading1"/>
      </w:pPr>
      <w:r>
        <w:t>Trajectory and intended contribution</w:t>
      </w:r>
    </w:p>
    <w:p>
      <w:r>
        <w:t>Months 1 to 9 will cover the adjacent literature, technical training, ethics, Study 1 and the pilot. Months 10 to 21 will develop the prototype, freeze the comparison and complete Study 2. Months 22 to 30 will examine repair across sessions. Months 31 to 36 will prioritise synthesis and thesis writing, with extensions dependent on the core findings and programme requirements.</w:t>
      </w:r>
    </w:p>
    <w:p>
      <w:r>
        <w:t>The intended outputs are a grounded account of welcome assistance and correction scope, a reproducible comparison of assistance policies around goal changes, and design evidence about repair across sessions. Together, they will clarify how a proactive assistant can remain useful when the user needs help but has limited capacity to steer it, while remaining easy to redirect.</w:t>
      </w:r>
    </w:p>
    <w:p>
      <w:r>
        <w:br w:type="page"/>
      </w:r>
    </w:p>
    <w:p>
      <w:pPr>
        <w:pStyle w:val="Heading1"/>
      </w:pPr>
      <w:r>
        <w:t>References</w:t>
      </w:r>
    </w:p>
    <w:p>
      <w:pPr>
        <w:keepNext/>
        <w:spacing w:after="60"/>
      </w:pPr>
      <w:r>
        <w:t>[1] Horvitz, E. (1999). Principles of Mixed-Initiative User Interfaces. CHI 1999, 159-166.</w:t>
      </w:r>
    </w:p>
    <w:p>
      <w:pPr>
        <w:spacing w:after="200"/>
      </w:pPr>
      <w:r>
        <w:rPr>
          <w:sz w:val="20"/>
        </w:rPr>
        <w:t>https://www.microsoft.com/en-us/research/publication/principles-mixed-initiative-user-interfaces/</w:t>
      </w:r>
    </w:p>
    <w:p>
      <w:pPr>
        <w:keepNext/>
        <w:spacing w:after="60"/>
      </w:pPr>
      <w:r>
        <w:t>[2] Amershi, S., et al. (2019). Guidelines for Human-AI Interaction. CHI 2019.</w:t>
      </w:r>
    </w:p>
    <w:p>
      <w:pPr>
        <w:spacing w:after="200"/>
      </w:pPr>
      <w:r>
        <w:rPr>
          <w:sz w:val="20"/>
        </w:rPr>
        <w:t>https://doi.org/10.1145/3290605.3300233</w:t>
      </w:r>
    </w:p>
    <w:p>
      <w:pPr>
        <w:keepNext/>
        <w:spacing w:after="60"/>
      </w:pPr>
      <w:r>
        <w:t>[3] Li, C., Wu, G., Chan, G. Y.-Y., Turakhia, D. G., Castelo, S., Li, D., Welch, L., Silva, C. T., &amp; Qian, J. (2025). Satori: Towards Proactive AR Assistant with Belief-Desire-Intention User Modeling. CHI 2025.</w:t>
      </w:r>
    </w:p>
    <w:p>
      <w:pPr>
        <w:spacing w:after="200"/>
      </w:pPr>
      <w:r>
        <w:rPr>
          <w:sz w:val="20"/>
        </w:rPr>
        <w:t>https://doi.org/10.1145/3706598.3714188</w:t>
      </w:r>
    </w:p>
    <w:p>
      <w:pPr>
        <w:keepNext/>
        <w:spacing w:after="60"/>
      </w:pPr>
      <w:r>
        <w:t>[4] Lee, G., Xia, M., Numan, N., Qian, X., Li, D., Chen, Y., Kulshrestha, A., Chatterjee, I., Zhang, Y., Manocha, D., Kim, D., &amp; Du, R. (2025). Sensible Agent: A Framework for Unobtrusive Interaction with Proactive AR Agents. UIST 2025.</w:t>
      </w:r>
    </w:p>
    <w:p>
      <w:pPr>
        <w:spacing w:after="200"/>
      </w:pPr>
      <w:r>
        <w:rPr>
          <w:sz w:val="20"/>
        </w:rPr>
        <w:t>https://doi.org/10.1145/3746059.3747748</w:t>
      </w:r>
    </w:p>
    <w:p>
      <w:pPr>
        <w:keepNext/>
        <w:spacing w:after="60"/>
      </w:pPr>
      <w:r>
        <w:t>[5] Wang, J., Zhou, K., Ren, H., Kristensson, P. O., &amp; Li, X. (2025). Handows: A Palm-Based Interactive Multi-Window Management System in Virtual Reality. IEEE Transactions on Visualization and Computer Graphics, 31(11), 9772-9782.</w:t>
      </w:r>
    </w:p>
    <w:p>
      <w:pPr>
        <w:spacing w:after="200"/>
      </w:pPr>
      <w:r>
        <w:rPr>
          <w:sz w:val="20"/>
        </w:rPr>
        <w:t>https://doi.org/10.1109/TVCG.2025.3616843</w:t>
      </w:r>
    </w:p>
    <w:p>
      <w:pPr>
        <w:keepNext/>
        <w:spacing w:after="60"/>
      </w:pPr>
      <w:r>
        <w:t>[6] Li, X., He, W., Jin, S., Gugenheimer, J., Hui, P., Liang, H.-N., &amp; Kristensson, P. O. (2024). Investigating Creation Perspectives and Icon Placement Preferences for On-Body Menus in Virtual Reality. Proceedings of the ACM on Human-Computer Interaction, 8(ISS).</w:t>
      </w:r>
    </w:p>
    <w:p>
      <w:pPr>
        <w:spacing w:after="200"/>
      </w:pPr>
      <w:r>
        <w:rPr>
          <w:sz w:val="20"/>
        </w:rPr>
        <w:t>https://doi.org/10.1145/3698136</w:t>
      </w:r>
    </w:p>
    <w:p>
      <w:pPr>
        <w:keepNext/>
        <w:spacing w:after="60"/>
      </w:pPr>
      <w:r>
        <w:t>[7] Mueller, F. F., et al. (2026). Grand Challenges around Designing Computers’ Control Over Our Bodies. CHI 2026.</w:t>
      </w:r>
    </w:p>
    <w:p>
      <w:pPr>
        <w:spacing w:after="200"/>
      </w:pPr>
      <w:r>
        <w:rPr>
          <w:sz w:val="20"/>
        </w:rPr>
        <w:t>https://doi.org/10.1145/3772318.3790606</w:t>
      </w:r>
    </w:p>
    <w:p>
      <w:pPr>
        <w:keepNext/>
        <w:spacing w:after="60"/>
      </w:pPr>
      <w:r>
        <w:t>[8] Li, X., He, W., &amp; Kristensson, P. O. (2026). How Do We Evaluate Experiences in Immersive Environments? CHI 2026.</w:t>
      </w:r>
    </w:p>
    <w:p>
      <w:pPr>
        <w:spacing w:after="200"/>
      </w:pPr>
      <w:r>
        <w:rPr>
          <w:sz w:val="20"/>
        </w:rPr>
        <w:t>https://doi.org/10.1145/3772318.3790724</w:t>
      </w:r>
    </w:p>
    <w:sectPr w:rsidR="00FC693F" w:rsidRPr="0006063C" w:rsidSect="00034616">
      <w:footerReference w:type="default" r:id="rId9"/>
      <w:pgSz w:w="11952" w:h="16848"/>
      <w:pgMar w:top="1037" w:right="1152" w:bottom="979"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Calibri" w:hAnsi="Calibri" w:eastAsia="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eastAsia="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eastAsia="Calibri"/>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eastAsia="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Control of Proactive Assistance in Spatial Workspaces</dc:title>
  <dc:subject>PhD research proposal</dc:subject>
  <dc:creator>Jianxuan Shao</dc:creator>
  <cp:keywords/>
  <dc:description>generated by python-docx</dc:description>
  <cp:lastModifiedBy/>
  <cp:revision>1</cp:revision>
  <dcterms:created xsi:type="dcterms:W3CDTF">2013-12-23T23:15:00Z</dcterms:created>
  <dcterms:modified xsi:type="dcterms:W3CDTF">2013-12-23T23:15:00Z</dcterms:modified>
  <cp:category/>
</cp:coreProperties>
</file>