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25880" cy="566534"/>
                  <wp:docPr id="1" name="Picture 1" descr="Mars Food and Nutrition logo" title="Mars Food and Nutri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locku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66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62BB46"/>
                <w:sz w:val="18"/>
              </w:rPr>
              <w:t>STAKEHOLDER REVIEW GUIDE</w:t>
              <w:br/>
            </w:r>
            <w:r>
              <w:rPr>
                <w:rFonts w:ascii="Arial" w:hAnsi="Arial"/>
                <w:b/>
                <w:i w:val="0"/>
                <w:color w:val="0000A0"/>
                <w:sz w:val="56"/>
              </w:rPr>
              <w:t>ICEbreaker</w:t>
            </w:r>
          </w:p>
        </w:tc>
      </w:tr>
    </w:tbl>
    <w:p>
      <w:pPr>
        <w:spacing w:before="320" w:after="80"/>
        <w:jc w:val="left"/>
      </w:pPr>
      <w:r>
        <w:rPr>
          <w:rFonts w:ascii="Arial" w:hAnsi="Arial"/>
          <w:b/>
          <w:i w:val="0"/>
          <w:color w:val="3C3C3C"/>
          <w:sz w:val="36"/>
        </w:rPr>
        <w:t>Digitalized Controls Hub</w:t>
      </w:r>
    </w:p>
    <w:p>
      <w:pPr>
        <w:spacing w:after="320"/>
      </w:pPr>
      <w:r>
        <w:rPr>
          <w:rFonts w:ascii="Arial" w:hAnsi="Arial"/>
          <w:b/>
          <w:i w:val="0"/>
          <w:color w:val="19738D"/>
          <w:sz w:val="21"/>
        </w:rPr>
        <w:t>Reviewer-first Phase 1 MVP | Europe inventory pilot | Food &amp; Nutrition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62BB46"/>
          <w:left w:val="single" w:sz="8" w:color="62BB46"/>
          <w:bottom w:val="single" w:sz="8" w:color="62BB46"/>
          <w:right w:val="single" w:sz="8" w:color="62BB46"/>
          <w:insideH w:val="single" w:sz="8" w:color="62BB46"/>
          <w:insideV w:val="single" w:sz="8" w:color="62BB4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7EA"/>
          </w:tcPr>
          <w:p>
            <w:r>
              <w:rPr>
                <w:rFonts w:ascii="Arial" w:hAnsi="Arial"/>
                <w:b/>
                <w:i w:val="0"/>
                <w:color w:val="2F6F21"/>
                <w:sz w:val="22"/>
              </w:rPr>
              <w:t xml:space="preserve">Review objective. </w:t>
            </w:r>
            <w:r>
              <w:rPr>
                <w:rFonts w:ascii="Arial" w:hAnsi="Arial"/>
                <w:b w:val="0"/>
                <w:i w:val="0"/>
                <w:color w:val="2F6F21"/>
                <w:sz w:val="22"/>
              </w:rPr>
              <w:t>Validate whether ICEbreaker makes control ownership, procedure guidance, execution, escalation and reporting clear enough for a practical pilot.</w:t>
            </w:r>
          </w:p>
        </w:tc>
      </w:tr>
    </w:tbl>
    <w:p>
      <w:pPr>
        <w:spacing w:before="280" w:after="60"/>
      </w:pPr>
      <w:r>
        <w:rPr>
          <w:rFonts w:ascii="Arial" w:hAnsi="Arial"/>
          <w:b/>
          <w:i w:val="0"/>
          <w:color w:val="3C3C3C"/>
          <w:sz w:val="22"/>
        </w:rPr>
        <w:t xml:space="preserve">Open the MVP: </w:t>
      </w:r>
      <w:hyperlink r:id="rId12">
        <w:r>
          <w:rPr>
            <w:color w:val="0000A0"/>
            <w:u w:val="single"/>
          </w:rPr>
          <w:t>Open ICEbreaker MVP</w:t>
        </w:r>
      </w:hyperlink>
    </w:p>
    <w:p>
      <w:pPr>
        <w:pStyle w:val="Heading1"/>
        <w:keepNext/>
      </w:pPr>
      <w:r>
        <w:t>Recommended review flow</w:t>
      </w:r>
    </w:p>
    <w:p>
      <w:r>
        <w:rPr>
          <w:rFonts w:ascii="Arial" w:hAnsi="Arial"/>
          <w:b w:val="0"/>
          <w:i w:val="0"/>
          <w:color w:val="3C3C3C"/>
          <w:sz w:val="22"/>
        </w:rPr>
        <w:t>Allow approximately 15-20 minutes. The Demo Account lets reviewers switch between the Controller Admin and Control Owner experiences from the profile card in the lower-left corner.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Orient yourself. </w:t>
      </w:r>
      <w:r>
        <w:rPr>
          <w:rFonts w:ascii="Arial" w:hAnsi="Arial"/>
          <w:b w:val="0"/>
          <w:i w:val="0"/>
          <w:color w:val="3C3C3C"/>
          <w:sz w:val="22"/>
        </w:rPr>
        <w:t>Start on Control tower. Review the headline metrics, prioritized exceptions and certification-period selector.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Review a control as Controller Admin. </w:t>
      </w:r>
      <w:r>
        <w:rPr>
          <w:rFonts w:ascii="Arial" w:hAnsi="Arial"/>
          <w:b w:val="0"/>
          <w:i w:val="0"/>
          <w:color w:val="3C3C3C"/>
          <w:sz w:val="22"/>
        </w:rPr>
        <w:t>Open INV.MF.01 or another inventory control. Confirm the owner, site, due date, evidence rule and execution instructions are understandable.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Test DTP guidance. </w:t>
      </w:r>
      <w:r>
        <w:rPr>
          <w:rFonts w:ascii="Arial" w:hAnsi="Arial"/>
          <w:b w:val="0"/>
          <w:i w:val="0"/>
          <w:color w:val="3C3C3C"/>
          <w:sz w:val="22"/>
        </w:rPr>
        <w:t>In Desktop procedure, add numbered working steps, enter version/owner/review dates, attach a sample procedure if desired, then save the DTP guidance.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Test escalation. </w:t>
      </w:r>
      <w:r>
        <w:rPr>
          <w:rFonts w:ascii="Arial" w:hAnsi="Arial"/>
          <w:b w:val="0"/>
          <w:i w:val="0"/>
          <w:color w:val="3C3C3C"/>
          <w:sz w:val="22"/>
        </w:rPr>
        <w:t>Use Ask for guidance to submit a question. Use Log a gap to create an exception and verify that the form explains how the request will be routed and tracked.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Review Controller reporting. </w:t>
      </w:r>
      <w:r>
        <w:rPr>
          <w:rFonts w:ascii="Arial" w:hAnsi="Arial"/>
          <w:b w:val="0"/>
          <w:i w:val="0"/>
          <w:color w:val="3C3C3C"/>
          <w:sz w:val="22"/>
        </w:rPr>
        <w:t>Open Reports, switch among Leadership, Site owners and Controllers, apply filters, save a view and download the resulting control list.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Review the Control Owner experience. </w:t>
      </w:r>
      <w:r>
        <w:rPr>
          <w:rFonts w:ascii="Arial" w:hAnsi="Arial"/>
          <w:b w:val="0"/>
          <w:i w:val="0"/>
          <w:color w:val="3C3C3C"/>
          <w:sz w:val="22"/>
        </w:rPr>
        <w:t>Assign a control to Demo Account, switch roles from the lower-left profile card, open My controls, confirm ownership and understanding, add evidence where required and certify.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Capture feedback. </w:t>
      </w:r>
      <w:r>
        <w:rPr>
          <w:rFonts w:ascii="Arial" w:hAnsi="Arial"/>
          <w:b w:val="0"/>
          <w:i w:val="0"/>
          <w:color w:val="3C3C3C"/>
          <w:sz w:val="22"/>
        </w:rPr>
        <w:t>Use the prompts on the next page to record what is clear, confusing, missing or unnecessarily complex.</w:t>
      </w:r>
    </w:p>
    <w:p>
      <w:r>
        <w:br w:type="page"/>
      </w:r>
    </w:p>
    <w:p>
      <w:pPr>
        <w:pStyle w:val="Heading1"/>
        <w:keepNext/>
      </w:pPr>
      <w:r>
        <w:t>What to evaluate</w:t>
      </w:r>
    </w:p>
    <w:p>
      <w:pPr>
        <w:pStyle w:val="ListBullet"/>
        <w:spacing w:after="80" w:line="300" w:lineRule="auto"/>
        <w:ind w:left="720" w:hanging="360"/>
      </w:pPr>
      <w:r>
        <w:rPr>
          <w:rFonts w:ascii="Arial" w:hAnsi="Arial"/>
          <w:b w:val="0"/>
          <w:i w:val="0"/>
          <w:color w:val="3C3C3C"/>
          <w:sz w:val="22"/>
        </w:rPr>
        <w:t>Clarity: Can a first-time user understand what they own and what they need to do?</w:t>
      </w:r>
    </w:p>
    <w:p>
      <w:pPr>
        <w:pStyle w:val="ListBullet"/>
        <w:spacing w:after="80" w:line="300" w:lineRule="auto"/>
        <w:ind w:left="720" w:hanging="360"/>
      </w:pPr>
      <w:r>
        <w:rPr>
          <w:rFonts w:ascii="Arial" w:hAnsi="Arial"/>
          <w:b w:val="0"/>
          <w:i w:val="0"/>
          <w:color w:val="3C3C3C"/>
          <w:sz w:val="22"/>
        </w:rPr>
        <w:t>Procedure quality: Is the combination of execution instructions, DTP steps and attachments sufficient?</w:t>
      </w:r>
    </w:p>
    <w:p>
      <w:pPr>
        <w:pStyle w:val="ListBullet"/>
        <w:spacing w:after="80" w:line="300" w:lineRule="auto"/>
        <w:ind w:left="720" w:hanging="360"/>
      </w:pPr>
      <w:r>
        <w:rPr>
          <w:rFonts w:ascii="Arial" w:hAnsi="Arial"/>
          <w:b w:val="0"/>
          <w:i w:val="0"/>
          <w:color w:val="3C3C3C"/>
          <w:sz w:val="22"/>
        </w:rPr>
        <w:t>Evidence: Is it obvious when evidence is mandatory, what to upload and what completion means?</w:t>
      </w:r>
    </w:p>
    <w:p>
      <w:pPr>
        <w:pStyle w:val="ListBullet"/>
        <w:spacing w:after="80" w:line="300" w:lineRule="auto"/>
        <w:ind w:left="720" w:hanging="360"/>
      </w:pPr>
      <w:r>
        <w:rPr>
          <w:rFonts w:ascii="Arial" w:hAnsi="Arial"/>
          <w:b w:val="0"/>
          <w:i w:val="0"/>
          <w:color w:val="3C3C3C"/>
          <w:sz w:val="22"/>
        </w:rPr>
        <w:t>Escalation: Are guidance requests and gaps distinct, and is the expected follow-up clear?</w:t>
      </w:r>
    </w:p>
    <w:p>
      <w:pPr>
        <w:pStyle w:val="ListBullet"/>
        <w:spacing w:after="80" w:line="300" w:lineRule="auto"/>
        <w:ind w:left="720" w:hanging="360"/>
      </w:pPr>
      <w:r>
        <w:rPr>
          <w:rFonts w:ascii="Arial" w:hAnsi="Arial"/>
          <w:b w:val="0"/>
          <w:i w:val="0"/>
          <w:color w:val="3C3C3C"/>
          <w:sz w:val="22"/>
        </w:rPr>
        <w:t>Reporting: Do the views and filters answer Controller, leadership and site-owner questions?</w:t>
      </w:r>
    </w:p>
    <w:p>
      <w:pPr>
        <w:pStyle w:val="ListBullet"/>
        <w:spacing w:after="80" w:line="300" w:lineRule="auto"/>
        <w:ind w:left="720" w:hanging="360"/>
      </w:pPr>
      <w:r>
        <w:rPr>
          <w:rFonts w:ascii="Arial" w:hAnsi="Arial"/>
          <w:b w:val="0"/>
          <w:i w:val="0"/>
          <w:color w:val="3C3C3C"/>
          <w:sz w:val="22"/>
        </w:rPr>
        <w:t>Adoption: What would prevent users from completing this workflow during a live close cycle?</w:t>
      </w:r>
    </w:p>
    <w:p>
      <w:pPr>
        <w:pStyle w:val="Heading2"/>
        <w:keepNext/>
      </w:pPr>
      <w:r>
        <w:t>Suggested feedback prompts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E2E4E6"/>
          <w:left w:val="single" w:sz="6" w:color="E2E4E6"/>
          <w:bottom w:val="single" w:sz="6" w:color="E2E4E6"/>
          <w:right w:val="single" w:sz="6" w:color="E2E4E6"/>
          <w:insideH w:val="single" w:sz="6" w:color="E2E4E6"/>
          <w:insideV w:val="single" w:sz="6" w:color="E2E4E6"/>
        </w:tblBorders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00A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7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00A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Questions to ask</w:t>
            </w:r>
          </w:p>
        </w:tc>
      </w:tr>
      <w:tr>
        <w:tc>
          <w:tcPr>
            <w:tcW w:type="dxa" w:w="2350"/>
            <w:shd w:fill="F4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000A0"/>
                <w:sz w:val="19"/>
              </w:rPr>
              <w:t>Control setup</w:t>
            </w:r>
          </w:p>
        </w:tc>
        <w:tc>
          <w:tcPr>
            <w:tcW w:type="dxa" w:w="7010"/>
            <w:shd w:fill="FCFA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9"/>
              </w:rPr>
              <w:t>Which fields are essential? Which feel redundant or unclear?</w:t>
            </w:r>
          </w:p>
        </w:tc>
      </w:tr>
      <w:tr>
        <w:tc>
          <w:tcPr>
            <w:tcW w:type="dxa" w:w="23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000A0"/>
                <w:sz w:val="19"/>
              </w:rPr>
              <w:t>Control Owner flow</w:t>
            </w:r>
          </w:p>
        </w:tc>
        <w:tc>
          <w:tcPr>
            <w:tcW w:type="dxa" w:w="701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9"/>
              </w:rPr>
              <w:t>Could you complete certification without separate training?</w:t>
            </w:r>
          </w:p>
        </w:tc>
      </w:tr>
      <w:tr>
        <w:tc>
          <w:tcPr>
            <w:tcW w:type="dxa" w:w="2350"/>
            <w:shd w:fill="F4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000A0"/>
                <w:sz w:val="19"/>
              </w:rPr>
              <w:t>DTP &amp; evidence</w:t>
            </w:r>
          </w:p>
        </w:tc>
        <w:tc>
          <w:tcPr>
            <w:tcW w:type="dxa" w:w="7010"/>
            <w:shd w:fill="FCFA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9"/>
              </w:rPr>
              <w:t>What minimum guidance and evidence should be required?</w:t>
            </w:r>
          </w:p>
        </w:tc>
      </w:tr>
      <w:tr>
        <w:tc>
          <w:tcPr>
            <w:tcW w:type="dxa" w:w="23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000A0"/>
                <w:sz w:val="19"/>
              </w:rPr>
              <w:t>Requests &amp; gaps</w:t>
            </w:r>
          </w:p>
        </w:tc>
        <w:tc>
          <w:tcPr>
            <w:tcW w:type="dxa" w:w="701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9"/>
              </w:rPr>
              <w:t>Is the distinction clear? Who should receive and resolve each item?</w:t>
            </w:r>
          </w:p>
        </w:tc>
      </w:tr>
      <w:tr>
        <w:tc>
          <w:tcPr>
            <w:tcW w:type="dxa" w:w="2350"/>
            <w:shd w:fill="F4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000A0"/>
                <w:sz w:val="19"/>
              </w:rPr>
              <w:t>Reporting</w:t>
            </w:r>
          </w:p>
        </w:tc>
        <w:tc>
          <w:tcPr>
            <w:tcW w:type="dxa" w:w="7010"/>
            <w:shd w:fill="FCFA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9"/>
              </w:rPr>
              <w:t>Which audience views and filters would you use most often?</w:t>
            </w:r>
          </w:p>
        </w:tc>
      </w:tr>
      <w:tr>
        <w:tc>
          <w:tcPr>
            <w:tcW w:type="dxa" w:w="23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000A0"/>
                <w:sz w:val="19"/>
              </w:rPr>
              <w:t>Pilot readiness</w:t>
            </w:r>
          </w:p>
        </w:tc>
        <w:tc>
          <w:tcPr>
            <w:tcW w:type="dxa" w:w="701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9"/>
              </w:rPr>
              <w:t>What must change before testing with Europe inventory users?</w:t>
            </w:r>
          </w:p>
        </w:tc>
      </w:tr>
    </w:tbl>
    <w:p>
      <w:pPr>
        <w:pStyle w:val="Heading1"/>
        <w:keepNext/>
      </w:pPr>
      <w:r>
        <w:t>Prototype boundaries</w:t>
      </w:r>
    </w:p>
    <w:p>
      <w:r>
        <w:rPr>
          <w:rFonts w:ascii="Arial" w:hAnsi="Arial"/>
          <w:b w:val="0"/>
          <w:i w:val="0"/>
          <w:color w:val="3C3C3C"/>
          <w:sz w:val="22"/>
        </w:rPr>
        <w:t>The review should focus on workflow, language and usability. The following implementation boundaries are intentional for the public MVP: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E2E4E6"/>
          <w:left w:val="single" w:sz="6" w:color="E2E4E6"/>
          <w:bottom w:val="single" w:sz="6" w:color="E2E4E6"/>
          <w:right w:val="single" w:sz="6" w:color="E2E4E6"/>
          <w:insideH w:val="single" w:sz="6" w:color="E2E4E6"/>
          <w:insideV w:val="single" w:sz="6" w:color="E2E4E6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9738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Capability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9738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MVP review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9738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Enterprise target</w:t>
            </w:r>
          </w:p>
        </w:tc>
      </w:tr>
      <w:tr>
        <w:tc>
          <w:tcPr>
            <w:tcW w:type="dxa" w:w="18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9738D"/>
                <w:sz w:val="19"/>
              </w:rPr>
              <w:t>Identity</w:t>
            </w:r>
          </w:p>
        </w:tc>
        <w:tc>
          <w:tcPr>
            <w:tcW w:type="dxa" w:w="33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Demo Account and role switch</w:t>
            </w:r>
          </w:p>
        </w:tc>
        <w:tc>
          <w:tcPr>
            <w:tcW w:type="dxa" w:w="426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Microsoft Entra ID / SSO</w:t>
            </w:r>
          </w:p>
        </w:tc>
      </w:tr>
      <w:tr>
        <w:tc>
          <w:tcPr>
            <w:tcW w:type="dxa" w:w="18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9738D"/>
                <w:sz w:val="19"/>
              </w:rPr>
              <w:t>Notifications</w:t>
            </w:r>
          </w:p>
        </w:tc>
        <w:tc>
          <w:tcPr>
            <w:tcW w:type="dxa" w:w="33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Simulated in-app routing</w:t>
            </w:r>
          </w:p>
        </w:tc>
        <w:tc>
          <w:tcPr>
            <w:tcW w:type="dxa" w:w="426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Governed Microsoft 365 delivery</w:t>
            </w:r>
          </w:p>
        </w:tc>
      </w:tr>
      <w:tr>
        <w:tc>
          <w:tcPr>
            <w:tcW w:type="dxa" w:w="18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9738D"/>
                <w:sz w:val="19"/>
              </w:rPr>
              <w:t>Files</w:t>
            </w:r>
          </w:p>
        </w:tc>
        <w:tc>
          <w:tcPr>
            <w:tcW w:type="dxa" w:w="33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Filename-level prototype behavior</w:t>
            </w:r>
          </w:p>
        </w:tc>
        <w:tc>
          <w:tcPr>
            <w:tcW w:type="dxa" w:w="426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Enterprise object storage and retention</w:t>
            </w:r>
          </w:p>
        </w:tc>
      </w:tr>
      <w:tr>
        <w:tc>
          <w:tcPr>
            <w:tcW w:type="dxa" w:w="18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9738D"/>
                <w:sz w:val="19"/>
              </w:rPr>
              <w:t>Data</w:t>
            </w:r>
          </w:p>
        </w:tc>
        <w:tc>
          <w:tcPr>
            <w:tcW w:type="dxa" w:w="33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Saved in the reviewer’s browser</w:t>
            </w:r>
          </w:p>
        </w:tc>
        <w:tc>
          <w:tcPr>
            <w:tcW w:type="dxa" w:w="426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GCP services with server authorization</w:t>
            </w:r>
          </w:p>
        </w:tc>
      </w:tr>
      <w:tr>
        <w:tc>
          <w:tcPr>
            <w:tcW w:type="dxa" w:w="18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9738D"/>
                <w:sz w:val="19"/>
              </w:rPr>
              <w:t>Scope</w:t>
            </w:r>
          </w:p>
        </w:tc>
        <w:tc>
          <w:tcPr>
            <w:tcW w:type="dxa" w:w="33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Europe inventory pilot content</w:t>
            </w:r>
          </w:p>
        </w:tc>
        <w:tc>
          <w:tcPr>
            <w:tcW w:type="dxa" w:w="426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Additional regions and control families</w:t>
            </w:r>
          </w:p>
        </w:tc>
      </w:tr>
    </w:tbl>
    <w:p>
      <w:pPr>
        <w:pStyle w:val="Heading1"/>
        <w:keepNext/>
      </w:pPr>
      <w:r>
        <w:t>How to send feedback</w:t>
      </w:r>
    </w:p>
    <w:p>
      <w:r>
        <w:rPr>
          <w:rFonts w:ascii="Arial" w:hAnsi="Arial"/>
          <w:b w:val="0"/>
          <w:i w:val="0"/>
          <w:color w:val="3C3C3C"/>
          <w:sz w:val="22"/>
        </w:rPr>
        <w:t>Please send concise notes grouped under: Keep, Change, Missing and Question. Screenshots are helpful when a label, layout or interaction is unclear.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EB6916"/>
          <w:left w:val="single" w:sz="8" w:color="EB6916"/>
          <w:bottom w:val="single" w:sz="8" w:color="EB6916"/>
          <w:right w:val="single" w:sz="8" w:color="EB6916"/>
          <w:insideH w:val="single" w:sz="8" w:color="EB6916"/>
          <w:insideV w:val="single" w:sz="8" w:color="EB691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3E8"/>
          </w:tcPr>
          <w:p>
            <w:r>
              <w:rPr>
                <w:rFonts w:ascii="Arial" w:hAnsi="Arial"/>
                <w:b/>
                <w:i w:val="0"/>
                <w:color w:val="EB6916"/>
                <w:sz w:val="22"/>
              </w:rPr>
              <w:t xml:space="preserve">Important: </w:t>
            </w:r>
            <w:r>
              <w:rPr>
                <w:rFonts w:ascii="Arial" w:hAnsi="Arial"/>
                <w:b w:val="0"/>
                <w:i w:val="0"/>
                <w:color w:val="3C3C3C"/>
                <w:sz w:val="22"/>
              </w:rPr>
              <w:t>Use non-sensitive sample information only. This public MVP is designed for workflow feedback, not production control evidence.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F6964"/>
        <w:sz w:val="16"/>
      </w:rPr>
      <w:t>Mars Food &amp; Nutrition | Phase 1 MVP review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F6964"/>
        <w:sz w:val="16"/>
      </w:rPr>
      <w:t>ICEbreaker | Stakeholder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3C3C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973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C3C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mars-fn-innovation-prototypes.github.io/ICEbrea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ICEbreaker Stakeholder Review Guide</dc:title>
  <dc:subject>High-level steps for reviewing the Phase 1 MVP</dc:subject>
  <dc:creator>Mars Food &amp; Nutrition</dc:creator>
  <cp:keywords>ICEbreaker, internal controls, stakeholder review,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