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25880" cy="566534"/>
                  <wp:docPr id="1" name="Picture 1" descr="Mars Food and Nutrition logo" title="Mars Food and Nutri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locku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566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62BB46"/>
                <w:sz w:val="18"/>
              </w:rPr>
              <w:t>STAKEHOLDER REVIEW GUIDE</w:t>
              <w:br/>
            </w:r>
            <w:r>
              <w:rPr>
                <w:rFonts w:ascii="Arial" w:hAnsi="Arial"/>
                <w:b/>
                <w:i w:val="0"/>
                <w:color w:val="0000A0"/>
                <w:sz w:val="56"/>
              </w:rPr>
              <w:t>ICEbreaker</w:t>
            </w:r>
          </w:p>
        </w:tc>
      </w:tr>
    </w:tbl>
    <w:p>
      <w:pPr>
        <w:spacing w:before="320" w:after="80"/>
        <w:jc w:val="left"/>
      </w:pPr>
      <w:r>
        <w:rPr>
          <w:rFonts w:ascii="Arial" w:hAnsi="Arial"/>
          <w:b/>
          <w:i w:val="0"/>
          <w:color w:val="3C3C3C"/>
          <w:sz w:val="36"/>
        </w:rPr>
        <w:t>Digitalized Controls Hub</w:t>
      </w:r>
    </w:p>
    <w:p>
      <w:pPr>
        <w:spacing w:after="320"/>
      </w:pPr>
      <w:r>
        <w:rPr>
          <w:rFonts w:ascii="Arial" w:hAnsi="Arial"/>
          <w:b/>
          <w:i w:val="0"/>
          <w:color w:val="19738D"/>
          <w:sz w:val="21"/>
        </w:rPr>
        <w:t>Reviewer-first Phase 1 MVP | Europe inventory pilot | Food &amp; Nutrition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62BB46"/>
          <w:left w:val="single" w:sz="8" w:color="62BB46"/>
          <w:bottom w:val="single" w:sz="8" w:color="62BB46"/>
          <w:right w:val="single" w:sz="8" w:color="62BB46"/>
          <w:insideH w:val="single" w:sz="8" w:color="62BB46"/>
          <w:insideV w:val="single" w:sz="8" w:color="62BB4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7EA"/>
          </w:tcPr>
          <w:p>
            <w:r>
              <w:rPr>
                <w:rFonts w:ascii="Arial" w:hAnsi="Arial"/>
                <w:b/>
                <w:i w:val="0"/>
                <w:color w:val="2F6F21"/>
                <w:sz w:val="22"/>
              </w:rPr>
              <w:t xml:space="preserve">Review objective. </w:t>
            </w:r>
            <w:r>
              <w:rPr>
                <w:rFonts w:ascii="Arial" w:hAnsi="Arial"/>
                <w:b w:val="0"/>
                <w:i w:val="0"/>
                <w:color w:val="2F6F21"/>
                <w:sz w:val="22"/>
              </w:rPr>
              <w:t>Validate whether ICEbreaker makes ownership, recurring attestation, procedure guidance, execution exceptions and Controller reporting clear enough for a practical pilot.</w:t>
            </w:r>
          </w:p>
        </w:tc>
      </w:tr>
    </w:tbl>
    <w:p>
      <w:pPr>
        <w:spacing w:before="280" w:after="60"/>
      </w:pPr>
      <w:r>
        <w:rPr>
          <w:rFonts w:ascii="Arial" w:hAnsi="Arial"/>
          <w:b/>
          <w:i w:val="0"/>
          <w:color w:val="3C3C3C"/>
          <w:sz w:val="22"/>
        </w:rPr>
        <w:t xml:space="preserve">Open the MVP: </w:t>
      </w:r>
      <w:hyperlink r:id="rId12">
        <w:r>
          <w:rPr>
            <w:color w:val="0000A0"/>
            <w:u w:val="single"/>
          </w:rPr>
          <w:t>Open ICEbreaker MVP</w:t>
        </w:r>
      </w:hyperlink>
    </w:p>
    <w:p>
      <w:pPr>
        <w:pStyle w:val="Heading1"/>
        <w:keepNext/>
      </w:pPr>
      <w:r>
        <w:t>Recommended review flow</w:t>
      </w:r>
    </w:p>
    <w:p>
      <w:r>
        <w:rPr>
          <w:rFonts w:ascii="Arial" w:hAnsi="Arial"/>
          <w:b w:val="0"/>
          <w:i w:val="0"/>
          <w:color w:val="3C3C3C"/>
          <w:sz w:val="22"/>
        </w:rPr>
        <w:t>Allow approximately 15-20 minutes. The Demo Account lets reviewers switch between the Controller Admin and Control Owner experiences from the profile card in the lower-left corner.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Orient yourself. </w:t>
      </w:r>
      <w:r>
        <w:rPr>
          <w:rFonts w:ascii="Arial" w:hAnsi="Arial"/>
          <w:b w:val="0"/>
          <w:i w:val="0"/>
          <w:color w:val="3C3C3C"/>
          <w:sz w:val="22"/>
        </w:rPr>
        <w:t>Start on Control tower. Switch among the control-pillar tabs, scan the detailed workflow stages and exceptions, and note the active certification period.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Review a control as Controller Admin. </w:t>
      </w:r>
      <w:r>
        <w:rPr>
          <w:rFonts w:ascii="Arial" w:hAnsi="Arial"/>
          <w:b w:val="0"/>
          <w:i w:val="0"/>
          <w:color w:val="3C3C3C"/>
          <w:sz w:val="22"/>
        </w:rPr>
        <w:t>Open INV.MF.01 or another inventory control. Confirm the owner, site, due date, attestation frequency, explicit evidence requirement and lifecycle are understandable. Evidence should remain Not scoped until a Controller or upload sets it.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Test DTP guidance. </w:t>
      </w:r>
      <w:r>
        <w:rPr>
          <w:rFonts w:ascii="Arial" w:hAnsi="Arial"/>
          <w:b w:val="0"/>
          <w:i w:val="0"/>
          <w:color w:val="3C3C3C"/>
          <w:sz w:val="22"/>
        </w:rPr>
        <w:t>In Desktop procedure, add numbered working steps, enter version, procedure owner and review dates, then attach a sample file or paste a SharePoint-style reference. Save a draft and confirm the procedure current.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Test exception visibility. </w:t>
      </w:r>
      <w:r>
        <w:rPr>
          <w:rFonts w:ascii="Arial" w:hAnsi="Arial"/>
          <w:b w:val="0"/>
          <w:i w:val="0"/>
          <w:color w:val="3C3C3C"/>
          <w:sz w:val="22"/>
        </w:rPr>
        <w:t>Use Ask for guidance to submit a question. Record a performed-with-deviations outcome as the owner, save the draft, then confirm the deviation appears directly in the Controller drawer and reports. Gap remediation remains a lightweight test feature only.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Review Controller reporting. </w:t>
      </w:r>
      <w:r>
        <w:rPr>
          <w:rFonts w:ascii="Arial" w:hAnsi="Arial"/>
          <w:b w:val="0"/>
          <w:i w:val="0"/>
          <w:color w:val="3C3C3C"/>
          <w:sz w:val="22"/>
        </w:rPr>
        <w:t>Open Reports, switch among Leadership, Site owners and Controllers, apply and clear filters, save a view, and download the detailed control list. Check that owner drafts, evidence scope and reassignment requests are visible.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Review the Control Owner experience. </w:t>
      </w:r>
      <w:r>
        <w:rPr>
          <w:rFonts w:ascii="Arial" w:hAnsi="Arial"/>
          <w:b w:val="0"/>
          <w:i w:val="0"/>
          <w:color w:val="3C3C3C"/>
          <w:sz w:val="22"/>
        </w:rPr>
        <w:t>Assign an active control to Demo Account, switch roles from the lower-left profile card and open My controls. Save ownership acceptance separately, request reassignment on one test control, save partial execution work as a draft, open and confirm the current DTP, add a file or evidence link, then certify an eligible control.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Check permissions and retained history. </w:t>
      </w:r>
      <w:r>
        <w:rPr>
          <w:rFonts w:ascii="Arial" w:hAnsi="Arial"/>
          <w:b w:val="0"/>
          <w:i w:val="0"/>
          <w:color w:val="3C3C3C"/>
          <w:sz w:val="22"/>
        </w:rPr>
        <w:t>From Controls library, open an unassigned control and confirm it is read-only for execution and evidence while its DTP remains readable. As Controller Admin, mark a test control Not applicable or Archived and confirm history is retained outside active queues.</w:t>
      </w:r>
    </w:p>
    <w:p>
      <w:pPr>
        <w:pStyle w:val="ListNumber"/>
        <w:spacing w:after="140" w:line="300" w:lineRule="auto"/>
        <w:ind w:left="720" w:hanging="360"/>
      </w:pPr>
      <w:r>
        <w:rPr>
          <w:rFonts w:ascii="Arial" w:hAnsi="Arial"/>
          <w:b/>
          <w:i w:val="0"/>
          <w:color w:val="0000A0"/>
          <w:sz w:val="22"/>
        </w:rPr>
        <w:t xml:space="preserve">Capture feedback. </w:t>
      </w:r>
      <w:r>
        <w:rPr>
          <w:rFonts w:ascii="Arial" w:hAnsi="Arial"/>
          <w:b w:val="0"/>
          <w:i w:val="0"/>
          <w:color w:val="3C3C3C"/>
          <w:sz w:val="22"/>
        </w:rPr>
        <w:t>Use the prompts on the next page to record what is clear, confusing, missing or unnecessarily complex.</w:t>
      </w:r>
    </w:p>
    <w:p>
      <w:pPr>
        <w:pStyle w:val="Heading1"/>
        <w:keepNext/>
      </w:pPr>
      <w:r>
        <w:t>What to evaluate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Clarity: Can a first-time user understand what they own and what they need to do?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Cadence: Is the distinction between control frequency, attestation frequency and the active review period clear?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Procedure quality: Is the combination of execution instructions, DTP steps and attachments sufficient?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Evidence: Is it obvious that the requirement must be explicitly scoped, who can see evidence and whether a file or governed link is acceptable?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Workflow: Are acknowledgement, draft saving, execution and final certification clearly separate actions?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Escalation: Are guidance, reassignment and execution-deviation routes distinct, and is the expected follow-up clear?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Reporting: Do pillar views, detailed stages, exceptions, saved filters and downloads answer Controller, leadership and site-owner questions?</w:t>
      </w:r>
    </w:p>
    <w:p>
      <w:pPr>
        <w:pStyle w:val="ListBullet"/>
        <w:spacing w:after="80" w:line="300" w:lineRule="auto"/>
        <w:ind w:left="720" w:hanging="360"/>
      </w:pPr>
      <w:r>
        <w:rPr>
          <w:rFonts w:ascii="Arial" w:hAnsi="Arial"/>
          <w:b w:val="0"/>
          <w:i w:val="0"/>
          <w:color w:val="3C3C3C"/>
          <w:sz w:val="22"/>
        </w:rPr>
        <w:t>Adoption: What would prevent users from completing this workflow during a live close cycle?</w:t>
      </w:r>
    </w:p>
    <w:p>
      <w:pPr>
        <w:pStyle w:val="Heading2"/>
        <w:keepNext/>
      </w:pPr>
      <w:r>
        <w:t>Suggested feedback prompts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2E4E6"/>
          <w:left w:val="single" w:sz="6" w:color="E2E4E6"/>
          <w:bottom w:val="single" w:sz="6" w:color="E2E4E6"/>
          <w:right w:val="single" w:sz="6" w:color="E2E4E6"/>
          <w:insideH w:val="single" w:sz="6" w:color="E2E4E6"/>
          <w:insideV w:val="single" w:sz="6" w:color="E2E4E6"/>
        </w:tblBorders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00A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7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0000A0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Questions to ask</w:t>
            </w:r>
          </w:p>
        </w:tc>
      </w:tr>
      <w:tr>
        <w:tc>
          <w:tcPr>
            <w:tcW w:type="dxa" w:w="2350"/>
            <w:shd w:fill="F4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Control setup</w:t>
            </w:r>
          </w:p>
        </w:tc>
        <w:tc>
          <w:tcPr>
            <w:tcW w:type="dxa" w:w="7010"/>
            <w:shd w:fill="FCFA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Are lifecycle, attestation cadence and evidence scope clear? Which other metadata is essential?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Control Owner flow</w:t>
            </w:r>
          </w:p>
        </w:tc>
        <w:tc>
          <w:tcPr>
            <w:tcW w:type="dxa" w:w="70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Are acknowledgement, partial draft and certification distinct enough? Are the readiness blockers useful?</w:t>
            </w:r>
          </w:p>
        </w:tc>
      </w:tr>
      <w:tr>
        <w:tc>
          <w:tcPr>
            <w:tcW w:type="dxa" w:w="2350"/>
            <w:shd w:fill="F4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DTP &amp; evidence</w:t>
            </w:r>
          </w:p>
        </w:tc>
        <w:tc>
          <w:tcPr>
            <w:tcW w:type="dxa" w:w="7010"/>
            <w:shd w:fill="FCFA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Who should maintain procedures? When should review be reconfirmed? Are file and SharePoint-link options sufficient?</w:t>
            </w:r>
          </w:p>
        </w:tc>
      </w:tr>
      <w:tr>
        <w:tc>
          <w:tcPr>
            <w:tcW w:type="dxa" w:w="235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Requests &amp; exceptions</w:t>
            </w:r>
          </w:p>
        </w:tc>
        <w:tc>
          <w:tcPr>
            <w:tcW w:type="dxa" w:w="701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Are guidance, reassignment and deviation routes clear? Who should receive and resolve each item?</w:t>
            </w:r>
          </w:p>
        </w:tc>
      </w:tr>
      <w:tr>
        <w:tc>
          <w:tcPr>
            <w:tcW w:type="dxa" w:w="2350"/>
            <w:shd w:fill="F4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0000A0"/>
                <w:sz w:val="19"/>
              </w:rPr>
              <w:t>Reporting</w:t>
            </w:r>
          </w:p>
        </w:tc>
        <w:tc>
          <w:tcPr>
            <w:tcW w:type="dxa" w:w="7010"/>
            <w:shd w:fill="FCFA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9"/>
              </w:rPr>
              <w:t>Which pillar, stage, exception, site and owner views would you use most often?</w:t>
            </w:r>
          </w:p>
        </w:tc>
      </w:tr>
    </w:tbl>
    <w:p>
      <w:pPr>
        <w:pStyle w:val="Heading1"/>
        <w:keepNext/>
      </w:pPr>
      <w:r>
        <w:t>Prototype boundaries</w:t>
      </w:r>
    </w:p>
    <w:p>
      <w:r>
        <w:rPr>
          <w:rFonts w:ascii="Arial" w:hAnsi="Arial"/>
          <w:b w:val="0"/>
          <w:i w:val="0"/>
          <w:color w:val="3C3C3C"/>
          <w:sz w:val="22"/>
        </w:rPr>
        <w:t>The review should focus on workflow, language and usability. The following implementation boundaries are intentional for the public MVP: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E2E4E6"/>
          <w:left w:val="single" w:sz="6" w:color="E2E4E6"/>
          <w:bottom w:val="single" w:sz="6" w:color="E2E4E6"/>
          <w:right w:val="single" w:sz="6" w:color="E2E4E6"/>
          <w:insideH w:val="single" w:sz="6" w:color="E2E4E6"/>
          <w:insideV w:val="single" w:sz="6" w:color="E2E4E6"/>
        </w:tblBorders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9738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Capability</w:t>
            </w:r>
          </w:p>
        </w:tc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9738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MVP review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9738D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Enterprise target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Identity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Demo Account and role switch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Microsoft Entra ID / SSO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Notifications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On-screen reminder and email previews only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Governed Microsoft 365 delivery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Files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Filename and reference-link prototype behavior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Governed storage, SharePoint and retention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Data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Saved in the reviewer’s browser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GCP services with server authorization</w:t>
            </w:r>
          </w:p>
        </w:tc>
      </w:tr>
      <w:tr>
        <w:tc>
          <w:tcPr>
            <w:tcW w:type="dxa" w:w="18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9738D"/>
                <w:sz w:val="19"/>
              </w:rPr>
              <w:t>Scope</w:t>
            </w:r>
          </w:p>
        </w:tc>
        <w:tc>
          <w:tcPr>
            <w:tcW w:type="dxa" w:w="330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Europe inventory pilot content</w:t>
            </w:r>
          </w:p>
        </w:tc>
        <w:tc>
          <w:tcPr>
            <w:tcW w:type="dxa" w:w="4260"/>
            <w:shd w:fill="F8FBFC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3C3C3C"/>
                <w:sz w:val="18"/>
              </w:rPr>
              <w:t>Additional regions and control families</w:t>
            </w:r>
          </w:p>
        </w:tc>
      </w:tr>
    </w:tbl>
    <w:p>
      <w:pPr>
        <w:pStyle w:val="Heading1"/>
        <w:keepNext/>
      </w:pPr>
      <w:r>
        <w:t>How to send feedback</w:t>
      </w:r>
    </w:p>
    <w:p>
      <w:r>
        <w:rPr>
          <w:rFonts w:ascii="Arial" w:hAnsi="Arial"/>
          <w:b w:val="0"/>
          <w:i w:val="0"/>
          <w:color w:val="3C3C3C"/>
          <w:sz w:val="22"/>
        </w:rPr>
        <w:t>Please send concise notes grouped under: Keep, Change, Missing and Question. Screenshots are helpful when a label, layout or interaction is unclear.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EB6916"/>
          <w:left w:val="single" w:sz="8" w:color="EB6916"/>
          <w:bottom w:val="single" w:sz="8" w:color="EB6916"/>
          <w:right w:val="single" w:sz="8" w:color="EB6916"/>
          <w:insideH w:val="single" w:sz="8" w:color="EB6916"/>
          <w:insideV w:val="single" w:sz="8" w:color="EB691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3E8"/>
          </w:tcPr>
          <w:p>
            <w:r>
              <w:rPr>
                <w:rFonts w:ascii="Arial" w:hAnsi="Arial"/>
                <w:b/>
                <w:i w:val="0"/>
                <w:color w:val="EB6916"/>
                <w:sz w:val="22"/>
              </w:rPr>
              <w:t xml:space="preserve">Important: </w:t>
            </w:r>
            <w:r>
              <w:rPr>
                <w:rFonts w:ascii="Arial" w:hAnsi="Arial"/>
                <w:b w:val="0"/>
                <w:i w:val="0"/>
                <w:color w:val="3C3C3C"/>
                <w:sz w:val="22"/>
              </w:rPr>
              <w:t>Use non-sensitive sample information only. This public MVP is designed for workflow feedback, not production control evidence.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F6964"/>
        <w:sz w:val="16"/>
      </w:rPr>
      <w:t>Mars Food &amp; Nutrition | Phase 1 MVP review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F6964"/>
        <w:sz w:val="16"/>
      </w:rPr>
      <w:t>ICEbreaker | Stakeholder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color w:val="3C3C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9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C3C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ars-fn-innovation-prototypes.github.io/ICEbre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ICEbreaker Stakeholder Review Guide</dc:title>
  <dc:subject>High-level steps for reviewing the Phase 1 MVP</dc:subject>
  <dc:creator>Mars Food &amp; Nutrition</dc:creator>
  <cp:keywords>ICEbreaker, internal controls, stakeholder review,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