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377440" cy="1015854"/>
            <wp:docPr id="1" name="Picture 1" descr="Mars Food &amp; Nutrition logo"/>
            <wp:cNvGraphicFramePr>
              <a:graphicFrameLocks noChangeAspect="1"/>
            </wp:cNvGraphicFramePr>
            <a:graphic>
              <a:graphicData uri="http://schemas.openxmlformats.org/drawingml/2006/picture">
                <pic:pic>
                  <pic:nvPicPr>
                    <pic:cNvPr id="0" name="logo-lockup.png"/>
                    <pic:cNvPicPr/>
                  </pic:nvPicPr>
                  <pic:blipFill>
                    <a:blip r:embed="rId11"/>
                    <a:stretch>
                      <a:fillRect/>
                    </a:stretch>
                  </pic:blipFill>
                  <pic:spPr>
                    <a:xfrm>
                      <a:off x="0" y="0"/>
                      <a:ext cx="2377440" cy="1015854"/>
                    </a:xfrm>
                    <a:prstGeom prst="rect"/>
                  </pic:spPr>
                </pic:pic>
              </a:graphicData>
            </a:graphic>
          </wp:inline>
        </w:drawing>
      </w:r>
    </w:p>
    <w:p>
      <w:pPr>
        <w:spacing w:before="1280" w:after="100"/>
      </w:pPr>
      <w:r>
        <w:rPr>
          <w:rFonts w:ascii="Arial" w:hAnsi="Arial"/>
          <w:b/>
          <w:i w:val="0"/>
          <w:color w:val="EB6916"/>
          <w:sz w:val="18"/>
        </w:rPr>
        <w:t>CONTROLS OPERATING GUIDE</w:t>
      </w:r>
    </w:p>
    <w:p>
      <w:pPr>
        <w:spacing w:after="180"/>
      </w:pPr>
      <w:r>
        <w:rPr>
          <w:rFonts w:ascii="Arial" w:hAnsi="Arial"/>
          <w:b/>
          <w:i w:val="0"/>
          <w:color w:val="0000A0"/>
          <w:sz w:val="62"/>
        </w:rPr>
        <w:t>ICEbreaker 101</w:t>
      </w:r>
    </w:p>
    <w:p>
      <w:pPr>
        <w:spacing w:after="440"/>
      </w:pPr>
      <w:r>
        <w:rPr>
          <w:rFonts w:ascii="Arial" w:hAnsi="Arial"/>
          <w:b w:val="0"/>
          <w:i w:val="0"/>
          <w:color w:val="19738D"/>
          <w:sz w:val="30"/>
        </w:rPr>
        <w:t>How the Digitalized Controls Hub works, who does what, and how it scales</w:t>
      </w:r>
    </w:p>
    <w:tbl>
      <w:tblPr>
        <w:tblW w:type="dxa" w:w="9360"/>
        <w:jc w:val="left"/>
        <w:tblLayout w:type="fixed"/>
        <w:tblLook w:firstColumn="1" w:firstRow="1" w:lastColumn="0" w:lastRow="0" w:noHBand="0" w:noVBand="1" w:val="04A0"/>
        <w:tblInd w:w="120" w:type="dxa"/>
      </w:tblPr>
      <w:tblGrid>
        <w:gridCol w:w="9360"/>
      </w:tblGrid>
      <w:tr>
        <w:trPr>
          <w:tblHeader/>
        </w:trPr>
        <w:tc>
          <w:tcPr>
            <w:tcW w:type="dxa" w:w="9360"/>
            <w:tcMar>
              <w:top w:w="80" w:type="dxa"/>
              <w:start w:w="120" w:type="dxa"/>
              <w:bottom w:w="80" w:type="dxa"/>
              <w:end w:w="120" w:type="dxa"/>
            </w:tcMar>
            <w:vAlign w:val="center"/>
            <w:shd w:fill="FFF3E8"/>
          </w:tcPr>
          <w:p>
            <w:pPr>
              <w:spacing w:after="60"/>
            </w:pPr>
            <w:r>
              <w:rPr>
                <w:rFonts w:ascii="Arial" w:hAnsi="Arial"/>
                <w:b/>
                <w:i w:val="0"/>
                <w:color w:val="EB6916"/>
                <w:sz w:val="16"/>
              </w:rPr>
              <w:t>PURPOSE</w:t>
            </w:r>
          </w:p>
          <w:p>
            <w:pPr>
              <w:spacing w:after="80"/>
            </w:pPr>
            <w:r>
              <w:rPr>
                <w:rFonts w:ascii="Arial" w:hAnsi="Arial"/>
                <w:b/>
                <w:i w:val="0"/>
                <w:color w:val="0000A0"/>
                <w:sz w:val="26"/>
              </w:rPr>
              <w:t>Clear ownership. Earlier risk visibility. Audit-ready evidence.</w:t>
            </w:r>
          </w:p>
          <w:p>
            <w:pPr>
              <w:spacing w:after="0"/>
            </w:pPr>
            <w:r>
              <w:rPr>
                <w:rFonts w:ascii="Arial" w:hAnsi="Arial"/>
                <w:b w:val="0"/>
                <w:i w:val="0"/>
                <w:color w:val="3C3C3C"/>
                <w:sz w:val="20"/>
              </w:rPr>
              <w:t>ICEbreaker connects control configuration, execution, certification and reporting in one workflow while preserving distinct experiences for Controller Admins and Control Owners.</w:t>
            </w:r>
          </w:p>
        </w:tc>
      </w:tr>
    </w:tbl>
    <w:p>
      <w:pPr>
        <w:spacing w:after="0"/>
      </w:pPr>
    </w:p>
    <w:p>
      <w:pPr>
        <w:spacing w:before="1160"/>
      </w:pPr>
      <w:r>
        <w:rPr>
          <w:rFonts w:ascii="Arial" w:hAnsi="Arial"/>
          <w:b/>
          <w:i w:val="0"/>
          <w:color w:val="0000A0"/>
          <w:sz w:val="18"/>
        </w:rPr>
        <w:t>Current MVP configuration</w:t>
      </w:r>
    </w:p>
    <w:p>
      <w:r>
        <w:rPr>
          <w:rFonts w:ascii="Arial" w:hAnsi="Arial"/>
          <w:b w:val="0"/>
          <w:i w:val="0"/>
          <w:color w:val="3C3C3C"/>
          <w:sz w:val="22"/>
        </w:rPr>
        <w:t>Food &amp; Nutrition • Europe user testing • Inventory controls • Built to expand across regions and processes</w:t>
      </w:r>
    </w:p>
    <w:p>
      <w:r>
        <w:rPr>
          <w:rFonts w:ascii="Arial" w:hAnsi="Arial"/>
          <w:b w:val="0"/>
          <w:i w:val="0"/>
          <w:color w:val="3C3C3C"/>
          <w:sz w:val="22"/>
        </w:rPr>
        <w:t>Version 1.0 • July 2026</w:t>
      </w:r>
    </w:p>
    <w:p>
      <w:r>
        <w:br w:type="page"/>
      </w:r>
    </w:p>
    <w:p>
      <w:pPr>
        <w:pStyle w:val="Heading1"/>
        <w:keepNext/>
      </w:pPr>
      <w:r>
        <w:t>1. The operating model</w:t>
      </w:r>
    </w:p>
    <w:p>
      <w:r>
        <w:rPr>
          <w:rFonts w:ascii="Arial" w:hAnsi="Arial"/>
          <w:b w:val="0"/>
          <w:i w:val="0"/>
          <w:color w:val="3C3C3C"/>
          <w:sz w:val="22"/>
        </w:rPr>
        <w:t>ICEbreaker is a role-based controls hub. It deliberately separates process administration from control execution so each user sees the work they are accountable for.</w:t>
      </w:r>
    </w:p>
    <w:tbl>
      <w:tblPr>
        <w:tblW w:type="dxa" w:w="9360"/>
        <w:jc w:val="left"/>
        <w:tblLayout w:type="fixed"/>
        <w:tblLook w:firstColumn="1" w:firstRow="1" w:lastColumn="0" w:lastRow="0" w:noHBand="0" w:noVBand="1" w:val="04A0"/>
        <w:tblInd w:w="120" w:type="dxa"/>
      </w:tblPr>
      <w:tblGrid>
        <w:gridCol w:w="1800"/>
        <w:gridCol w:w="3780"/>
        <w:gridCol w:w="3780"/>
      </w:tblGrid>
      <w:tr>
        <w:trPr>
          <w:tblHeader/>
        </w:trPr>
        <w:tc>
          <w:tcPr>
            <w:tcW w:type="dxa" w:w="1800"/>
            <w:tcMar>
              <w:top w:w="80" w:type="dxa"/>
              <w:start w:w="120" w:type="dxa"/>
              <w:bottom w:w="80" w:type="dxa"/>
              <w:end w:w="120" w:type="dxa"/>
            </w:tcMar>
            <w:vAlign w:val="center"/>
            <w:shd w:fill="0000A0"/>
          </w:tcPr>
          <w:p>
            <w:r>
              <w:rPr>
                <w:rFonts w:ascii="Arial" w:hAnsi="Arial"/>
                <w:b/>
                <w:i w:val="0"/>
                <w:color w:val="FFFFFF"/>
                <w:sz w:val="18"/>
              </w:rPr>
              <w:t>Role</w:t>
            </w:r>
          </w:p>
        </w:tc>
        <w:tc>
          <w:tcPr>
            <w:tcW w:type="dxa" w:w="3780"/>
            <w:tcMar>
              <w:top w:w="80" w:type="dxa"/>
              <w:start w:w="120" w:type="dxa"/>
              <w:bottom w:w="80" w:type="dxa"/>
              <w:end w:w="120" w:type="dxa"/>
            </w:tcMar>
            <w:vAlign w:val="center"/>
            <w:shd w:fill="0000A0"/>
          </w:tcPr>
          <w:p>
            <w:r>
              <w:rPr>
                <w:rFonts w:ascii="Arial" w:hAnsi="Arial"/>
                <w:b/>
                <w:i w:val="0"/>
                <w:color w:val="FFFFFF"/>
                <w:sz w:val="18"/>
              </w:rPr>
              <w:t>Primary job</w:t>
            </w:r>
          </w:p>
        </w:tc>
        <w:tc>
          <w:tcPr>
            <w:tcW w:type="dxa" w:w="3780"/>
            <w:tcMar>
              <w:top w:w="80" w:type="dxa"/>
              <w:start w:w="120" w:type="dxa"/>
              <w:bottom w:w="80" w:type="dxa"/>
              <w:end w:w="120" w:type="dxa"/>
            </w:tcMar>
            <w:vAlign w:val="center"/>
            <w:shd w:fill="0000A0"/>
          </w:tcPr>
          <w:p>
            <w:r>
              <w:rPr>
                <w:rFonts w:ascii="Arial" w:hAnsi="Arial"/>
                <w:b/>
                <w:i w:val="0"/>
                <w:color w:val="FFFFFF"/>
                <w:sz w:val="18"/>
              </w:rPr>
              <w:t>What the role sees</w:t>
            </w:r>
          </w:p>
        </w:tc>
      </w:tr>
      <w:tr>
        <w:tc>
          <w:tcPr>
            <w:tcW w:type="dxa" w:w="1800"/>
            <w:shd w:fill="F7F4F1"/>
          </w:tcPr>
          <w:p>
            <w:r>
              <w:rPr>
                <w:rFonts w:ascii="Arial" w:hAnsi="Arial"/>
                <w:b/>
                <w:i w:val="0"/>
                <w:color w:val="0000A0"/>
                <w:sz w:val="18"/>
              </w:rPr>
              <w:t>Controller Admin</w:t>
            </w:r>
          </w:p>
        </w:tc>
        <w:tc>
          <w:tcPr>
            <w:tcW w:type="dxa" w:w="3780"/>
            <w:shd w:fill="F7F4F1"/>
          </w:tcPr>
          <w:p>
            <w:r>
              <w:rPr>
                <w:rFonts w:ascii="Arial" w:hAnsi="Arial"/>
                <w:b w:val="0"/>
                <w:i w:val="0"/>
                <w:color w:val="3C3C3C"/>
                <w:sz w:val="18"/>
              </w:rPr>
              <w:t>Configure scope, requirements and ownership; monitor execution; run reports and reminders.</w:t>
            </w:r>
          </w:p>
        </w:tc>
        <w:tc>
          <w:tcPr>
            <w:tcW w:type="dxa" w:w="3780"/>
            <w:shd w:fill="F7F4F1"/>
          </w:tcPr>
          <w:p>
            <w:r>
              <w:rPr>
                <w:rFonts w:ascii="Arial" w:hAnsi="Arial"/>
                <w:b w:val="0"/>
                <w:i w:val="0"/>
                <w:color w:val="3C3C3C"/>
                <w:sz w:val="18"/>
              </w:rPr>
              <w:t>Control tower, Controls library, Reports, Admin setup</w:t>
            </w:r>
          </w:p>
        </w:tc>
      </w:tr>
      <w:tr>
        <w:tc>
          <w:tcPr>
            <w:tcW w:type="dxa" w:w="1800"/>
            <w:shd w:fill="FFFFFF"/>
          </w:tcPr>
          <w:p>
            <w:r>
              <w:rPr>
                <w:rFonts w:ascii="Arial" w:hAnsi="Arial"/>
                <w:b/>
                <w:i w:val="0"/>
                <w:color w:val="0000A0"/>
                <w:sz w:val="18"/>
              </w:rPr>
              <w:t>Control Owner</w:t>
            </w:r>
          </w:p>
        </w:tc>
        <w:tc>
          <w:tcPr>
            <w:tcW w:type="dxa" w:w="3780"/>
            <w:shd w:fill="FFFFFF"/>
          </w:tcPr>
          <w:p>
            <w:r>
              <w:rPr>
                <w:rFonts w:ascii="Arial" w:hAnsi="Arial"/>
                <w:b w:val="0"/>
                <w:i w:val="0"/>
                <w:color w:val="3C3C3C"/>
                <w:sz w:val="18"/>
              </w:rPr>
              <w:t>Confirm and accept ownership; understand the requirement; perform the control; attach evidence; certify.</w:t>
            </w:r>
          </w:p>
        </w:tc>
        <w:tc>
          <w:tcPr>
            <w:tcW w:type="dxa" w:w="3780"/>
            <w:shd w:fill="FFFFFF"/>
          </w:tcPr>
          <w:p>
            <w:r>
              <w:rPr>
                <w:rFonts w:ascii="Arial" w:hAnsi="Arial"/>
                <w:b w:val="0"/>
                <w:i w:val="0"/>
                <w:color w:val="3C3C3C"/>
                <w:sz w:val="18"/>
              </w:rPr>
              <w:t>My controls, Controls library, assigned-control detail</w:t>
            </w:r>
          </w:p>
        </w:tc>
      </w:tr>
    </w:tbl>
    <w:p>
      <w:pPr>
        <w:pStyle w:val="Heading2"/>
        <w:keepNext/>
      </w:pPr>
      <w:r>
        <w:t>The control lifecycle</w:t>
      </w:r>
    </w:p>
    <w:tbl>
      <w:tblPr>
        <w:tblW w:type="dxa" w:w="9360"/>
        <w:jc w:val="left"/>
        <w:tblLayout w:type="fixed"/>
        <w:tblLook w:firstColumn="1" w:firstRow="1" w:lastColumn="0" w:lastRow="0" w:noHBand="0" w:noVBand="1" w:val="04A0"/>
        <w:tblInd w:w="120" w:type="dxa"/>
      </w:tblPr>
      <w:tblGrid>
        <w:gridCol w:w="1872"/>
        <w:gridCol w:w="1872"/>
        <w:gridCol w:w="1872"/>
        <w:gridCol w:w="1872"/>
        <w:gridCol w:w="1872"/>
      </w:tblGrid>
      <w:tr>
        <w:trPr>
          <w:tblHeader/>
        </w:trPr>
        <w:tc>
          <w:tcPr>
            <w:tcW w:type="dxa" w:w="1872"/>
            <w:tcMar>
              <w:top w:w="80" w:type="dxa"/>
              <w:start w:w="120" w:type="dxa"/>
              <w:bottom w:w="80" w:type="dxa"/>
              <w:end w:w="120" w:type="dxa"/>
            </w:tcMar>
            <w:vAlign w:val="center"/>
            <w:shd w:fill="EAF4E6"/>
          </w:tcPr>
          <w:p>
            <w:pPr>
              <w:jc w:val="center"/>
            </w:pPr>
            <w:r>
              <w:rPr>
                <w:rFonts w:ascii="Arial" w:hAnsi="Arial"/>
                <w:b/>
                <w:i w:val="0"/>
                <w:color w:val="62BB46"/>
                <w:sz w:val="20"/>
              </w:rPr>
              <w:t>1</w:t>
            </w:r>
          </w:p>
          <w:p>
            <w:pPr>
              <w:jc w:val="center"/>
            </w:pPr>
            <w:r>
              <w:rPr>
                <w:rFonts w:ascii="Arial" w:hAnsi="Arial"/>
                <w:b/>
                <w:i w:val="0"/>
                <w:color w:val="0000A0"/>
                <w:sz w:val="20"/>
              </w:rPr>
              <w:t>Configure</w:t>
            </w:r>
          </w:p>
          <w:p>
            <w:pPr>
              <w:jc w:val="center"/>
            </w:pPr>
            <w:r>
              <w:rPr>
                <w:rFonts w:ascii="Arial" w:hAnsi="Arial"/>
                <w:b w:val="0"/>
                <w:i w:val="0"/>
                <w:color w:val="766F69"/>
                <w:sz w:val="16"/>
              </w:rPr>
              <w:t>Admin defines scope and rules</w:t>
            </w:r>
          </w:p>
        </w:tc>
        <w:tc>
          <w:tcPr>
            <w:tcW w:type="dxa" w:w="1872"/>
            <w:tcMar>
              <w:top w:w="80" w:type="dxa"/>
              <w:start w:w="120" w:type="dxa"/>
              <w:bottom w:w="80" w:type="dxa"/>
              <w:end w:w="120" w:type="dxa"/>
            </w:tcMar>
            <w:vAlign w:val="center"/>
            <w:shd w:fill="F4F1EE"/>
          </w:tcPr>
          <w:p>
            <w:pPr>
              <w:jc w:val="center"/>
            </w:pPr>
            <w:r>
              <w:rPr>
                <w:rFonts w:ascii="Arial" w:hAnsi="Arial"/>
                <w:b/>
                <w:i w:val="0"/>
                <w:color w:val="0000A0"/>
                <w:sz w:val="20"/>
              </w:rPr>
              <w:t>2</w:t>
            </w:r>
          </w:p>
          <w:p>
            <w:pPr>
              <w:jc w:val="center"/>
            </w:pPr>
            <w:r>
              <w:rPr>
                <w:rFonts w:ascii="Arial" w:hAnsi="Arial"/>
                <w:b/>
                <w:i w:val="0"/>
                <w:color w:val="0000A0"/>
                <w:sz w:val="20"/>
              </w:rPr>
              <w:t>Assign</w:t>
            </w:r>
          </w:p>
          <w:p>
            <w:pPr>
              <w:jc w:val="center"/>
            </w:pPr>
            <w:r>
              <w:rPr>
                <w:rFonts w:ascii="Arial" w:hAnsi="Arial"/>
                <w:b w:val="0"/>
                <w:i w:val="0"/>
                <w:color w:val="766F69"/>
                <w:sz w:val="16"/>
              </w:rPr>
              <w:t>Owner and due date are set</w:t>
            </w:r>
          </w:p>
        </w:tc>
        <w:tc>
          <w:tcPr>
            <w:tcW w:type="dxa" w:w="1872"/>
            <w:tcMar>
              <w:top w:w="80" w:type="dxa"/>
              <w:start w:w="120" w:type="dxa"/>
              <w:bottom w:w="80" w:type="dxa"/>
              <w:end w:w="120" w:type="dxa"/>
            </w:tcMar>
            <w:vAlign w:val="center"/>
            <w:shd w:fill="F4F1EE"/>
          </w:tcPr>
          <w:p>
            <w:pPr>
              <w:jc w:val="center"/>
            </w:pPr>
            <w:r>
              <w:rPr>
                <w:rFonts w:ascii="Arial" w:hAnsi="Arial"/>
                <w:b/>
                <w:i w:val="0"/>
                <w:color w:val="0000A0"/>
                <w:sz w:val="20"/>
              </w:rPr>
              <w:t>3</w:t>
            </w:r>
          </w:p>
          <w:p>
            <w:pPr>
              <w:jc w:val="center"/>
            </w:pPr>
            <w:r>
              <w:rPr>
                <w:rFonts w:ascii="Arial" w:hAnsi="Arial"/>
                <w:b/>
                <w:i w:val="0"/>
                <w:color w:val="0000A0"/>
                <w:sz w:val="20"/>
              </w:rPr>
              <w:t>Execute</w:t>
            </w:r>
          </w:p>
          <w:p>
            <w:pPr>
              <w:jc w:val="center"/>
            </w:pPr>
            <w:r>
              <w:rPr>
                <w:rFonts w:ascii="Arial" w:hAnsi="Arial"/>
                <w:b w:val="0"/>
                <w:i w:val="0"/>
                <w:color w:val="766F69"/>
                <w:sz w:val="16"/>
              </w:rPr>
              <w:t>Owner follows instructions and DTP</w:t>
            </w:r>
          </w:p>
        </w:tc>
        <w:tc>
          <w:tcPr>
            <w:tcW w:type="dxa" w:w="1872"/>
            <w:tcMar>
              <w:top w:w="80" w:type="dxa"/>
              <w:start w:w="120" w:type="dxa"/>
              <w:bottom w:w="80" w:type="dxa"/>
              <w:end w:w="120" w:type="dxa"/>
            </w:tcMar>
            <w:vAlign w:val="center"/>
            <w:shd w:fill="F4F1EE"/>
          </w:tcPr>
          <w:p>
            <w:pPr>
              <w:jc w:val="center"/>
            </w:pPr>
            <w:r>
              <w:rPr>
                <w:rFonts w:ascii="Arial" w:hAnsi="Arial"/>
                <w:b/>
                <w:i w:val="0"/>
                <w:color w:val="0000A0"/>
                <w:sz w:val="20"/>
              </w:rPr>
              <w:t>4</w:t>
            </w:r>
          </w:p>
          <w:p>
            <w:pPr>
              <w:jc w:val="center"/>
            </w:pPr>
            <w:r>
              <w:rPr>
                <w:rFonts w:ascii="Arial" w:hAnsi="Arial"/>
                <w:b/>
                <w:i w:val="0"/>
                <w:color w:val="0000A0"/>
                <w:sz w:val="20"/>
              </w:rPr>
              <w:t>Certify</w:t>
            </w:r>
          </w:p>
          <w:p>
            <w:pPr>
              <w:jc w:val="center"/>
            </w:pPr>
            <w:r>
              <w:rPr>
                <w:rFonts w:ascii="Arial" w:hAnsi="Arial"/>
                <w:b w:val="0"/>
                <w:i w:val="0"/>
                <w:color w:val="766F69"/>
                <w:sz w:val="16"/>
              </w:rPr>
              <w:t>Evidence and confirmations complete</w:t>
            </w:r>
          </w:p>
        </w:tc>
        <w:tc>
          <w:tcPr>
            <w:tcW w:type="dxa" w:w="1872"/>
            <w:tcMar>
              <w:top w:w="80" w:type="dxa"/>
              <w:start w:w="120" w:type="dxa"/>
              <w:bottom w:w="80" w:type="dxa"/>
              <w:end w:w="120" w:type="dxa"/>
            </w:tcMar>
            <w:vAlign w:val="center"/>
            <w:shd w:fill="EAF4E6"/>
          </w:tcPr>
          <w:p>
            <w:pPr>
              <w:jc w:val="center"/>
            </w:pPr>
            <w:r>
              <w:rPr>
                <w:rFonts w:ascii="Arial" w:hAnsi="Arial"/>
                <w:b/>
                <w:i w:val="0"/>
                <w:color w:val="62BB46"/>
                <w:sz w:val="20"/>
              </w:rPr>
              <w:t>5</w:t>
            </w:r>
          </w:p>
          <w:p>
            <w:pPr>
              <w:jc w:val="center"/>
            </w:pPr>
            <w:r>
              <w:rPr>
                <w:rFonts w:ascii="Arial" w:hAnsi="Arial"/>
                <w:b/>
                <w:i w:val="0"/>
                <w:color w:val="0000A0"/>
                <w:sz w:val="20"/>
              </w:rPr>
              <w:t>Monitor</w:t>
            </w:r>
          </w:p>
          <w:p>
            <w:pPr>
              <w:jc w:val="center"/>
            </w:pPr>
            <w:r>
              <w:rPr>
                <w:rFonts w:ascii="Arial" w:hAnsi="Arial"/>
                <w:b w:val="0"/>
                <w:i w:val="0"/>
                <w:color w:val="766F69"/>
                <w:sz w:val="16"/>
              </w:rPr>
              <w:t>Status feeds dashboards and reports</w:t>
            </w:r>
          </w:p>
        </w:tc>
      </w:tr>
    </w:tbl>
    <w:p>
      <w:pPr>
        <w:pStyle w:val="Heading2"/>
        <w:keepNext/>
      </w:pPr>
      <w:r>
        <w:t>What a DTP means</w:t>
      </w:r>
    </w:p>
    <w:tbl>
      <w:tblPr>
        <w:tblW w:type="dxa" w:w="9360"/>
        <w:jc w:val="left"/>
        <w:tblLayout w:type="fixed"/>
        <w:tblLook w:firstColumn="1" w:firstRow="1" w:lastColumn="0" w:lastRow="0" w:noHBand="0" w:noVBand="1" w:val="04A0"/>
        <w:tblInd w:w="120" w:type="dxa"/>
      </w:tblPr>
      <w:tblGrid>
        <w:gridCol w:w="9360"/>
      </w:tblGrid>
      <w:tr>
        <w:trPr>
          <w:tblHeader/>
        </w:trPr>
        <w:tc>
          <w:tcPr>
            <w:tcW w:type="dxa" w:w="9360"/>
            <w:tcMar>
              <w:top w:w="80" w:type="dxa"/>
              <w:start w:w="120" w:type="dxa"/>
              <w:bottom w:w="80" w:type="dxa"/>
              <w:end w:w="120" w:type="dxa"/>
            </w:tcMar>
            <w:vAlign w:val="center"/>
            <w:shd w:fill="EEF6F8"/>
          </w:tcPr>
          <w:p>
            <w:pPr>
              <w:spacing w:after="60"/>
            </w:pPr>
            <w:r>
              <w:rPr>
                <w:rFonts w:ascii="Arial" w:hAnsi="Arial"/>
                <w:b/>
                <w:i w:val="0"/>
                <w:color w:val="19738D"/>
                <w:sz w:val="16"/>
              </w:rPr>
              <w:t>DEFINITION</w:t>
            </w:r>
          </w:p>
          <w:p>
            <w:pPr>
              <w:spacing w:after="80"/>
            </w:pPr>
            <w:r>
              <w:rPr>
                <w:rFonts w:ascii="Arial" w:hAnsi="Arial"/>
                <w:b/>
                <w:i w:val="0"/>
                <w:color w:val="0000A0"/>
                <w:sz w:val="26"/>
              </w:rPr>
              <w:t>Desktop Procedure (DTP)</w:t>
            </w:r>
          </w:p>
          <w:p>
            <w:pPr>
              <w:spacing w:after="0"/>
            </w:pPr>
            <w:r>
              <w:rPr>
                <w:rFonts w:ascii="Arial" w:hAnsi="Arial"/>
                <w:b w:val="0"/>
                <w:i w:val="0"/>
                <w:color w:val="3C3C3C"/>
                <w:sz w:val="20"/>
              </w:rPr>
              <w:t>A local, step-by-step instruction showing how a control is performed in a specific team or site. The control defines what must be achieved; the DTP explains how the local owner performs it. In the MVP, Controller Admins can add or replace DTP files, and Control Owners can view their status.</w:t>
            </w:r>
          </w:p>
        </w:tc>
      </w:tr>
    </w:tbl>
    <w:p>
      <w:pPr>
        <w:spacing w:after="0"/>
      </w:pPr>
    </w:p>
    <w:p>
      <w:r>
        <w:br w:type="page"/>
      </w:r>
    </w:p>
    <w:p>
      <w:pPr>
        <w:pStyle w:val="Heading1"/>
        <w:keepNext/>
      </w:pPr>
      <w:r>
        <w:t>2. What each user does</w:t>
      </w:r>
    </w:p>
    <w:p>
      <w:pPr>
        <w:pStyle w:val="Heading2"/>
        <w:keepNext/>
      </w:pPr>
      <w:r>
        <w:t>Controller Admin journey</w:t>
      </w:r>
    </w:p>
    <w:p>
      <w:pPr>
        <w:pStyle w:val="ListBullet"/>
      </w:pPr>
      <w:r>
        <w:rPr>
          <w:rFonts w:ascii="Arial" w:hAnsi="Arial"/>
          <w:b w:val="0"/>
          <w:i w:val="0"/>
          <w:color w:val="3C3C3C"/>
          <w:sz w:val="22"/>
        </w:rPr>
        <w:t>Set organizational scope. Food &amp; Nutrition is fixed; regions and sites are configurable.</w:t>
      </w:r>
    </w:p>
    <w:p>
      <w:pPr>
        <w:pStyle w:val="ListBullet"/>
      </w:pPr>
      <w:r>
        <w:rPr>
          <w:rFonts w:ascii="Arial" w:hAnsi="Arial"/>
          <w:b w:val="0"/>
          <w:i w:val="0"/>
          <w:color w:val="3C3C3C"/>
          <w:sz w:val="22"/>
        </w:rPr>
        <w:t>Review control requirements and set evidence-required flags, instructions and DTP status.</w:t>
      </w:r>
    </w:p>
    <w:p>
      <w:pPr>
        <w:pStyle w:val="ListBullet"/>
      </w:pPr>
      <w:r>
        <w:rPr>
          <w:rFonts w:ascii="Arial" w:hAnsi="Arial"/>
          <w:b w:val="0"/>
          <w:i w:val="0"/>
          <w:color w:val="3C3C3C"/>
          <w:sz w:val="22"/>
        </w:rPr>
        <w:t>Assign a Control Owner and due date, individually or through the CSV template.</w:t>
      </w:r>
    </w:p>
    <w:p>
      <w:pPr>
        <w:pStyle w:val="ListBullet"/>
      </w:pPr>
      <w:r>
        <w:rPr>
          <w:rFonts w:ascii="Arial" w:hAnsi="Arial"/>
          <w:b w:val="0"/>
          <w:i w:val="0"/>
          <w:color w:val="3C3C3C"/>
          <w:sz w:val="22"/>
        </w:rPr>
        <w:t>Monitor unassigned, overdue and incomplete controls from the Control tower.</w:t>
      </w:r>
    </w:p>
    <w:p>
      <w:pPr>
        <w:pStyle w:val="ListBullet"/>
      </w:pPr>
      <w:r>
        <w:rPr>
          <w:rFonts w:ascii="Arial" w:hAnsi="Arial"/>
          <w:b w:val="0"/>
          <w:i w:val="0"/>
          <w:color w:val="3C3C3C"/>
          <w:sz w:val="22"/>
        </w:rPr>
        <w:t>Use audience reporting, reusable saved views, CSV downloads and simulated reminders.</w:t>
      </w:r>
    </w:p>
    <w:p>
      <w:pPr>
        <w:pStyle w:val="Heading2"/>
        <w:keepNext/>
      </w:pPr>
      <w:r>
        <w:t>Control Owner journey</w:t>
      </w:r>
    </w:p>
    <w:p>
      <w:pPr>
        <w:pStyle w:val="ListBullet"/>
      </w:pPr>
      <w:r>
        <w:rPr>
          <w:rFonts w:ascii="Arial" w:hAnsi="Arial"/>
          <w:b w:val="0"/>
          <w:i w:val="0"/>
          <w:color w:val="3C3C3C"/>
          <w:sz w:val="22"/>
        </w:rPr>
        <w:t>Open My controls. The badge appears only when the signed-in user has assignments.</w:t>
      </w:r>
    </w:p>
    <w:p>
      <w:pPr>
        <w:pStyle w:val="ListBullet"/>
      </w:pPr>
      <w:r>
        <w:rPr>
          <w:rFonts w:ascii="Arial" w:hAnsi="Arial"/>
          <w:b w:val="0"/>
          <w:i w:val="0"/>
          <w:color w:val="3C3C3C"/>
          <w:sz w:val="22"/>
        </w:rPr>
        <w:t>Confirm and accept ownership, then review the control requirement and DTP.</w:t>
      </w:r>
    </w:p>
    <w:p>
      <w:pPr>
        <w:pStyle w:val="ListBullet"/>
      </w:pPr>
      <w:r>
        <w:rPr>
          <w:rFonts w:ascii="Arial" w:hAnsi="Arial"/>
          <w:b w:val="0"/>
          <w:i w:val="0"/>
          <w:color w:val="3C3C3C"/>
          <w:sz w:val="22"/>
        </w:rPr>
        <w:t>Perform the control and attach evidence when the control is configured to require it.</w:t>
      </w:r>
    </w:p>
    <w:p>
      <w:pPr>
        <w:pStyle w:val="ListBullet"/>
      </w:pPr>
      <w:r>
        <w:rPr>
          <w:rFonts w:ascii="Arial" w:hAnsi="Arial"/>
          <w:b w:val="0"/>
          <w:i w:val="0"/>
          <w:color w:val="3C3C3C"/>
          <w:sz w:val="22"/>
        </w:rPr>
        <w:t>Confirm completion and certify. Certification is blocked until all required confirmations and evidence are complete.</w:t>
      </w:r>
    </w:p>
    <w:p>
      <w:pPr>
        <w:pStyle w:val="ListBullet"/>
      </w:pPr>
      <w:r>
        <w:rPr>
          <w:rFonts w:ascii="Arial" w:hAnsi="Arial"/>
          <w:b w:val="0"/>
          <w:i w:val="0"/>
          <w:color w:val="3C3C3C"/>
          <w:sz w:val="22"/>
        </w:rPr>
        <w:t>Ask the Controller team for guidance or initiate a controlled reassignment with handover confirmation.</w:t>
      </w:r>
    </w:p>
    <w:p>
      <w:pPr>
        <w:pStyle w:val="Heading2"/>
        <w:keepNext/>
      </w:pPr>
      <w:r>
        <w:t>Current MVP identity boundary</w:t>
      </w:r>
    </w:p>
    <w:tbl>
      <w:tblPr>
        <w:tblW w:type="dxa" w:w="9360"/>
        <w:jc w:val="left"/>
        <w:tblLayout w:type="fixed"/>
        <w:tblLook w:firstColumn="1" w:firstRow="1" w:lastColumn="0" w:lastRow="0" w:noHBand="0" w:noVBand="1" w:val="04A0"/>
        <w:tblInd w:w="120" w:type="dxa"/>
      </w:tblPr>
      <w:tblGrid>
        <w:gridCol w:w="9360"/>
      </w:tblGrid>
      <w:tr>
        <w:trPr>
          <w:tblHeader/>
        </w:trPr>
        <w:tc>
          <w:tcPr>
            <w:tcW w:type="dxa" w:w="9360"/>
            <w:tcMar>
              <w:top w:w="80" w:type="dxa"/>
              <w:start w:w="120" w:type="dxa"/>
              <w:bottom w:w="80" w:type="dxa"/>
              <w:end w:w="120" w:type="dxa"/>
            </w:tcMar>
            <w:vAlign w:val="center"/>
            <w:shd w:fill="FFF4EB"/>
          </w:tcPr>
          <w:p>
            <w:pPr>
              <w:spacing w:after="60"/>
            </w:pPr>
            <w:r>
              <w:rPr>
                <w:rFonts w:ascii="Arial" w:hAnsi="Arial"/>
                <w:b/>
                <w:i w:val="0"/>
                <w:color w:val="EB6916"/>
                <w:sz w:val="16"/>
              </w:rPr>
              <w:t>IMPORTANT</w:t>
            </w:r>
          </w:p>
          <w:p>
            <w:pPr>
              <w:spacing w:after="80"/>
            </w:pPr>
            <w:r>
              <w:rPr>
                <w:rFonts w:ascii="Arial" w:hAnsi="Arial"/>
                <w:b/>
                <w:i w:val="0"/>
                <w:color w:val="0000A0"/>
                <w:sz w:val="26"/>
              </w:rPr>
              <w:t>The public test build is a local browser session</w:t>
            </w:r>
          </w:p>
          <w:p>
            <w:pPr>
              <w:spacing w:after="0"/>
            </w:pPr>
            <w:r>
              <w:rPr>
                <w:rFonts w:ascii="Arial" w:hAnsi="Arial"/>
                <w:b w:val="0"/>
                <w:i w:val="0"/>
                <w:color w:val="3C3C3C"/>
                <w:sz w:val="20"/>
              </w:rPr>
              <w:t>It does not yet authenticate users. The Profile panel makes this explicit and lets testers preview both roles. In enterprise GCP, Microsoft Entra ID will supply identity, group membership and the real 'assigned to me' experience.</w:t>
            </w:r>
          </w:p>
        </w:tc>
      </w:tr>
    </w:tbl>
    <w:p>
      <w:pPr>
        <w:spacing w:after="0"/>
      </w:pPr>
    </w:p>
    <w:p>
      <w:r>
        <w:br w:type="page"/>
      </w:r>
    </w:p>
    <w:p>
      <w:pPr>
        <w:pStyle w:val="Heading1"/>
        <w:keepNext/>
      </w:pPr>
      <w:r>
        <w:t>3. How information is structured</w:t>
      </w:r>
    </w:p>
    <w:p>
      <w:r>
        <w:rPr>
          <w:rFonts w:ascii="Arial" w:hAnsi="Arial"/>
          <w:b w:val="0"/>
          <w:i w:val="0"/>
          <w:color w:val="3C3C3C"/>
          <w:sz w:val="22"/>
        </w:rPr>
        <w:t>A control record is more than a framework line. ICEbreaker combines stable framework metadata with configurable operating data and period-specific execution data.</w:t>
      </w:r>
    </w:p>
    <w:tbl>
      <w:tblPr>
        <w:tblW w:type="dxa" w:w="9360"/>
        <w:jc w:val="left"/>
        <w:tblLayout w:type="fixed"/>
        <w:tblLook w:firstColumn="1" w:firstRow="1" w:lastColumn="0" w:lastRow="0" w:noHBand="0" w:noVBand="1" w:val="04A0"/>
        <w:tblInd w:w="120" w:type="dxa"/>
      </w:tblPr>
      <w:tblGrid>
        <w:gridCol w:w="2200"/>
        <w:gridCol w:w="3500"/>
        <w:gridCol w:w="3660"/>
      </w:tblGrid>
      <w:tr>
        <w:trPr>
          <w:tblHeader/>
        </w:trPr>
        <w:tc>
          <w:tcPr>
            <w:tcW w:type="dxa" w:w="2200"/>
            <w:tcMar>
              <w:top w:w="80" w:type="dxa"/>
              <w:start w:w="120" w:type="dxa"/>
              <w:bottom w:w="80" w:type="dxa"/>
              <w:end w:w="120" w:type="dxa"/>
            </w:tcMar>
            <w:vAlign w:val="center"/>
            <w:shd w:fill="0000A0"/>
          </w:tcPr>
          <w:p>
            <w:r>
              <w:rPr>
                <w:rFonts w:ascii="Arial" w:hAnsi="Arial"/>
                <w:b/>
                <w:i w:val="0"/>
                <w:color w:val="FFFFFF"/>
                <w:sz w:val="18"/>
              </w:rPr>
              <w:t>Data group</w:t>
            </w:r>
          </w:p>
        </w:tc>
        <w:tc>
          <w:tcPr>
            <w:tcW w:type="dxa" w:w="3500"/>
            <w:tcMar>
              <w:top w:w="80" w:type="dxa"/>
              <w:start w:w="120" w:type="dxa"/>
              <w:bottom w:w="80" w:type="dxa"/>
              <w:end w:w="120" w:type="dxa"/>
            </w:tcMar>
            <w:vAlign w:val="center"/>
            <w:shd w:fill="0000A0"/>
          </w:tcPr>
          <w:p>
            <w:r>
              <w:rPr>
                <w:rFonts w:ascii="Arial" w:hAnsi="Arial"/>
                <w:b/>
                <w:i w:val="0"/>
                <w:color w:val="FFFFFF"/>
                <w:sz w:val="18"/>
              </w:rPr>
              <w:t>Examples</w:t>
            </w:r>
          </w:p>
        </w:tc>
        <w:tc>
          <w:tcPr>
            <w:tcW w:type="dxa" w:w="3660"/>
            <w:tcMar>
              <w:top w:w="80" w:type="dxa"/>
              <w:start w:w="120" w:type="dxa"/>
              <w:bottom w:w="80" w:type="dxa"/>
              <w:end w:w="120" w:type="dxa"/>
            </w:tcMar>
            <w:vAlign w:val="center"/>
            <w:shd w:fill="0000A0"/>
          </w:tcPr>
          <w:p>
            <w:r>
              <w:rPr>
                <w:rFonts w:ascii="Arial" w:hAnsi="Arial"/>
                <w:b/>
                <w:i w:val="0"/>
                <w:color w:val="FFFFFF"/>
                <w:sz w:val="18"/>
              </w:rPr>
              <w:t>Primary manager</w:t>
            </w:r>
          </w:p>
        </w:tc>
      </w:tr>
      <w:tr>
        <w:tc>
          <w:tcPr>
            <w:tcW w:type="dxa" w:w="2200"/>
            <w:shd w:fill="F7F4F1"/>
          </w:tcPr>
          <w:p>
            <w:r>
              <w:rPr>
                <w:rFonts w:ascii="Arial" w:hAnsi="Arial"/>
                <w:b/>
                <w:i w:val="0"/>
                <w:color w:val="0000A0"/>
                <w:sz w:val="17"/>
              </w:rPr>
              <w:t>Framework</w:t>
            </w:r>
          </w:p>
        </w:tc>
        <w:tc>
          <w:tcPr>
            <w:tcW w:type="dxa" w:w="3500"/>
            <w:shd w:fill="F7F4F1"/>
          </w:tcPr>
          <w:p>
            <w:r>
              <w:rPr>
                <w:rFonts w:ascii="Arial" w:hAnsi="Arial"/>
                <w:b w:val="0"/>
                <w:i w:val="0"/>
                <w:color w:val="3C3C3C"/>
                <w:sz w:val="17"/>
              </w:rPr>
              <w:t>Control ID, name, process, frequency, key-control flag, nature and automation type</w:t>
            </w:r>
          </w:p>
        </w:tc>
        <w:tc>
          <w:tcPr>
            <w:tcW w:type="dxa" w:w="3660"/>
            <w:shd w:fill="F7F4F1"/>
          </w:tcPr>
          <w:p>
            <w:r>
              <w:rPr>
                <w:rFonts w:ascii="Arial" w:hAnsi="Arial"/>
                <w:b w:val="0"/>
                <w:i w:val="0"/>
                <w:color w:val="3C3C3C"/>
                <w:sz w:val="17"/>
              </w:rPr>
              <w:t>ICE framework governance</w:t>
            </w:r>
          </w:p>
        </w:tc>
      </w:tr>
      <w:tr>
        <w:tc>
          <w:tcPr>
            <w:tcW w:type="dxa" w:w="2200"/>
            <w:shd w:fill="FFFFFF"/>
          </w:tcPr>
          <w:p>
            <w:r>
              <w:rPr>
                <w:rFonts w:ascii="Arial" w:hAnsi="Arial"/>
                <w:b/>
                <w:i w:val="0"/>
                <w:color w:val="0000A0"/>
                <w:sz w:val="17"/>
              </w:rPr>
              <w:t>Applicability</w:t>
            </w:r>
          </w:p>
        </w:tc>
        <w:tc>
          <w:tcPr>
            <w:tcW w:type="dxa" w:w="3500"/>
            <w:shd w:fill="FFFFFF"/>
          </w:tcPr>
          <w:p>
            <w:r>
              <w:rPr>
                <w:rFonts w:ascii="Arial" w:hAnsi="Arial"/>
                <w:b w:val="0"/>
                <w:i w:val="0"/>
                <w:color w:val="3C3C3C"/>
                <w:sz w:val="17"/>
              </w:rPr>
              <w:t>Business segment, region, site and business process</w:t>
            </w:r>
          </w:p>
        </w:tc>
        <w:tc>
          <w:tcPr>
            <w:tcW w:type="dxa" w:w="3660"/>
            <w:shd w:fill="FFFFFF"/>
          </w:tcPr>
          <w:p>
            <w:r>
              <w:rPr>
                <w:rFonts w:ascii="Arial" w:hAnsi="Arial"/>
                <w:b w:val="0"/>
                <w:i w:val="0"/>
                <w:color w:val="3C3C3C"/>
                <w:sz w:val="17"/>
              </w:rPr>
              <w:t>Controller Admin</w:t>
            </w:r>
          </w:p>
        </w:tc>
      </w:tr>
      <w:tr>
        <w:tc>
          <w:tcPr>
            <w:tcW w:type="dxa" w:w="2200"/>
            <w:shd w:fill="F7F4F1"/>
          </w:tcPr>
          <w:p>
            <w:r>
              <w:rPr>
                <w:rFonts w:ascii="Arial" w:hAnsi="Arial"/>
                <w:b/>
                <w:i w:val="0"/>
                <w:color w:val="0000A0"/>
                <w:sz w:val="17"/>
              </w:rPr>
              <w:t>Requirements</w:t>
            </w:r>
          </w:p>
        </w:tc>
        <w:tc>
          <w:tcPr>
            <w:tcW w:type="dxa" w:w="3500"/>
            <w:shd w:fill="F7F4F1"/>
          </w:tcPr>
          <w:p>
            <w:r>
              <w:rPr>
                <w:rFonts w:ascii="Arial" w:hAnsi="Arial"/>
                <w:b w:val="0"/>
                <w:i w:val="0"/>
                <w:color w:val="3C3C3C"/>
                <w:sz w:val="17"/>
              </w:rPr>
              <w:t>Evidence-required flag, instructions, DTP and supporting guidance</w:t>
            </w:r>
          </w:p>
        </w:tc>
        <w:tc>
          <w:tcPr>
            <w:tcW w:type="dxa" w:w="3660"/>
            <w:shd w:fill="F7F4F1"/>
          </w:tcPr>
          <w:p>
            <w:r>
              <w:rPr>
                <w:rFonts w:ascii="Arial" w:hAnsi="Arial"/>
                <w:b w:val="0"/>
                <w:i w:val="0"/>
                <w:color w:val="3C3C3C"/>
                <w:sz w:val="17"/>
              </w:rPr>
              <w:t>Controller Admin</w:t>
            </w:r>
          </w:p>
        </w:tc>
      </w:tr>
      <w:tr>
        <w:tc>
          <w:tcPr>
            <w:tcW w:type="dxa" w:w="2200"/>
            <w:shd w:fill="FFFFFF"/>
          </w:tcPr>
          <w:p>
            <w:r>
              <w:rPr>
                <w:rFonts w:ascii="Arial" w:hAnsi="Arial"/>
                <w:b/>
                <w:i w:val="0"/>
                <w:color w:val="0000A0"/>
                <w:sz w:val="17"/>
              </w:rPr>
              <w:t>Ownership &amp; timing</w:t>
            </w:r>
          </w:p>
        </w:tc>
        <w:tc>
          <w:tcPr>
            <w:tcW w:type="dxa" w:w="3500"/>
            <w:shd w:fill="FFFFFF"/>
          </w:tcPr>
          <w:p>
            <w:r>
              <w:rPr>
                <w:rFonts w:ascii="Arial" w:hAnsi="Arial"/>
                <w:b w:val="0"/>
                <w:i w:val="0"/>
                <w:color w:val="3C3C3C"/>
                <w:sz w:val="17"/>
              </w:rPr>
              <w:t>Control Owner, due date, period and reassignment/handover</w:t>
            </w:r>
          </w:p>
        </w:tc>
        <w:tc>
          <w:tcPr>
            <w:tcW w:type="dxa" w:w="3660"/>
            <w:shd w:fill="FFFFFF"/>
          </w:tcPr>
          <w:p>
            <w:r>
              <w:rPr>
                <w:rFonts w:ascii="Arial" w:hAnsi="Arial"/>
                <w:b w:val="0"/>
                <w:i w:val="0"/>
                <w:color w:val="3C3C3C"/>
                <w:sz w:val="17"/>
              </w:rPr>
              <w:t>Controller Admin with owner acknowledgement</w:t>
            </w:r>
          </w:p>
        </w:tc>
      </w:tr>
      <w:tr>
        <w:tc>
          <w:tcPr>
            <w:tcW w:type="dxa" w:w="2200"/>
            <w:shd w:fill="F7F4F1"/>
          </w:tcPr>
          <w:p>
            <w:r>
              <w:rPr>
                <w:rFonts w:ascii="Arial" w:hAnsi="Arial"/>
                <w:b/>
                <w:i w:val="0"/>
                <w:color w:val="0000A0"/>
                <w:sz w:val="17"/>
              </w:rPr>
              <w:t>Execution</w:t>
            </w:r>
          </w:p>
        </w:tc>
        <w:tc>
          <w:tcPr>
            <w:tcW w:type="dxa" w:w="3500"/>
            <w:shd w:fill="F7F4F1"/>
          </w:tcPr>
          <w:p>
            <w:r>
              <w:rPr>
                <w:rFonts w:ascii="Arial" w:hAnsi="Arial"/>
                <w:b w:val="0"/>
                <w:i w:val="0"/>
                <w:color w:val="3C3C3C"/>
                <w:sz w:val="17"/>
              </w:rPr>
              <w:t>Confirmations, attachments, status and certification timestamp</w:t>
            </w:r>
          </w:p>
        </w:tc>
        <w:tc>
          <w:tcPr>
            <w:tcW w:type="dxa" w:w="3660"/>
            <w:shd w:fill="F7F4F1"/>
          </w:tcPr>
          <w:p>
            <w:r>
              <w:rPr>
                <w:rFonts w:ascii="Arial" w:hAnsi="Arial"/>
                <w:b w:val="0"/>
                <w:i w:val="0"/>
                <w:color w:val="3C3C3C"/>
                <w:sz w:val="17"/>
              </w:rPr>
              <w:t>Control Owner</w:t>
            </w:r>
          </w:p>
        </w:tc>
      </w:tr>
      <w:tr>
        <w:tc>
          <w:tcPr>
            <w:tcW w:type="dxa" w:w="2200"/>
            <w:shd w:fill="FFFFFF"/>
          </w:tcPr>
          <w:p>
            <w:r>
              <w:rPr>
                <w:rFonts w:ascii="Arial" w:hAnsi="Arial"/>
                <w:b/>
                <w:i w:val="0"/>
                <w:color w:val="0000A0"/>
                <w:sz w:val="17"/>
              </w:rPr>
              <w:t>Audit &amp; reporting</w:t>
            </w:r>
          </w:p>
        </w:tc>
        <w:tc>
          <w:tcPr>
            <w:tcW w:type="dxa" w:w="3500"/>
            <w:shd w:fill="FFFFFF"/>
          </w:tcPr>
          <w:p>
            <w:r>
              <w:rPr>
                <w:rFonts w:ascii="Arial" w:hAnsi="Arial"/>
                <w:b w:val="0"/>
                <w:i w:val="0"/>
                <w:color w:val="3C3C3C"/>
                <w:sz w:val="17"/>
              </w:rPr>
              <w:t>Change history, reminders, exports and saved report filters</w:t>
            </w:r>
          </w:p>
        </w:tc>
        <w:tc>
          <w:tcPr>
            <w:tcW w:type="dxa" w:w="3660"/>
            <w:shd w:fill="FFFFFF"/>
          </w:tcPr>
          <w:p>
            <w:r>
              <w:rPr>
                <w:rFonts w:ascii="Arial" w:hAnsi="Arial"/>
                <w:b w:val="0"/>
                <w:i w:val="0"/>
                <w:color w:val="3C3C3C"/>
                <w:sz w:val="17"/>
              </w:rPr>
              <w:t>System-generated / Controller Admin</w:t>
            </w:r>
          </w:p>
        </w:tc>
      </w:tr>
    </w:tbl>
    <w:p>
      <w:pPr>
        <w:pStyle w:val="Heading2"/>
        <w:keepNext/>
      </w:pPr>
      <w:r>
        <w:t>Status language</w:t>
      </w:r>
    </w:p>
    <w:tbl>
      <w:tblPr>
        <w:tblW w:type="dxa" w:w="9360"/>
        <w:jc w:val="left"/>
        <w:tblLayout w:type="fixed"/>
        <w:tblLook w:firstColumn="1" w:firstRow="1" w:lastColumn="0" w:lastRow="0" w:noHBand="0" w:noVBand="1" w:val="04A0"/>
        <w:tblInd w:w="120" w:type="dxa"/>
      </w:tblPr>
      <w:tblGrid>
        <w:gridCol w:w="2200"/>
        <w:gridCol w:w="3600"/>
        <w:gridCol w:w="3560"/>
      </w:tblGrid>
      <w:tr>
        <w:trPr>
          <w:tblHeader/>
        </w:trPr>
        <w:tc>
          <w:tcPr>
            <w:tcW w:type="dxa" w:w="2200"/>
            <w:tcMar>
              <w:top w:w="80" w:type="dxa"/>
              <w:start w:w="120" w:type="dxa"/>
              <w:bottom w:w="80" w:type="dxa"/>
              <w:end w:w="120" w:type="dxa"/>
            </w:tcMar>
            <w:vAlign w:val="center"/>
            <w:shd w:fill="19738D"/>
          </w:tcPr>
          <w:p>
            <w:r>
              <w:rPr>
                <w:rFonts w:ascii="Arial" w:hAnsi="Arial"/>
                <w:b/>
                <w:i w:val="0"/>
                <w:color w:val="FFFFFF"/>
                <w:sz w:val="18"/>
              </w:rPr>
              <w:t>Status</w:t>
            </w:r>
          </w:p>
        </w:tc>
        <w:tc>
          <w:tcPr>
            <w:tcW w:type="dxa" w:w="3600"/>
            <w:tcMar>
              <w:top w:w="80" w:type="dxa"/>
              <w:start w:w="120" w:type="dxa"/>
              <w:bottom w:w="80" w:type="dxa"/>
              <w:end w:w="120" w:type="dxa"/>
            </w:tcMar>
            <w:vAlign w:val="center"/>
            <w:shd w:fill="19738D"/>
          </w:tcPr>
          <w:p>
            <w:r>
              <w:rPr>
                <w:rFonts w:ascii="Arial" w:hAnsi="Arial"/>
                <w:b/>
                <w:i w:val="0"/>
                <w:color w:val="FFFFFF"/>
                <w:sz w:val="18"/>
              </w:rPr>
              <w:t>Meaning</w:t>
            </w:r>
          </w:p>
        </w:tc>
        <w:tc>
          <w:tcPr>
            <w:tcW w:type="dxa" w:w="3560"/>
            <w:tcMar>
              <w:top w:w="80" w:type="dxa"/>
              <w:start w:w="120" w:type="dxa"/>
              <w:bottom w:w="80" w:type="dxa"/>
              <w:end w:w="120" w:type="dxa"/>
            </w:tcMar>
            <w:vAlign w:val="center"/>
            <w:shd w:fill="19738D"/>
          </w:tcPr>
          <w:p>
            <w:r>
              <w:rPr>
                <w:rFonts w:ascii="Arial" w:hAnsi="Arial"/>
                <w:b/>
                <w:i w:val="0"/>
                <w:color w:val="FFFFFF"/>
                <w:sz w:val="18"/>
              </w:rPr>
              <w:t>Expected response</w:t>
            </w:r>
          </w:p>
        </w:tc>
      </w:tr>
      <w:tr>
        <w:tc>
          <w:tcPr>
            <w:tcW w:type="dxa" w:w="2200"/>
            <w:shd w:fill="F7F4F1"/>
          </w:tcPr>
          <w:p>
            <w:r>
              <w:rPr>
                <w:rFonts w:ascii="Arial" w:hAnsi="Arial"/>
                <w:b/>
                <w:i w:val="0"/>
                <w:color w:val="0000A0"/>
                <w:sz w:val="17"/>
              </w:rPr>
              <w:t>Unassigned</w:t>
            </w:r>
          </w:p>
        </w:tc>
        <w:tc>
          <w:tcPr>
            <w:tcW w:type="dxa" w:w="3600"/>
            <w:shd w:fill="F7F4F1"/>
          </w:tcPr>
          <w:p>
            <w:r>
              <w:rPr>
                <w:rFonts w:ascii="Arial" w:hAnsi="Arial"/>
                <w:b w:val="0"/>
                <w:i w:val="0"/>
                <w:color w:val="3C3C3C"/>
                <w:sz w:val="17"/>
              </w:rPr>
              <w:t>No accountable Control Owner is set.</w:t>
            </w:r>
          </w:p>
        </w:tc>
        <w:tc>
          <w:tcPr>
            <w:tcW w:type="dxa" w:w="3560"/>
            <w:shd w:fill="F7F4F1"/>
          </w:tcPr>
          <w:p>
            <w:r>
              <w:rPr>
                <w:rFonts w:ascii="Arial" w:hAnsi="Arial"/>
                <w:b w:val="0"/>
                <w:i w:val="0"/>
                <w:color w:val="3C3C3C"/>
                <w:sz w:val="17"/>
              </w:rPr>
              <w:t>Controller Admin assigns an owner.</w:t>
            </w:r>
          </w:p>
        </w:tc>
      </w:tr>
      <w:tr>
        <w:tc>
          <w:tcPr>
            <w:tcW w:type="dxa" w:w="2200"/>
            <w:shd w:fill="FFFFFF"/>
          </w:tcPr>
          <w:p>
            <w:r>
              <w:rPr>
                <w:rFonts w:ascii="Arial" w:hAnsi="Arial"/>
                <w:b/>
                <w:i w:val="0"/>
                <w:color w:val="0000A0"/>
                <w:sz w:val="17"/>
              </w:rPr>
              <w:t>Not started</w:t>
            </w:r>
          </w:p>
        </w:tc>
        <w:tc>
          <w:tcPr>
            <w:tcW w:type="dxa" w:w="3600"/>
            <w:shd w:fill="FFFFFF"/>
          </w:tcPr>
          <w:p>
            <w:r>
              <w:rPr>
                <w:rFonts w:ascii="Arial" w:hAnsi="Arial"/>
                <w:b w:val="0"/>
                <w:i w:val="0"/>
                <w:color w:val="3C3C3C"/>
                <w:sz w:val="17"/>
              </w:rPr>
              <w:t>Assigned, but execution is not yet certified.</w:t>
            </w:r>
          </w:p>
        </w:tc>
        <w:tc>
          <w:tcPr>
            <w:tcW w:type="dxa" w:w="3560"/>
            <w:shd w:fill="FFFFFF"/>
          </w:tcPr>
          <w:p>
            <w:r>
              <w:rPr>
                <w:rFonts w:ascii="Arial" w:hAnsi="Arial"/>
                <w:b w:val="0"/>
                <w:i w:val="0"/>
                <w:color w:val="3C3C3C"/>
                <w:sz w:val="17"/>
              </w:rPr>
              <w:t>Owner reviews requirements and plans completion.</w:t>
            </w:r>
          </w:p>
        </w:tc>
      </w:tr>
      <w:tr>
        <w:tc>
          <w:tcPr>
            <w:tcW w:type="dxa" w:w="2200"/>
            <w:shd w:fill="F7F4F1"/>
          </w:tcPr>
          <w:p>
            <w:r>
              <w:rPr>
                <w:rFonts w:ascii="Arial" w:hAnsi="Arial"/>
                <w:b/>
                <w:i w:val="0"/>
                <w:color w:val="0000A0"/>
                <w:sz w:val="17"/>
              </w:rPr>
              <w:t>Due soon</w:t>
            </w:r>
          </w:p>
        </w:tc>
        <w:tc>
          <w:tcPr>
            <w:tcW w:type="dxa" w:w="3600"/>
            <w:shd w:fill="F7F4F1"/>
          </w:tcPr>
          <w:p>
            <w:r>
              <w:rPr>
                <w:rFonts w:ascii="Arial" w:hAnsi="Arial"/>
                <w:b w:val="0"/>
                <w:i w:val="0"/>
                <w:color w:val="3C3C3C"/>
                <w:sz w:val="17"/>
              </w:rPr>
              <w:t>Deadline is approaching.</w:t>
            </w:r>
          </w:p>
        </w:tc>
        <w:tc>
          <w:tcPr>
            <w:tcW w:type="dxa" w:w="3560"/>
            <w:shd w:fill="F7F4F1"/>
          </w:tcPr>
          <w:p>
            <w:r>
              <w:rPr>
                <w:rFonts w:ascii="Arial" w:hAnsi="Arial"/>
                <w:b w:val="0"/>
                <w:i w:val="0"/>
                <w:color w:val="3C3C3C"/>
                <w:sz w:val="17"/>
              </w:rPr>
              <w:t>Owner completes the control; reminders can be simulated.</w:t>
            </w:r>
          </w:p>
        </w:tc>
      </w:tr>
      <w:tr>
        <w:tc>
          <w:tcPr>
            <w:tcW w:type="dxa" w:w="2200"/>
            <w:shd w:fill="FFFFFF"/>
          </w:tcPr>
          <w:p>
            <w:r>
              <w:rPr>
                <w:rFonts w:ascii="Arial" w:hAnsi="Arial"/>
                <w:b/>
                <w:i w:val="0"/>
                <w:color w:val="0000A0"/>
                <w:sz w:val="17"/>
              </w:rPr>
              <w:t>Evidence needed</w:t>
            </w:r>
          </w:p>
        </w:tc>
        <w:tc>
          <w:tcPr>
            <w:tcW w:type="dxa" w:w="3600"/>
            <w:shd w:fill="FFFFFF"/>
          </w:tcPr>
          <w:p>
            <w:r>
              <w:rPr>
                <w:rFonts w:ascii="Arial" w:hAnsi="Arial"/>
                <w:b w:val="0"/>
                <w:i w:val="0"/>
                <w:color w:val="3C3C3C"/>
                <w:sz w:val="17"/>
              </w:rPr>
              <w:t>Execution is incomplete because required evidence is missing.</w:t>
            </w:r>
          </w:p>
        </w:tc>
        <w:tc>
          <w:tcPr>
            <w:tcW w:type="dxa" w:w="3560"/>
            <w:shd w:fill="FFFFFF"/>
          </w:tcPr>
          <w:p>
            <w:r>
              <w:rPr>
                <w:rFonts w:ascii="Arial" w:hAnsi="Arial"/>
                <w:b w:val="0"/>
                <w:i w:val="0"/>
                <w:color w:val="3C3C3C"/>
                <w:sz w:val="17"/>
              </w:rPr>
              <w:t>Owner uploads evidence before certifying.</w:t>
            </w:r>
          </w:p>
        </w:tc>
      </w:tr>
      <w:tr>
        <w:tc>
          <w:tcPr>
            <w:tcW w:type="dxa" w:w="2200"/>
            <w:shd w:fill="F7F4F1"/>
          </w:tcPr>
          <w:p>
            <w:r>
              <w:rPr>
                <w:rFonts w:ascii="Arial" w:hAnsi="Arial"/>
                <w:b/>
                <w:i w:val="0"/>
                <w:color w:val="0000A0"/>
                <w:sz w:val="17"/>
              </w:rPr>
              <w:t>Overdue</w:t>
            </w:r>
          </w:p>
        </w:tc>
        <w:tc>
          <w:tcPr>
            <w:tcW w:type="dxa" w:w="3600"/>
            <w:shd w:fill="F7F4F1"/>
          </w:tcPr>
          <w:p>
            <w:r>
              <w:rPr>
                <w:rFonts w:ascii="Arial" w:hAnsi="Arial"/>
                <w:b w:val="0"/>
                <w:i w:val="0"/>
                <w:color w:val="3C3C3C"/>
                <w:sz w:val="17"/>
              </w:rPr>
              <w:t>Due date has passed without completion.</w:t>
            </w:r>
          </w:p>
        </w:tc>
        <w:tc>
          <w:tcPr>
            <w:tcW w:type="dxa" w:w="3560"/>
            <w:shd w:fill="F7F4F1"/>
          </w:tcPr>
          <w:p>
            <w:r>
              <w:rPr>
                <w:rFonts w:ascii="Arial" w:hAnsi="Arial"/>
                <w:b w:val="0"/>
                <w:i w:val="0"/>
                <w:color w:val="3C3C3C"/>
                <w:sz w:val="17"/>
              </w:rPr>
              <w:t>Controller follows up and escalates if needed.</w:t>
            </w:r>
          </w:p>
        </w:tc>
      </w:tr>
      <w:tr>
        <w:tc>
          <w:tcPr>
            <w:tcW w:type="dxa" w:w="2200"/>
            <w:shd w:fill="FFFFFF"/>
          </w:tcPr>
          <w:p>
            <w:r>
              <w:rPr>
                <w:rFonts w:ascii="Arial" w:hAnsi="Arial"/>
                <w:b/>
                <w:i w:val="0"/>
                <w:color w:val="0000A0"/>
                <w:sz w:val="17"/>
              </w:rPr>
              <w:t>Certified</w:t>
            </w:r>
          </w:p>
        </w:tc>
        <w:tc>
          <w:tcPr>
            <w:tcW w:type="dxa" w:w="3600"/>
            <w:shd w:fill="FFFFFF"/>
          </w:tcPr>
          <w:p>
            <w:r>
              <w:rPr>
                <w:rFonts w:ascii="Arial" w:hAnsi="Arial"/>
                <w:b w:val="0"/>
                <w:i w:val="0"/>
                <w:color w:val="3C3C3C"/>
                <w:sz w:val="17"/>
              </w:rPr>
              <w:t>Required confirmations and evidence are complete.</w:t>
            </w:r>
          </w:p>
        </w:tc>
        <w:tc>
          <w:tcPr>
            <w:tcW w:type="dxa" w:w="3560"/>
            <w:shd w:fill="FFFFFF"/>
          </w:tcPr>
          <w:p>
            <w:r>
              <w:rPr>
                <w:rFonts w:ascii="Arial" w:hAnsi="Arial"/>
                <w:b w:val="0"/>
                <w:i w:val="0"/>
                <w:color w:val="3C3C3C"/>
                <w:sz w:val="17"/>
              </w:rPr>
              <w:t>Available for reporting and audit retrieval.</w:t>
            </w:r>
          </w:p>
        </w:tc>
      </w:tr>
    </w:tbl>
    <w:p>
      <w:r>
        <w:br w:type="page"/>
      </w:r>
    </w:p>
    <w:p>
      <w:pPr>
        <w:pStyle w:val="Heading1"/>
        <w:keepNext/>
      </w:pPr>
      <w:r>
        <w:t>4. Reporting by audience</w:t>
      </w:r>
    </w:p>
    <w:p>
      <w:r>
        <w:rPr>
          <w:rFonts w:ascii="Arial" w:hAnsi="Arial"/>
          <w:b w:val="0"/>
          <w:i w:val="0"/>
          <w:color w:val="3C3C3C"/>
          <w:sz w:val="22"/>
        </w:rPr>
        <w:t>Reporting should answer a decision, not simply display every metric. The MVP now changes its visual summary by audience while keeping the same filters, saved views and downloadable detail.</w:t>
      </w:r>
    </w:p>
    <w:tbl>
      <w:tblPr>
        <w:tblW w:type="dxa" w:w="9360"/>
        <w:jc w:val="left"/>
        <w:tblLayout w:type="fixed"/>
        <w:tblLook w:firstColumn="1" w:firstRow="1" w:lastColumn="0" w:lastRow="0" w:noHBand="0" w:noVBand="1" w:val="04A0"/>
        <w:tblInd w:w="120" w:type="dxa"/>
      </w:tblPr>
      <w:tblGrid>
        <w:gridCol w:w="1800"/>
        <w:gridCol w:w="3780"/>
        <w:gridCol w:w="3780"/>
      </w:tblGrid>
      <w:tr>
        <w:trPr>
          <w:tblHeader/>
        </w:trPr>
        <w:tc>
          <w:tcPr>
            <w:tcW w:type="dxa" w:w="1800"/>
            <w:tcMar>
              <w:top w:w="80" w:type="dxa"/>
              <w:start w:w="120" w:type="dxa"/>
              <w:bottom w:w="80" w:type="dxa"/>
              <w:end w:w="120" w:type="dxa"/>
            </w:tcMar>
            <w:vAlign w:val="center"/>
            <w:shd w:fill="0000A0"/>
          </w:tcPr>
          <w:p>
            <w:r>
              <w:rPr>
                <w:rFonts w:ascii="Arial" w:hAnsi="Arial"/>
                <w:b/>
                <w:i w:val="0"/>
                <w:color w:val="FFFFFF"/>
                <w:sz w:val="18"/>
              </w:rPr>
              <w:t>Audience</w:t>
            </w:r>
          </w:p>
        </w:tc>
        <w:tc>
          <w:tcPr>
            <w:tcW w:type="dxa" w:w="3780"/>
            <w:tcMar>
              <w:top w:w="80" w:type="dxa"/>
              <w:start w:w="120" w:type="dxa"/>
              <w:bottom w:w="80" w:type="dxa"/>
              <w:end w:w="120" w:type="dxa"/>
            </w:tcMar>
            <w:vAlign w:val="center"/>
            <w:shd w:fill="0000A0"/>
          </w:tcPr>
          <w:p>
            <w:r>
              <w:rPr>
                <w:rFonts w:ascii="Arial" w:hAnsi="Arial"/>
                <w:b/>
                <w:i w:val="0"/>
                <w:color w:val="FFFFFF"/>
                <w:sz w:val="18"/>
              </w:rPr>
              <w:t>Phase 1 reporting</w:t>
            </w:r>
          </w:p>
        </w:tc>
        <w:tc>
          <w:tcPr>
            <w:tcW w:type="dxa" w:w="3780"/>
            <w:tcMar>
              <w:top w:w="80" w:type="dxa"/>
              <w:start w:w="120" w:type="dxa"/>
              <w:bottom w:w="80" w:type="dxa"/>
              <w:end w:w="120" w:type="dxa"/>
            </w:tcMar>
            <w:vAlign w:val="center"/>
            <w:shd w:fill="0000A0"/>
          </w:tcPr>
          <w:p>
            <w:r>
              <w:rPr>
                <w:rFonts w:ascii="Arial" w:hAnsi="Arial"/>
                <w:b/>
                <w:i w:val="0"/>
                <w:color w:val="FFFFFF"/>
                <w:sz w:val="18"/>
              </w:rPr>
              <w:t>Recommended next</w:t>
            </w:r>
          </w:p>
        </w:tc>
      </w:tr>
      <w:tr>
        <w:tc>
          <w:tcPr>
            <w:tcW w:type="dxa" w:w="1800"/>
            <w:shd w:fill="F7F4F1"/>
          </w:tcPr>
          <w:p>
            <w:r>
              <w:rPr>
                <w:rFonts w:ascii="Arial" w:hAnsi="Arial"/>
                <w:b/>
                <w:i w:val="0"/>
                <w:color w:val="0000A0"/>
                <w:sz w:val="17"/>
              </w:rPr>
              <w:t>Leadership</w:t>
            </w:r>
          </w:p>
        </w:tc>
        <w:tc>
          <w:tcPr>
            <w:tcW w:type="dxa" w:w="3780"/>
            <w:shd w:fill="F7F4F1"/>
          </w:tcPr>
          <w:p>
            <w:r>
              <w:rPr>
                <w:rFonts w:ascii="Arial" w:hAnsi="Arial"/>
                <w:b w:val="0"/>
                <w:i w:val="0"/>
                <w:color w:val="3C3C3C"/>
                <w:sz w:val="17"/>
              </w:rPr>
              <w:t>Certification progress donut; status distribution; largest control areas; overall exceptions.</w:t>
            </w:r>
          </w:p>
        </w:tc>
        <w:tc>
          <w:tcPr>
            <w:tcW w:type="dxa" w:w="3780"/>
            <w:shd w:fill="F7F4F1"/>
          </w:tcPr>
          <w:p>
            <w:r>
              <w:rPr>
                <w:rFonts w:ascii="Arial" w:hAnsi="Arial"/>
                <w:b w:val="0"/>
                <w:i w:val="0"/>
                <w:color w:val="3C3C3C"/>
                <w:sz w:val="17"/>
              </w:rPr>
              <w:t>Trend line by period, regional heat map, risk concentration and forecast.</w:t>
            </w:r>
          </w:p>
        </w:tc>
      </w:tr>
      <w:tr>
        <w:tc>
          <w:tcPr>
            <w:tcW w:type="dxa" w:w="1800"/>
            <w:shd w:fill="FFFFFF"/>
          </w:tcPr>
          <w:p>
            <w:r>
              <w:rPr>
                <w:rFonts w:ascii="Arial" w:hAnsi="Arial"/>
                <w:b/>
                <w:i w:val="0"/>
                <w:color w:val="0000A0"/>
                <w:sz w:val="17"/>
              </w:rPr>
              <w:t>Site owners</w:t>
            </w:r>
          </w:p>
        </w:tc>
        <w:tc>
          <w:tcPr>
            <w:tcW w:type="dxa" w:w="3780"/>
            <w:shd w:fill="FFFFFF"/>
          </w:tcPr>
          <w:p>
            <w:r>
              <w:rPr>
                <w:rFonts w:ascii="Arial" w:hAnsi="Arial"/>
                <w:b w:val="0"/>
                <w:i w:val="0"/>
                <w:color w:val="3C3C3C"/>
                <w:sz w:val="17"/>
              </w:rPr>
              <w:t>Ownership coverage; DTP readiness; certification/evidence readiness; site-specific exception list.</w:t>
            </w:r>
          </w:p>
        </w:tc>
        <w:tc>
          <w:tcPr>
            <w:tcW w:type="dxa" w:w="3780"/>
            <w:shd w:fill="FFFFFF"/>
          </w:tcPr>
          <w:p>
            <w:r>
              <w:rPr>
                <w:rFonts w:ascii="Arial" w:hAnsi="Arial"/>
                <w:b w:val="0"/>
                <w:i w:val="0"/>
                <w:color w:val="3C3C3C"/>
                <w:sz w:val="17"/>
              </w:rPr>
              <w:t>Site comparison, aging profile and recurring issue categories.</w:t>
            </w:r>
          </w:p>
        </w:tc>
      </w:tr>
      <w:tr>
        <w:tc>
          <w:tcPr>
            <w:tcW w:type="dxa" w:w="1800"/>
            <w:shd w:fill="F7F4F1"/>
          </w:tcPr>
          <w:p>
            <w:r>
              <w:rPr>
                <w:rFonts w:ascii="Arial" w:hAnsi="Arial"/>
                <w:b/>
                <w:i w:val="0"/>
                <w:color w:val="0000A0"/>
                <w:sz w:val="17"/>
              </w:rPr>
              <w:t>Controllers</w:t>
            </w:r>
          </w:p>
        </w:tc>
        <w:tc>
          <w:tcPr>
            <w:tcW w:type="dxa" w:w="3780"/>
            <w:shd w:fill="F7F4F1"/>
          </w:tcPr>
          <w:p>
            <w:r>
              <w:rPr>
                <w:rFonts w:ascii="Arial" w:hAnsi="Arial"/>
                <w:b w:val="0"/>
                <w:i w:val="0"/>
                <w:color w:val="3C3C3C"/>
                <w:sz w:val="17"/>
              </w:rPr>
              <w:t>Owner coverage; evidence and DTP completeness; overdue/unassigned queue; downloadable detail.</w:t>
            </w:r>
          </w:p>
        </w:tc>
        <w:tc>
          <w:tcPr>
            <w:tcW w:type="dxa" w:w="3780"/>
            <w:shd w:fill="F7F4F1"/>
          </w:tcPr>
          <w:p>
            <w:r>
              <w:rPr>
                <w:rFonts w:ascii="Arial" w:hAnsi="Arial"/>
                <w:b w:val="0"/>
                <w:i w:val="0"/>
                <w:color w:val="3C3C3C"/>
                <w:sz w:val="17"/>
              </w:rPr>
              <w:t>Reminder effectiveness, cycle time, gap remediation and ServiceNow-ready extracts.</w:t>
            </w:r>
          </w:p>
        </w:tc>
      </w:tr>
      <w:tr>
        <w:tc>
          <w:tcPr>
            <w:tcW w:type="dxa" w:w="1800"/>
            <w:shd w:fill="FFFFFF"/>
          </w:tcPr>
          <w:p>
            <w:r>
              <w:rPr>
                <w:rFonts w:ascii="Arial" w:hAnsi="Arial"/>
                <w:b/>
                <w:i w:val="0"/>
                <w:color w:val="0000A0"/>
                <w:sz w:val="17"/>
              </w:rPr>
              <w:t>Audit / assurance</w:t>
            </w:r>
          </w:p>
        </w:tc>
        <w:tc>
          <w:tcPr>
            <w:tcW w:type="dxa" w:w="3780"/>
            <w:shd w:fill="FFFFFF"/>
          </w:tcPr>
          <w:p>
            <w:r>
              <w:rPr>
                <w:rFonts w:ascii="Arial" w:hAnsi="Arial"/>
                <w:b w:val="0"/>
                <w:i w:val="0"/>
                <w:color w:val="3C3C3C"/>
                <w:sz w:val="17"/>
              </w:rPr>
              <w:t>Searchable control detail and exportable status/evidence metadata.</w:t>
            </w:r>
          </w:p>
        </w:tc>
        <w:tc>
          <w:tcPr>
            <w:tcW w:type="dxa" w:w="3780"/>
            <w:shd w:fill="FFFFFF"/>
          </w:tcPr>
          <w:p>
            <w:r>
              <w:rPr>
                <w:rFonts w:ascii="Arial" w:hAnsi="Arial"/>
                <w:b w:val="0"/>
                <w:i w:val="0"/>
                <w:color w:val="3C3C3C"/>
                <w:sz w:val="17"/>
              </w:rPr>
              <w:t>Read-only evidence packs, immutable audit trail and sample-based retrieval.</w:t>
            </w:r>
          </w:p>
        </w:tc>
      </w:tr>
    </w:tbl>
    <w:p>
      <w:pPr>
        <w:pStyle w:val="Heading2"/>
        <w:keepNext/>
      </w:pPr>
      <w:r>
        <w:t>Core filter and reuse model</w:t>
      </w:r>
    </w:p>
    <w:p>
      <w:pPr>
        <w:pStyle w:val="ListBullet"/>
      </w:pPr>
      <w:r>
        <w:rPr>
          <w:rFonts w:ascii="Arial" w:hAnsi="Arial"/>
          <w:b w:val="0"/>
          <w:i w:val="0"/>
          <w:color w:val="3C3C3C"/>
          <w:sz w:val="22"/>
        </w:rPr>
        <w:t>Filter by configured region, business process, sub-process, status and evidence rule.</w:t>
      </w:r>
    </w:p>
    <w:p>
      <w:pPr>
        <w:pStyle w:val="ListBullet"/>
      </w:pPr>
      <w:r>
        <w:rPr>
          <w:rFonts w:ascii="Arial" w:hAnsi="Arial"/>
          <w:b w:val="0"/>
          <w:i w:val="0"/>
          <w:color w:val="3C3C3C"/>
          <w:sz w:val="22"/>
        </w:rPr>
        <w:t>Food &amp; Nutrition is a fixed application scope, so it is shown as context rather than a selectable business segment.</w:t>
      </w:r>
    </w:p>
    <w:p>
      <w:pPr>
        <w:pStyle w:val="ListBullet"/>
      </w:pPr>
      <w:r>
        <w:rPr>
          <w:rFonts w:ascii="Arial" w:hAnsi="Arial"/>
          <w:b w:val="0"/>
          <w:i w:val="0"/>
          <w:color w:val="3C3C3C"/>
          <w:sz w:val="22"/>
        </w:rPr>
        <w:t>Save the current filter and audience combination as a reusable view; selecting it restores the saved settings.</w:t>
      </w:r>
    </w:p>
    <w:p>
      <w:pPr>
        <w:pStyle w:val="ListBullet"/>
      </w:pPr>
      <w:r>
        <w:rPr>
          <w:rFonts w:ascii="Arial" w:hAnsi="Arial"/>
          <w:b w:val="0"/>
          <w:i w:val="0"/>
          <w:color w:val="3C3C3C"/>
          <w:sz w:val="22"/>
        </w:rPr>
        <w:t>Download the matching result set as CSV for analysis, leadership packs or downstream preparation.</w:t>
      </w:r>
    </w:p>
    <w:tbl>
      <w:tblPr>
        <w:tblW w:type="dxa" w:w="9360"/>
        <w:jc w:val="left"/>
        <w:tblLayout w:type="fixed"/>
        <w:tblLook w:firstColumn="1" w:firstRow="1" w:lastColumn="0" w:lastRow="0" w:noHBand="0" w:noVBand="1" w:val="04A0"/>
        <w:tblInd w:w="120" w:type="dxa"/>
      </w:tblPr>
      <w:tblGrid>
        <w:gridCol w:w="9360"/>
      </w:tblGrid>
      <w:tr>
        <w:trPr>
          <w:tblHeader/>
        </w:trPr>
        <w:tc>
          <w:tcPr>
            <w:tcW w:type="dxa" w:w="9360"/>
            <w:tcMar>
              <w:top w:w="80" w:type="dxa"/>
              <w:start w:w="120" w:type="dxa"/>
              <w:bottom w:w="80" w:type="dxa"/>
              <w:end w:w="120" w:type="dxa"/>
            </w:tcMar>
            <w:vAlign w:val="center"/>
            <w:shd w:fill="EEF6F8"/>
          </w:tcPr>
          <w:p>
            <w:pPr>
              <w:spacing w:after="60"/>
            </w:pPr>
            <w:r>
              <w:rPr>
                <w:rFonts w:ascii="Arial" w:hAnsi="Arial"/>
                <w:b/>
                <w:i w:val="0"/>
                <w:color w:val="19738D"/>
                <w:sz w:val="16"/>
              </w:rPr>
              <w:t>DESIGN PRINCIPLE</w:t>
            </w:r>
          </w:p>
          <w:p>
            <w:pPr>
              <w:spacing w:after="80"/>
            </w:pPr>
            <w:r>
              <w:rPr>
                <w:rFonts w:ascii="Arial" w:hAnsi="Arial"/>
                <w:b/>
                <w:i w:val="0"/>
                <w:color w:val="0000A0"/>
                <w:sz w:val="26"/>
              </w:rPr>
              <w:t>Progressive reporting maturity</w:t>
            </w:r>
          </w:p>
          <w:p>
            <w:pPr>
              <w:spacing w:after="0"/>
            </w:pPr>
            <w:r>
              <w:rPr>
                <w:rFonts w:ascii="Arial" w:hAnsi="Arial"/>
                <w:b w:val="0"/>
                <w:i w:val="0"/>
                <w:color w:val="3C3C3C"/>
                <w:sz w:val="20"/>
              </w:rPr>
              <w:t>Phase 1 focuses on accurate current-state visibility and reusable operating reports. Period-over-period trends, predictive indicators and remediation tracking become valuable after enough reliable history exists.</w:t>
            </w:r>
          </w:p>
        </w:tc>
      </w:tr>
    </w:tbl>
    <w:p>
      <w:pPr>
        <w:spacing w:after="0"/>
      </w:pPr>
    </w:p>
    <w:p>
      <w:r>
        <w:br w:type="page"/>
      </w:r>
    </w:p>
    <w:p>
      <w:pPr>
        <w:pStyle w:val="Heading1"/>
        <w:keepNext/>
      </w:pPr>
      <w:r>
        <w:t>5. Scalable enterprise architecture</w:t>
      </w:r>
    </w:p>
    <w:p>
      <w:r>
        <w:rPr>
          <w:rFonts w:ascii="Arial" w:hAnsi="Arial"/>
          <w:b w:val="0"/>
          <w:i w:val="0"/>
          <w:color w:val="3C3C3C"/>
          <w:sz w:val="22"/>
        </w:rPr>
        <w:t>The user experience can remain stable while the current local persistence is replaced by enterprise services. The recommended separation keeps the prototype easy to test and the target platform ready for secure scale.</w:t>
      </w:r>
    </w:p>
    <w:tbl>
      <w:tblPr>
        <w:tblW w:type="dxa" w:w="9360"/>
        <w:jc w:val="left"/>
        <w:tblLayout w:type="fixed"/>
        <w:tblLook w:firstColumn="1" w:firstRow="1" w:lastColumn="0" w:lastRow="0" w:noHBand="0" w:noVBand="1" w:val="04A0"/>
        <w:tblInd w:w="120" w:type="dxa"/>
      </w:tblPr>
      <w:tblGrid>
        <w:gridCol w:w="2600"/>
        <w:gridCol w:w="6760"/>
      </w:tblGrid>
      <w:tr>
        <w:trPr>
          <w:tblHeader/>
        </w:trPr>
        <w:tc>
          <w:tcPr>
            <w:tcW w:type="dxa" w:w="2600"/>
            <w:tcMar>
              <w:top w:w="80" w:type="dxa"/>
              <w:start w:w="120" w:type="dxa"/>
              <w:bottom w:w="80" w:type="dxa"/>
              <w:end w:w="120" w:type="dxa"/>
            </w:tcMar>
            <w:vAlign w:val="center"/>
            <w:shd w:fill="19738D"/>
          </w:tcPr>
          <w:p>
            <w:r>
              <w:rPr>
                <w:rFonts w:ascii="Arial" w:hAnsi="Arial"/>
                <w:b/>
                <w:i w:val="0"/>
                <w:color w:val="FFFFFF"/>
                <w:sz w:val="18"/>
              </w:rPr>
              <w:t>Layer</w:t>
            </w:r>
          </w:p>
        </w:tc>
        <w:tc>
          <w:tcPr>
            <w:tcW w:type="dxa" w:w="6760"/>
            <w:tcMar>
              <w:top w:w="80" w:type="dxa"/>
              <w:start w:w="120" w:type="dxa"/>
              <w:bottom w:w="80" w:type="dxa"/>
              <w:end w:w="120" w:type="dxa"/>
            </w:tcMar>
            <w:vAlign w:val="center"/>
            <w:shd w:fill="19738D"/>
          </w:tcPr>
          <w:p>
            <w:r>
              <w:rPr>
                <w:rFonts w:ascii="Arial" w:hAnsi="Arial"/>
                <w:b/>
                <w:i w:val="0"/>
                <w:color w:val="FFFFFF"/>
                <w:sz w:val="18"/>
              </w:rPr>
              <w:t>Recommended enterprise implementation</w:t>
            </w:r>
          </w:p>
        </w:tc>
      </w:tr>
      <w:tr>
        <w:tc>
          <w:tcPr>
            <w:tcW w:type="dxa" w:w="2600"/>
            <w:shd w:fill="F7F4F1"/>
          </w:tcPr>
          <w:p>
            <w:r>
              <w:rPr>
                <w:rFonts w:ascii="Arial" w:hAnsi="Arial"/>
                <w:b/>
                <w:i w:val="0"/>
                <w:color w:val="0000A0"/>
                <w:sz w:val="17"/>
              </w:rPr>
              <w:t>Source &amp; delivery</w:t>
            </w:r>
          </w:p>
        </w:tc>
        <w:tc>
          <w:tcPr>
            <w:tcW w:type="dxa" w:w="6760"/>
            <w:shd w:fill="F7F4F1"/>
          </w:tcPr>
          <w:p>
            <w:r>
              <w:rPr>
                <w:rFonts w:ascii="Arial" w:hAnsi="Arial"/>
                <w:b w:val="0"/>
                <w:i w:val="0"/>
                <w:color w:val="3C3C3C"/>
                <w:sz w:val="17"/>
              </w:rPr>
              <w:t>GitHub organization repository with branch protection, pull-request review and automated deployment.</w:t>
            </w:r>
          </w:p>
        </w:tc>
      </w:tr>
      <w:tr>
        <w:tc>
          <w:tcPr>
            <w:tcW w:type="dxa" w:w="2600"/>
            <w:shd w:fill="FFFFFF"/>
          </w:tcPr>
          <w:p>
            <w:r>
              <w:rPr>
                <w:rFonts w:ascii="Arial" w:hAnsi="Arial"/>
                <w:b/>
                <w:i w:val="0"/>
                <w:color w:val="0000A0"/>
                <w:sz w:val="17"/>
              </w:rPr>
              <w:t>Web application</w:t>
            </w:r>
          </w:p>
        </w:tc>
        <w:tc>
          <w:tcPr>
            <w:tcW w:type="dxa" w:w="6760"/>
            <w:shd w:fill="FFFFFF"/>
          </w:tcPr>
          <w:p>
            <w:r>
              <w:rPr>
                <w:rFonts w:ascii="Arial" w:hAnsi="Arial"/>
                <w:b w:val="0"/>
                <w:i w:val="0"/>
                <w:color w:val="3C3C3C"/>
                <w:sz w:val="17"/>
              </w:rPr>
              <w:t>Responsive React/Next-compatible front end deployed through enterprise GCP hosting.</w:t>
            </w:r>
          </w:p>
        </w:tc>
      </w:tr>
      <w:tr>
        <w:tc>
          <w:tcPr>
            <w:tcW w:type="dxa" w:w="2600"/>
            <w:shd w:fill="F7F4F1"/>
          </w:tcPr>
          <w:p>
            <w:r>
              <w:rPr>
                <w:rFonts w:ascii="Arial" w:hAnsi="Arial"/>
                <w:b/>
                <w:i w:val="0"/>
                <w:color w:val="0000A0"/>
                <w:sz w:val="17"/>
              </w:rPr>
              <w:t>Identity &amp; roles</w:t>
            </w:r>
          </w:p>
        </w:tc>
        <w:tc>
          <w:tcPr>
            <w:tcW w:type="dxa" w:w="6760"/>
            <w:shd w:fill="F7F4F1"/>
          </w:tcPr>
          <w:p>
            <w:r>
              <w:rPr>
                <w:rFonts w:ascii="Arial" w:hAnsi="Arial"/>
                <w:b w:val="0"/>
                <w:i w:val="0"/>
                <w:color w:val="3C3C3C"/>
                <w:sz w:val="17"/>
              </w:rPr>
              <w:t>Microsoft Entra ID SSO; role groups for Controller Admin, Control Owner and read-only leadership/audit access.</w:t>
            </w:r>
          </w:p>
        </w:tc>
      </w:tr>
      <w:tr>
        <w:tc>
          <w:tcPr>
            <w:tcW w:type="dxa" w:w="2600"/>
            <w:shd w:fill="FFFFFF"/>
          </w:tcPr>
          <w:p>
            <w:r>
              <w:rPr>
                <w:rFonts w:ascii="Arial" w:hAnsi="Arial"/>
                <w:b/>
                <w:i w:val="0"/>
                <w:color w:val="0000A0"/>
                <w:sz w:val="17"/>
              </w:rPr>
              <w:t>Operational data</w:t>
            </w:r>
          </w:p>
        </w:tc>
        <w:tc>
          <w:tcPr>
            <w:tcW w:type="dxa" w:w="6760"/>
            <w:shd w:fill="FFFFFF"/>
          </w:tcPr>
          <w:p>
            <w:r>
              <w:rPr>
                <w:rFonts w:ascii="Arial" w:hAnsi="Arial"/>
                <w:b w:val="0"/>
                <w:i w:val="0"/>
                <w:color w:val="3C3C3C"/>
                <w:sz w:val="17"/>
              </w:rPr>
              <w:t>Firestore or Cloud SQL for control definitions, assignments, periods, certifications and report views.</w:t>
            </w:r>
          </w:p>
        </w:tc>
      </w:tr>
      <w:tr>
        <w:tc>
          <w:tcPr>
            <w:tcW w:type="dxa" w:w="2600"/>
            <w:shd w:fill="F7F4F1"/>
          </w:tcPr>
          <w:p>
            <w:r>
              <w:rPr>
                <w:rFonts w:ascii="Arial" w:hAnsi="Arial"/>
                <w:b/>
                <w:i w:val="0"/>
                <w:color w:val="0000A0"/>
                <w:sz w:val="17"/>
              </w:rPr>
              <w:t>Evidence &amp; DTP</w:t>
            </w:r>
          </w:p>
        </w:tc>
        <w:tc>
          <w:tcPr>
            <w:tcW w:type="dxa" w:w="6760"/>
            <w:shd w:fill="F7F4F1"/>
          </w:tcPr>
          <w:p>
            <w:r>
              <w:rPr>
                <w:rFonts w:ascii="Arial" w:hAnsi="Arial"/>
                <w:b w:val="0"/>
                <w:i w:val="0"/>
                <w:color w:val="3C3C3C"/>
                <w:sz w:val="17"/>
              </w:rPr>
              <w:t>GCP Cloud Storage with restricted paths, retention policy, malware scanning and metadata in the application database.</w:t>
            </w:r>
          </w:p>
        </w:tc>
      </w:tr>
      <w:tr>
        <w:tc>
          <w:tcPr>
            <w:tcW w:type="dxa" w:w="2600"/>
            <w:shd w:fill="FFFFFF"/>
          </w:tcPr>
          <w:p>
            <w:r>
              <w:rPr>
                <w:rFonts w:ascii="Arial" w:hAnsi="Arial"/>
                <w:b/>
                <w:i w:val="0"/>
                <w:color w:val="0000A0"/>
                <w:sz w:val="17"/>
              </w:rPr>
              <w:t>Automation</w:t>
            </w:r>
          </w:p>
        </w:tc>
        <w:tc>
          <w:tcPr>
            <w:tcW w:type="dxa" w:w="6760"/>
            <w:shd w:fill="FFFFFF"/>
          </w:tcPr>
          <w:p>
            <w:r>
              <w:rPr>
                <w:rFonts w:ascii="Arial" w:hAnsi="Arial"/>
                <w:b w:val="0"/>
                <w:i w:val="0"/>
                <w:color w:val="3C3C3C"/>
                <w:sz w:val="17"/>
              </w:rPr>
              <w:t>Cloud Run/Functions plus approved email integration for reminders, escalation and export generation.</w:t>
            </w:r>
          </w:p>
        </w:tc>
      </w:tr>
      <w:tr>
        <w:tc>
          <w:tcPr>
            <w:tcW w:type="dxa" w:w="2600"/>
            <w:shd w:fill="F7F4F1"/>
          </w:tcPr>
          <w:p>
            <w:r>
              <w:rPr>
                <w:rFonts w:ascii="Arial" w:hAnsi="Arial"/>
                <w:b/>
                <w:i w:val="0"/>
                <w:color w:val="0000A0"/>
                <w:sz w:val="17"/>
              </w:rPr>
              <w:t>Auditability</w:t>
            </w:r>
          </w:p>
        </w:tc>
        <w:tc>
          <w:tcPr>
            <w:tcW w:type="dxa" w:w="6760"/>
            <w:shd w:fill="F7F4F1"/>
          </w:tcPr>
          <w:p>
            <w:r>
              <w:rPr>
                <w:rFonts w:ascii="Arial" w:hAnsi="Arial"/>
                <w:b w:val="0"/>
                <w:i w:val="0"/>
                <w:color w:val="3C3C3C"/>
                <w:sz w:val="17"/>
              </w:rPr>
              <w:t>Append-only event log for assignment, requirement, evidence and certification changes.</w:t>
            </w:r>
          </w:p>
        </w:tc>
      </w:tr>
    </w:tbl>
    <w:p>
      <w:pPr>
        <w:pStyle w:val="Heading2"/>
        <w:keepNext/>
      </w:pPr>
      <w:r>
        <w:t>MVP-to-enterprise transition</w:t>
      </w:r>
    </w:p>
    <w:p>
      <w:pPr>
        <w:pStyle w:val="ListBullet"/>
      </w:pPr>
      <w:r>
        <w:rPr>
          <w:rFonts w:ascii="Arial" w:hAnsi="Arial"/>
          <w:b w:val="0"/>
          <w:i w:val="0"/>
          <w:color w:val="3C3C3C"/>
          <w:sz w:val="22"/>
        </w:rPr>
        <w:t>Replace browser localStorage with authenticated APIs and an enterprise datastore.</w:t>
      </w:r>
    </w:p>
    <w:p>
      <w:pPr>
        <w:pStyle w:val="ListBullet"/>
      </w:pPr>
      <w:r>
        <w:rPr>
          <w:rFonts w:ascii="Arial" w:hAnsi="Arial"/>
          <w:b w:val="0"/>
          <w:i w:val="0"/>
          <w:color w:val="3C3C3C"/>
          <w:sz w:val="22"/>
        </w:rPr>
        <w:t>Move document uploads to restricted Cloud Storage and record evidence metadata and version history.</w:t>
      </w:r>
    </w:p>
    <w:p>
      <w:pPr>
        <w:pStyle w:val="ListBullet"/>
      </w:pPr>
      <w:r>
        <w:rPr>
          <w:rFonts w:ascii="Arial" w:hAnsi="Arial"/>
          <w:b w:val="0"/>
          <w:i w:val="0"/>
          <w:color w:val="3C3C3C"/>
          <w:sz w:val="22"/>
        </w:rPr>
        <w:t>Connect Microsoft Entra ID; derive the Control Owner queue from the signed-in identity.</w:t>
      </w:r>
    </w:p>
    <w:p>
      <w:pPr>
        <w:pStyle w:val="ListBullet"/>
      </w:pPr>
      <w:r>
        <w:rPr>
          <w:rFonts w:ascii="Arial" w:hAnsi="Arial"/>
          <w:b w:val="0"/>
          <w:i w:val="0"/>
          <w:color w:val="3C3C3C"/>
          <w:sz w:val="22"/>
        </w:rPr>
        <w:t>Send approved email reminders through an enterprise integration and record delivery events.</w:t>
      </w:r>
    </w:p>
    <w:p>
      <w:pPr>
        <w:pStyle w:val="ListBullet"/>
      </w:pPr>
      <w:r>
        <w:rPr>
          <w:rFonts w:ascii="Arial" w:hAnsi="Arial"/>
          <w:b w:val="0"/>
          <w:i w:val="0"/>
          <w:color w:val="3C3C3C"/>
          <w:sz w:val="22"/>
        </w:rPr>
        <w:t>Add audit logging, retention, access review and data-classification controls before production use.</w:t>
      </w:r>
    </w:p>
    <w:p>
      <w:r>
        <w:br w:type="page"/>
      </w:r>
    </w:p>
    <w:p>
      <w:pPr>
        <w:pStyle w:val="Heading1"/>
        <w:keepNext/>
      </w:pPr>
      <w:r>
        <w:t>6. User-testing checklist</w:t>
      </w:r>
    </w:p>
    <w:p>
      <w:r>
        <w:rPr>
          <w:rFonts w:ascii="Arial" w:hAnsi="Arial"/>
          <w:b w:val="0"/>
          <w:i w:val="0"/>
          <w:color w:val="3C3C3C"/>
          <w:sz w:val="22"/>
        </w:rPr>
        <w:t>Use this checklist during Europe inventory-control testing. Feedback should focus on the workflow language and information needed to complete real work, while remembering that the application is intended to scale beyond the pilot.</w:t>
      </w:r>
    </w:p>
    <w:tbl>
      <w:tblPr>
        <w:tblW w:type="dxa" w:w="9360"/>
        <w:jc w:val="left"/>
        <w:tblLayout w:type="fixed"/>
        <w:tblLook w:firstColumn="1" w:firstRow="1" w:lastColumn="0" w:lastRow="0" w:noHBand="0" w:noVBand="1" w:val="04A0"/>
        <w:tblInd w:w="120" w:type="dxa"/>
      </w:tblPr>
      <w:tblGrid>
        <w:gridCol w:w="2200"/>
        <w:gridCol w:w="7160"/>
      </w:tblGrid>
      <w:tr>
        <w:trPr>
          <w:tblHeader/>
        </w:trPr>
        <w:tc>
          <w:tcPr>
            <w:tcW w:type="dxa" w:w="2200"/>
            <w:tcMar>
              <w:top w:w="80" w:type="dxa"/>
              <w:start w:w="120" w:type="dxa"/>
              <w:bottom w:w="80" w:type="dxa"/>
              <w:end w:w="120" w:type="dxa"/>
            </w:tcMar>
            <w:vAlign w:val="center"/>
            <w:shd w:fill="62BB46"/>
          </w:tcPr>
          <w:p>
            <w:r>
              <w:rPr>
                <w:rFonts w:ascii="Arial" w:hAnsi="Arial"/>
                <w:b/>
                <w:i w:val="0"/>
                <w:color w:val="153B0C"/>
                <w:sz w:val="18"/>
              </w:rPr>
              <w:t>Test area</w:t>
            </w:r>
          </w:p>
        </w:tc>
        <w:tc>
          <w:tcPr>
            <w:tcW w:type="dxa" w:w="7160"/>
            <w:tcMar>
              <w:top w:w="80" w:type="dxa"/>
              <w:start w:w="120" w:type="dxa"/>
              <w:bottom w:w="80" w:type="dxa"/>
              <w:end w:w="120" w:type="dxa"/>
            </w:tcMar>
            <w:vAlign w:val="center"/>
            <w:shd w:fill="62BB46"/>
          </w:tcPr>
          <w:p>
            <w:r>
              <w:rPr>
                <w:rFonts w:ascii="Arial" w:hAnsi="Arial"/>
                <w:b/>
                <w:i w:val="0"/>
                <w:color w:val="153B0C"/>
                <w:sz w:val="18"/>
              </w:rPr>
              <w:t>Question for the user</w:t>
            </w:r>
          </w:p>
        </w:tc>
      </w:tr>
      <w:tr>
        <w:tc>
          <w:tcPr>
            <w:tcW w:type="dxa" w:w="2200"/>
            <w:shd w:fill="F1F8ED"/>
          </w:tcPr>
          <w:p>
            <w:r>
              <w:rPr>
                <w:rFonts w:ascii="Arial" w:hAnsi="Arial"/>
                <w:b/>
                <w:i w:val="0"/>
                <w:color w:val="0000A0"/>
                <w:sz w:val="18"/>
              </w:rPr>
              <w:t>Role clarity</w:t>
            </w:r>
          </w:p>
        </w:tc>
        <w:tc>
          <w:tcPr>
            <w:tcW w:type="dxa" w:w="7160"/>
            <w:shd w:fill="F1F8ED"/>
          </w:tcPr>
          <w:p>
            <w:r>
              <w:rPr>
                <w:rFonts w:ascii="Arial" w:hAnsi="Arial"/>
                <w:b w:val="0"/>
                <w:i w:val="0"/>
                <w:color w:val="3C3C3C"/>
                <w:sz w:val="18"/>
              </w:rPr>
              <w:t>Can a Controller Admin and Control Owner immediately tell where to start and what they are accountable for?</w:t>
            </w:r>
          </w:p>
        </w:tc>
      </w:tr>
      <w:tr>
        <w:tc>
          <w:tcPr>
            <w:tcW w:type="dxa" w:w="2200"/>
            <w:shd w:fill="FFFFFF"/>
          </w:tcPr>
          <w:p>
            <w:r>
              <w:rPr>
                <w:rFonts w:ascii="Arial" w:hAnsi="Arial"/>
                <w:b/>
                <w:i w:val="0"/>
                <w:color w:val="0000A0"/>
                <w:sz w:val="18"/>
              </w:rPr>
              <w:t>Control setup</w:t>
            </w:r>
          </w:p>
        </w:tc>
        <w:tc>
          <w:tcPr>
            <w:tcW w:type="dxa" w:w="7160"/>
            <w:shd w:fill="FFFFFF"/>
          </w:tcPr>
          <w:p>
            <w:r>
              <w:rPr>
                <w:rFonts w:ascii="Arial" w:hAnsi="Arial"/>
                <w:b w:val="0"/>
                <w:i w:val="0"/>
                <w:color w:val="3C3C3C"/>
                <w:sz w:val="18"/>
              </w:rPr>
              <w:t>Can the admin understand and configure evidence rules, instructions, DTP, owner and due date?</w:t>
            </w:r>
          </w:p>
        </w:tc>
      </w:tr>
      <w:tr>
        <w:tc>
          <w:tcPr>
            <w:tcW w:type="dxa" w:w="2200"/>
            <w:shd w:fill="F1F8ED"/>
          </w:tcPr>
          <w:p>
            <w:r>
              <w:rPr>
                <w:rFonts w:ascii="Arial" w:hAnsi="Arial"/>
                <w:b/>
                <w:i w:val="0"/>
                <w:color w:val="0000A0"/>
                <w:sz w:val="18"/>
              </w:rPr>
              <w:t>Execution</w:t>
            </w:r>
          </w:p>
        </w:tc>
        <w:tc>
          <w:tcPr>
            <w:tcW w:type="dxa" w:w="7160"/>
            <w:shd w:fill="F1F8ED"/>
          </w:tcPr>
          <w:p>
            <w:r>
              <w:rPr>
                <w:rFonts w:ascii="Arial" w:hAnsi="Arial"/>
                <w:b w:val="0"/>
                <w:i w:val="0"/>
                <w:color w:val="3C3C3C"/>
                <w:sz w:val="18"/>
              </w:rPr>
              <w:t>Can the owner accept, understand, perform, upload and certify without outside explanation?</w:t>
            </w:r>
          </w:p>
        </w:tc>
      </w:tr>
      <w:tr>
        <w:tc>
          <w:tcPr>
            <w:tcW w:type="dxa" w:w="2200"/>
            <w:shd w:fill="FFFFFF"/>
          </w:tcPr>
          <w:p>
            <w:r>
              <w:rPr>
                <w:rFonts w:ascii="Arial" w:hAnsi="Arial"/>
                <w:b/>
                <w:i w:val="0"/>
                <w:color w:val="0000A0"/>
                <w:sz w:val="18"/>
              </w:rPr>
              <w:t>Exceptions</w:t>
            </w:r>
          </w:p>
        </w:tc>
        <w:tc>
          <w:tcPr>
            <w:tcW w:type="dxa" w:w="7160"/>
            <w:shd w:fill="FFFFFF"/>
          </w:tcPr>
          <w:p>
            <w:r>
              <w:rPr>
                <w:rFonts w:ascii="Arial" w:hAnsi="Arial"/>
                <w:b w:val="0"/>
                <w:i w:val="0"/>
                <w:color w:val="3C3C3C"/>
                <w:sz w:val="18"/>
              </w:rPr>
              <w:t>Are missing ownership, evidence, DTP and deadlines visible early enough to act?</w:t>
            </w:r>
          </w:p>
        </w:tc>
      </w:tr>
      <w:tr>
        <w:tc>
          <w:tcPr>
            <w:tcW w:type="dxa" w:w="2200"/>
            <w:shd w:fill="F1F8ED"/>
          </w:tcPr>
          <w:p>
            <w:r>
              <w:rPr>
                <w:rFonts w:ascii="Arial" w:hAnsi="Arial"/>
                <w:b/>
                <w:i w:val="0"/>
                <w:color w:val="0000A0"/>
                <w:sz w:val="18"/>
              </w:rPr>
              <w:t>Reporting</w:t>
            </w:r>
          </w:p>
        </w:tc>
        <w:tc>
          <w:tcPr>
            <w:tcW w:type="dxa" w:w="7160"/>
            <w:shd w:fill="F1F8ED"/>
          </w:tcPr>
          <w:p>
            <w:r>
              <w:rPr>
                <w:rFonts w:ascii="Arial" w:hAnsi="Arial"/>
                <w:b w:val="0"/>
                <w:i w:val="0"/>
                <w:color w:val="3C3C3C"/>
                <w:sz w:val="18"/>
              </w:rPr>
              <w:t>Do Leadership, Site owner and Controller views answer the decisions those audiences make?</w:t>
            </w:r>
          </w:p>
        </w:tc>
      </w:tr>
      <w:tr>
        <w:tc>
          <w:tcPr>
            <w:tcW w:type="dxa" w:w="2200"/>
            <w:shd w:fill="FFFFFF"/>
          </w:tcPr>
          <w:p>
            <w:r>
              <w:rPr>
                <w:rFonts w:ascii="Arial" w:hAnsi="Arial"/>
                <w:b/>
                <w:i w:val="0"/>
                <w:color w:val="0000A0"/>
                <w:sz w:val="18"/>
              </w:rPr>
              <w:t>Terminology</w:t>
            </w:r>
          </w:p>
        </w:tc>
        <w:tc>
          <w:tcPr>
            <w:tcW w:type="dxa" w:w="7160"/>
            <w:shd w:fill="FFFFFF"/>
          </w:tcPr>
          <w:p>
            <w:r>
              <w:rPr>
                <w:rFonts w:ascii="Arial" w:hAnsi="Arial"/>
                <w:b w:val="0"/>
                <w:i w:val="0"/>
                <w:color w:val="3C3C3C"/>
                <w:sz w:val="18"/>
              </w:rPr>
              <w:t>Are ICE, Control Owner, evidence, certification and DTP used consistently and understood?</w:t>
            </w:r>
          </w:p>
        </w:tc>
      </w:tr>
      <w:tr>
        <w:tc>
          <w:tcPr>
            <w:tcW w:type="dxa" w:w="2200"/>
            <w:shd w:fill="F1F8ED"/>
          </w:tcPr>
          <w:p>
            <w:r>
              <w:rPr>
                <w:rFonts w:ascii="Arial" w:hAnsi="Arial"/>
                <w:b/>
                <w:i w:val="0"/>
                <w:color w:val="0000A0"/>
                <w:sz w:val="18"/>
              </w:rPr>
              <w:t>Scale</w:t>
            </w:r>
          </w:p>
        </w:tc>
        <w:tc>
          <w:tcPr>
            <w:tcW w:type="dxa" w:w="7160"/>
            <w:shd w:fill="F1F8ED"/>
          </w:tcPr>
          <w:p>
            <w:r>
              <w:rPr>
                <w:rFonts w:ascii="Arial" w:hAnsi="Arial"/>
                <w:b w:val="0"/>
                <w:i w:val="0"/>
                <w:color w:val="3C3C3C"/>
                <w:sz w:val="18"/>
              </w:rPr>
              <w:t>Would the same structure work for another region, process or control framework without redesigning the app?</w:t>
            </w:r>
          </w:p>
        </w:tc>
      </w:tr>
    </w:tbl>
    <w:tbl>
      <w:tblPr>
        <w:tblW w:type="dxa" w:w="9360"/>
        <w:jc w:val="left"/>
        <w:tblLayout w:type="fixed"/>
        <w:tblLook w:firstColumn="1" w:firstRow="1" w:lastColumn="0" w:lastRow="0" w:noHBand="0" w:noVBand="1" w:val="04A0"/>
        <w:tblInd w:w="120" w:type="dxa"/>
      </w:tblPr>
      <w:tblGrid>
        <w:gridCol w:w="9360"/>
      </w:tblGrid>
      <w:tr>
        <w:trPr>
          <w:tblHeader/>
        </w:trPr>
        <w:tc>
          <w:tcPr>
            <w:tcW w:type="dxa" w:w="9360"/>
            <w:tcMar>
              <w:top w:w="80" w:type="dxa"/>
              <w:start w:w="120" w:type="dxa"/>
              <w:bottom w:w="80" w:type="dxa"/>
              <w:end w:w="120" w:type="dxa"/>
            </w:tcMar>
            <w:vAlign w:val="center"/>
            <w:shd w:fill="FFF3E8"/>
          </w:tcPr>
          <w:p>
            <w:pPr>
              <w:spacing w:after="60"/>
            </w:pPr>
            <w:r>
              <w:rPr>
                <w:rFonts w:ascii="Arial" w:hAnsi="Arial"/>
                <w:b/>
                <w:i w:val="0"/>
                <w:color w:val="EB6916"/>
                <w:sz w:val="16"/>
              </w:rPr>
              <w:t>SUCCESS</w:t>
            </w:r>
          </w:p>
          <w:p>
            <w:pPr>
              <w:spacing w:after="80"/>
            </w:pPr>
            <w:r>
              <w:rPr>
                <w:rFonts w:ascii="Arial" w:hAnsi="Arial"/>
                <w:b/>
                <w:i w:val="0"/>
                <w:color w:val="0000A0"/>
                <w:sz w:val="26"/>
              </w:rPr>
              <w:t>The test is working when users focus on controls, not navigation</w:t>
            </w:r>
          </w:p>
          <w:p>
            <w:pPr>
              <w:spacing w:after="0"/>
            </w:pPr>
            <w:r>
              <w:rPr>
                <w:rFonts w:ascii="Arial" w:hAnsi="Arial"/>
                <w:b w:val="0"/>
                <w:i w:val="0"/>
                <w:color w:val="3C3C3C"/>
                <w:sz w:val="20"/>
              </w:rPr>
              <w:t>The strongest signal is that each role can complete its own job, understands how work passes to the other role, and trusts what the dashboards are telling them.</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766F69"/>
        <w:sz w:val="16"/>
      </w:rPr>
      <w:t xml:space="preserve">Mars Food &amp; Nutrition  •  Internal MVP guide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i w:val="0"/>
        <w:color w:val="766F69"/>
        <w:sz w:val="16"/>
      </w:rPr>
      <w:t>ICEbreaker 101  |  Digitalized Controls Hub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Arial" w:hAnsi="Arial"/>
      <w:color w:val="3C3C3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b/>
      <w:bCs/>
      <w:color w:val="0000A0"/>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b/>
      <w:bCs/>
      <w:color w:val="0000A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9738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