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shd w:fill="0000A0"/>
      </w:pPr>
      <w:r>
        <w:drawing>
          <wp:inline xmlns:a="http://schemas.openxmlformats.org/drawingml/2006/main" xmlns:pic="http://schemas.openxmlformats.org/drawingml/2006/picture">
            <wp:extent cx="2331720" cy="407596"/>
            <wp:docPr id="1" name="Picture 1"/>
            <wp:cNvGraphicFramePr>
              <a:graphicFrameLocks noChangeAspect="1"/>
            </wp:cNvGraphicFramePr>
            <a:graphic>
              <a:graphicData uri="http://schemas.openxmlformats.org/drawingml/2006/picture">
                <pic:pic>
                  <pic:nvPicPr>
                    <pic:cNvPr id="0" name="better-food-text.png"/>
                    <pic:cNvPicPr/>
                  </pic:nvPicPr>
                  <pic:blipFill>
                    <a:blip r:embed="rId11"/>
                    <a:stretch>
                      <a:fillRect/>
                    </a:stretch>
                  </pic:blipFill>
                  <pic:spPr>
                    <a:xfrm>
                      <a:off x="0" y="0"/>
                      <a:ext cx="2331720" cy="407596"/>
                    </a:xfrm>
                    <a:prstGeom prst="rect"/>
                  </pic:spPr>
                </pic:pic>
              </a:graphicData>
            </a:graphic>
          </wp:inline>
        </w:drawing>
      </w:r>
    </w:p>
    <w:p>
      <w:pPr>
        <w:spacing w:after="40"/>
      </w:pPr>
      <w:r>
        <w:rPr>
          <w:rFonts w:ascii="Arial" w:hAnsi="Arial"/>
          <w:b/>
          <w:i w:val="0"/>
          <w:color w:val="19738D"/>
          <w:sz w:val="17"/>
        </w:rPr>
        <w:t>TODAY, WE'RE LISTENING TO CONSUMERS</w:t>
      </w:r>
    </w:p>
    <w:p>
      <w:pPr>
        <w:spacing w:after="40" w:line="228" w:lineRule="auto"/>
      </w:pPr>
      <w:r>
        <w:rPr>
          <w:rFonts w:ascii="Arial" w:hAnsi="Arial"/>
          <w:b/>
          <w:i w:val="0"/>
          <w:color w:val="0000A0"/>
          <w:sz w:val="41"/>
        </w:rPr>
        <w:t>Kevin's Natural Foods Beef HMR Review Analysis</w:t>
      </w:r>
    </w:p>
    <w:p>
      <w:pPr>
        <w:spacing w:after="140"/>
      </w:pPr>
      <w:r>
        <w:rPr>
          <w:rFonts w:ascii="Arial" w:hAnsi="Arial"/>
          <w:b w:val="0"/>
          <w:i w:val="0"/>
          <w:color w:val="68625E"/>
          <w:sz w:val="21"/>
        </w:rPr>
        <w:t>Expanded evidence, collection effects, and decision implications</w:t>
      </w:r>
    </w:p>
    <w:p>
      <w:pPr>
        <w:spacing w:before="0" w:after="140" w:line="247" w:lineRule="auto"/>
        <w:ind w:left="173" w:right="173"/>
        <w:shd w:fill="FFF3E8"/>
        <w:pBdr>
          <w:left w:val="single" w:sz="20" w:space="8" w:color="EB6916"/>
        </w:pBdr>
      </w:pPr>
      <w:r>
        <w:rPr>
          <w:rFonts w:ascii="Arial" w:hAnsi="Arial"/>
          <w:b/>
          <w:i w:val="0"/>
          <w:color w:val="0000A0"/>
          <w:sz w:val="18"/>
        </w:rPr>
        <w:t xml:space="preserve">BOTTOM LINE  </w:t>
      </w:r>
      <w:r>
        <w:rPr>
          <w:rFonts w:ascii="Arial" w:hAnsi="Arial"/>
          <w:b/>
          <w:i w:val="0"/>
          <w:color w:val="0000A0"/>
          <w:sz w:val="18"/>
        </w:rPr>
        <w:t>The expanded evidence continues to validate a recent decline while improving retailer coverage. The archive now includes Walmart's complete public written set for Honey Garlic and the latest Target reviews; 2023 volume and exceptional ratings still reflect a substantial invitation-and-reward collection effect.</w:t>
      </w:r>
    </w:p>
    <w:tbl>
      <w:tblPr>
        <w:tblW w:type="dxa" w:w="9360"/>
        <w:jc w:val="left"/>
        <w:tblLayout w:type="fixed"/>
        <w:tblLook w:firstColumn="1" w:firstRow="1" w:lastColumn="0" w:lastRow="0" w:noHBand="0" w:noVBand="1" w:val="04A0"/>
        <w:tblInd w:w="120" w:type="dxa"/>
        <w:tblBorders>
          <w:top w:val="single" w:sz="4" w:color="DED7D0"/>
          <w:left w:val="single" w:sz="4" w:color="DED7D0"/>
          <w:bottom w:val="single" w:sz="4" w:color="DED7D0"/>
          <w:right w:val="single" w:sz="4" w:color="DED7D0"/>
          <w:insideH w:val="single" w:sz="4" w:color="DED7D0"/>
          <w:insideV w:val="single" w:sz="4" w:color="DED7D0"/>
        </w:tblBorders>
      </w:tblPr>
      <w:tblGrid>
        <w:gridCol w:w="2340"/>
        <w:gridCol w:w="2340"/>
        <w:gridCol w:w="2340"/>
        <w:gridCol w:w="2340"/>
      </w:tblGrid>
      <w:tr>
        <w:trPr>
          <w:tblHeader w:val="true"/>
        </w:trPr>
        <w:tc>
          <w:tcPr>
            <w:tcW w:type="dxa" w:w="2340"/>
            <w:tcMar>
              <w:top w:w="90" w:type="dxa"/>
              <w:start w:w="110" w:type="dxa"/>
              <w:bottom w:w="90" w:type="dxa"/>
              <w:end w:w="110" w:type="dxa"/>
            </w:tcMar>
            <w:vAlign w:val="center"/>
            <w:shd w:fill="FFF8F1"/>
          </w:tcPr>
          <w:p>
            <w:pPr>
              <w:spacing w:after="20"/>
              <w:jc w:val="center"/>
            </w:pPr>
            <w:r>
              <w:rPr>
                <w:rFonts w:ascii="Arial" w:hAnsi="Arial"/>
                <w:b/>
                <w:i w:val="0"/>
                <w:color w:val="0000A0"/>
                <w:sz w:val="26"/>
              </w:rPr>
              <w:t>3.16 to 2.47</w:t>
            </w:r>
          </w:p>
          <w:p>
            <w:pPr>
              <w:spacing w:after="0"/>
              <w:jc w:val="center"/>
            </w:pPr>
            <w:r>
              <w:rPr>
                <w:rFonts w:ascii="Arial" w:hAnsi="Arial"/>
                <w:b/>
                <w:i w:val="0"/>
                <w:color w:val="68625E"/>
                <w:sz w:val="13"/>
              </w:rPr>
              <w:t>AVERAGE RATING</w:t>
            </w:r>
          </w:p>
          <w:p>
            <w:pPr>
              <w:spacing w:after="0"/>
              <w:jc w:val="center"/>
            </w:pPr>
            <w:r>
              <w:rPr>
                <w:rFonts w:ascii="Arial" w:hAnsi="Arial"/>
                <w:b w:val="0"/>
                <w:i w:val="0"/>
                <w:color w:val="68625E"/>
                <w:sz w:val="14"/>
              </w:rPr>
              <w:t>-0.69 stars</w:t>
            </w:r>
          </w:p>
        </w:tc>
        <w:tc>
          <w:tcPr>
            <w:tcW w:type="dxa" w:w="2340"/>
            <w:tcMar>
              <w:top w:w="90" w:type="dxa"/>
              <w:start w:w="110" w:type="dxa"/>
              <w:bottom w:w="90" w:type="dxa"/>
              <w:end w:w="110" w:type="dxa"/>
            </w:tcMar>
            <w:vAlign w:val="center"/>
            <w:shd w:fill="FFF8D8"/>
          </w:tcPr>
          <w:p>
            <w:pPr>
              <w:spacing w:after="20"/>
              <w:jc w:val="center"/>
            </w:pPr>
            <w:r>
              <w:rPr>
                <w:rFonts w:ascii="Arial" w:hAnsi="Arial"/>
                <w:b/>
                <w:i w:val="0"/>
                <w:color w:val="EB6916"/>
                <w:sz w:val="26"/>
              </w:rPr>
              <w:t>45.2% to 61.0%</w:t>
            </w:r>
          </w:p>
          <w:p>
            <w:pPr>
              <w:spacing w:after="0"/>
              <w:jc w:val="center"/>
            </w:pPr>
            <w:r>
              <w:rPr>
                <w:rFonts w:ascii="Arial" w:hAnsi="Arial"/>
                <w:b/>
                <w:i w:val="0"/>
                <w:color w:val="68625E"/>
                <w:sz w:val="13"/>
              </w:rPr>
              <w:t>1-2 STAR SHARE</w:t>
            </w:r>
          </w:p>
          <w:p>
            <w:pPr>
              <w:spacing w:after="0"/>
              <w:jc w:val="center"/>
            </w:pPr>
            <w:r>
              <w:rPr>
                <w:rFonts w:ascii="Arial" w:hAnsi="Arial"/>
                <w:b w:val="0"/>
                <w:i w:val="0"/>
                <w:color w:val="68625E"/>
                <w:sz w:val="14"/>
              </w:rPr>
              <w:t>+15.8 pts</w:t>
            </w:r>
          </w:p>
        </w:tc>
        <w:tc>
          <w:tcPr>
            <w:tcW w:type="dxa" w:w="2340"/>
            <w:tcMar>
              <w:top w:w="90" w:type="dxa"/>
              <w:start w:w="110" w:type="dxa"/>
              <w:bottom w:w="90" w:type="dxa"/>
              <w:end w:w="110" w:type="dxa"/>
            </w:tcMar>
            <w:vAlign w:val="center"/>
            <w:shd w:fill="FFF8F1"/>
          </w:tcPr>
          <w:p>
            <w:pPr>
              <w:spacing w:after="20"/>
              <w:jc w:val="center"/>
            </w:pPr>
            <w:r>
              <w:rPr>
                <w:rFonts w:ascii="Arial" w:hAnsi="Arial"/>
                <w:b/>
                <w:i w:val="0"/>
                <w:color w:val="0000A0"/>
                <w:sz w:val="26"/>
              </w:rPr>
              <w:t>34.4% to 37.0%</w:t>
            </w:r>
          </w:p>
          <w:p>
            <w:pPr>
              <w:spacing w:after="0"/>
              <w:jc w:val="center"/>
            </w:pPr>
            <w:r>
              <w:rPr>
                <w:rFonts w:ascii="Arial" w:hAnsi="Arial"/>
                <w:b/>
                <w:i w:val="0"/>
                <w:color w:val="68625E"/>
                <w:sz w:val="13"/>
              </w:rPr>
              <w:t>TEXTURE MENTIONS</w:t>
            </w:r>
          </w:p>
          <w:p>
            <w:pPr>
              <w:spacing w:after="0"/>
              <w:jc w:val="center"/>
            </w:pPr>
            <w:r>
              <w:rPr>
                <w:rFonts w:ascii="Arial" w:hAnsi="Arial"/>
                <w:b w:val="0"/>
                <w:i w:val="0"/>
                <w:color w:val="68625E"/>
                <w:sz w:val="14"/>
              </w:rPr>
              <w:t>+2.6 pts</w:t>
            </w:r>
          </w:p>
        </w:tc>
        <w:tc>
          <w:tcPr>
            <w:tcW w:type="dxa" w:w="2340"/>
            <w:tcMar>
              <w:top w:w="90" w:type="dxa"/>
              <w:start w:w="110" w:type="dxa"/>
              <w:bottom w:w="90" w:type="dxa"/>
              <w:end w:w="110" w:type="dxa"/>
            </w:tcMar>
            <w:vAlign w:val="center"/>
            <w:shd w:fill="FFF8F1"/>
          </w:tcPr>
          <w:p>
            <w:pPr>
              <w:spacing w:after="20"/>
              <w:jc w:val="center"/>
            </w:pPr>
            <w:r>
              <w:rPr>
                <w:rFonts w:ascii="Arial" w:hAnsi="Arial"/>
                <w:b/>
                <w:i w:val="0"/>
                <w:color w:val="0000A0"/>
                <w:sz w:val="26"/>
              </w:rPr>
              <w:t>247</w:t>
            </w:r>
          </w:p>
          <w:p>
            <w:pPr>
              <w:spacing w:after="0"/>
              <w:jc w:val="center"/>
            </w:pPr>
            <w:r>
              <w:rPr>
                <w:rFonts w:ascii="Arial" w:hAnsi="Arial"/>
                <w:b/>
                <w:i w:val="0"/>
                <w:color w:val="68625E"/>
                <w:sz w:val="13"/>
              </w:rPr>
              <w:t>TREND-WINDOW REVIEWS</w:t>
            </w:r>
          </w:p>
          <w:p>
            <w:pPr>
              <w:spacing w:after="0"/>
              <w:jc w:val="center"/>
            </w:pPr>
            <w:r>
              <w:rPr>
                <w:rFonts w:ascii="Arial" w:hAnsi="Arial"/>
                <w:b w:val="0"/>
                <w:i w:val="0"/>
                <w:color w:val="68625E"/>
                <w:sz w:val="14"/>
              </w:rPr>
              <w:t>638 eligible archive</w:t>
            </w:r>
          </w:p>
        </w:tc>
      </w:tr>
    </w:tbl>
    <w:p>
      <w:pPr>
        <w:pStyle w:val="Heading1"/>
      </w:pPr>
      <w:r>
        <w:t>Business challenge</w:t>
      </w:r>
    </w:p>
    <w:p>
      <w:pPr>
        <w:spacing w:after="60"/>
      </w:pPr>
      <w:r>
        <w:rPr>
          <w:rFonts w:ascii="Arial" w:hAnsi="Arial"/>
          <w:b w:val="0"/>
          <w:i w:val="0"/>
          <w:color w:val="3C3C3C"/>
          <w:sz w:val="18"/>
        </w:rPr>
        <w:t xml:space="preserve">Determine whether consumer feedback validates the recent beef HMR performance decline, identify the products and complaints driving the signal, and distinguish true performance movement from changes in how reviews were collected. </w:t>
      </w:r>
      <w:r>
        <w:rPr>
          <w:rFonts w:ascii="Arial" w:hAnsi="Arial"/>
          <w:b/>
          <w:i w:val="0"/>
          <w:color w:val="3C3C3C"/>
          <w:sz w:val="18"/>
        </w:rPr>
        <w:t>Scope remains restricted to the eight products specified in the original request.</w:t>
      </w:r>
    </w:p>
    <w:p>
      <w:pPr>
        <w:pStyle w:val="Heading1"/>
      </w:pPr>
      <w:r>
        <w:t>What the evidence shows</w:t>
      </w:r>
    </w:p>
    <w:p>
      <w:pPr>
        <w:spacing w:after="40" w:line="240" w:lineRule="auto"/>
        <w:ind w:left="144"/>
        <w:shd w:fill="FFF8F1"/>
        <w:pBdr>
          <w:left w:val="single" w:sz="20" w:space="8" w:color="62BB46"/>
        </w:pBdr>
      </w:pPr>
      <w:r>
        <w:rPr>
          <w:rFonts w:ascii="Arial" w:hAnsi="Arial"/>
          <w:b/>
          <w:i w:val="0"/>
          <w:color w:val="0000A0"/>
          <w:sz w:val="16"/>
        </w:rPr>
        <w:t xml:space="preserve">Mongolian Style Beef  </w:t>
      </w:r>
      <w:r>
        <w:rPr>
          <w:rFonts w:ascii="Arial" w:hAnsi="Arial"/>
          <w:b/>
          <w:i w:val="0"/>
          <w:color w:val="3C3C3C"/>
          <w:sz w:val="16"/>
        </w:rPr>
        <w:t xml:space="preserve">4.00 -&gt; 2.59  </w:t>
      </w:r>
      <w:r>
        <w:rPr>
          <w:rFonts w:ascii="Arial" w:hAnsi="Arial"/>
          <w:b/>
          <w:i w:val="0"/>
          <w:color w:val="EB6916"/>
          <w:sz w:val="16"/>
        </w:rPr>
        <w:t xml:space="preserve">(-1.41)  </w:t>
      </w:r>
      <w:r>
        <w:rPr>
          <w:rFonts w:ascii="Arial" w:hAnsi="Arial"/>
          <w:b w:val="0"/>
          <w:i w:val="0"/>
          <w:color w:val="68625E"/>
          <w:sz w:val="16"/>
        </w:rPr>
        <w:t>Largest decline with usable volume</w:t>
      </w:r>
    </w:p>
    <w:p>
      <w:pPr>
        <w:spacing w:after="40" w:line="240" w:lineRule="auto"/>
        <w:ind w:left="144"/>
        <w:shd w:fill="FFF8F1"/>
        <w:pBdr>
          <w:left w:val="single" w:sz="20" w:space="8" w:color="62BB46"/>
        </w:pBdr>
      </w:pPr>
      <w:r>
        <w:rPr>
          <w:rFonts w:ascii="Arial" w:hAnsi="Arial"/>
          <w:b/>
          <w:i w:val="0"/>
          <w:color w:val="0000A0"/>
          <w:sz w:val="16"/>
        </w:rPr>
        <w:t xml:space="preserve">Sirloin Steak Tips with Gravy  </w:t>
      </w:r>
      <w:r>
        <w:rPr>
          <w:rFonts w:ascii="Arial" w:hAnsi="Arial"/>
          <w:b/>
          <w:i w:val="0"/>
          <w:color w:val="3C3C3C"/>
          <w:sz w:val="16"/>
        </w:rPr>
        <w:t xml:space="preserve">2.29 -&gt; 1.78  </w:t>
      </w:r>
      <w:r>
        <w:rPr>
          <w:rFonts w:ascii="Arial" w:hAnsi="Arial"/>
          <w:b/>
          <w:i w:val="0"/>
          <w:color w:val="EB6916"/>
          <w:sz w:val="16"/>
        </w:rPr>
        <w:t xml:space="preserve">(-0.51)  </w:t>
      </w:r>
      <w:r>
        <w:rPr>
          <w:rFonts w:ascii="Arial" w:hAnsi="Arial"/>
          <w:b w:val="0"/>
          <w:i w:val="0"/>
          <w:color w:val="68625E"/>
          <w:sz w:val="16"/>
        </w:rPr>
        <w:t>Weakest sustained experience</w:t>
      </w:r>
    </w:p>
    <w:p>
      <w:pPr>
        <w:spacing w:after="40" w:line="240" w:lineRule="auto"/>
        <w:ind w:left="144"/>
        <w:shd w:fill="FFF8F1"/>
        <w:pBdr>
          <w:left w:val="single" w:sz="20" w:space="8" w:color="62BB46"/>
        </w:pBdr>
      </w:pPr>
      <w:r>
        <w:rPr>
          <w:rFonts w:ascii="Arial" w:hAnsi="Arial"/>
          <w:b/>
          <w:i w:val="0"/>
          <w:color w:val="0000A0"/>
          <w:sz w:val="16"/>
        </w:rPr>
        <w:t xml:space="preserve">Teriyaki Style Beef  </w:t>
      </w:r>
      <w:r>
        <w:rPr>
          <w:rFonts w:ascii="Arial" w:hAnsi="Arial"/>
          <w:b/>
          <w:i w:val="0"/>
          <w:color w:val="3C3C3C"/>
          <w:sz w:val="16"/>
        </w:rPr>
        <w:t xml:space="preserve">3.05 -&gt; 2.48  </w:t>
      </w:r>
      <w:r>
        <w:rPr>
          <w:rFonts w:ascii="Arial" w:hAnsi="Arial"/>
          <w:b/>
          <w:i w:val="0"/>
          <w:color w:val="EB6916"/>
          <w:sz w:val="16"/>
        </w:rPr>
        <w:t xml:space="preserve">(-0.57)  </w:t>
      </w:r>
      <w:r>
        <w:rPr>
          <w:rFonts w:ascii="Arial" w:hAnsi="Arial"/>
          <w:b w:val="0"/>
          <w:i w:val="0"/>
          <w:color w:val="68625E"/>
          <w:sz w:val="16"/>
        </w:rPr>
        <w:t>Broad-based deterioration</w:t>
      </w:r>
    </w:p>
    <w:p>
      <w:pPr>
        <w:pStyle w:val="ExecutiveBullet"/>
      </w:pPr>
      <w:r>
        <w:rPr>
          <w:rFonts w:ascii="Arial" w:hAnsi="Arial"/>
          <w:b/>
          <w:i w:val="0"/>
          <w:color w:val="0000A0"/>
          <w:sz w:val="18"/>
        </w:rPr>
        <w:t xml:space="preserve">Collection effect: </w:t>
      </w:r>
      <w:r>
        <w:rPr>
          <w:rFonts w:ascii="Arial" w:hAnsi="Arial"/>
          <w:b w:val="0"/>
          <w:i w:val="0"/>
          <w:color w:val="3C3C3C"/>
          <w:sz w:val="18"/>
        </w:rPr>
        <w:t>Of 326 first-party reviews in 2023, 296 carried a future-purchase reward designation and 192 were store-invited; designations overlap.</w:t>
      </w:r>
    </w:p>
    <w:p>
      <w:pPr>
        <w:pStyle w:val="ExecutiveBullet"/>
      </w:pPr>
      <w:r>
        <w:rPr>
          <w:rFonts w:ascii="Arial" w:hAnsi="Arial"/>
          <w:b/>
          <w:i w:val="0"/>
          <w:color w:val="0000A0"/>
          <w:sz w:val="18"/>
        </w:rPr>
        <w:t xml:space="preserve">Recent signal: </w:t>
      </w:r>
      <w:r>
        <w:rPr>
          <w:rFonts w:ascii="Arial" w:hAnsi="Arial"/>
          <w:b w:val="0"/>
          <w:i w:val="0"/>
          <w:color w:val="3C3C3C"/>
          <w:sz w:val="18"/>
        </w:rPr>
        <w:t>The 54 first-party reviews in 2026 averaged 2.48 stars, with 63% rated 1-2 stars, reinforcing deterioration already visible in retailer feedback.</w:t>
      </w:r>
    </w:p>
    <w:p>
      <w:pPr>
        <w:pStyle w:val="ExecutiveBullet"/>
      </w:pPr>
      <w:r>
        <w:rPr>
          <w:rFonts w:ascii="Arial" w:hAnsi="Arial"/>
          <w:b/>
          <w:i w:val="0"/>
          <w:color w:val="0000A0"/>
          <w:sz w:val="18"/>
        </w:rPr>
        <w:t xml:space="preserve">Complaint signal: </w:t>
      </w:r>
      <w:r>
        <w:rPr>
          <w:rFonts w:ascii="Arial" w:hAnsi="Arial"/>
          <w:b w:val="0"/>
          <w:i w:val="0"/>
          <w:color w:val="3C3C3C"/>
          <w:sz w:val="18"/>
        </w:rPr>
        <w:t>Meat quality, texture, taste, sauce, and portion value all contribute; the issue is broader than texture alone.</w:t>
      </w:r>
    </w:p>
    <w:p>
      <w:pPr>
        <w:pStyle w:val="ExecutiveBullet"/>
      </w:pPr>
      <w:r>
        <w:rPr>
          <w:rFonts w:ascii="Arial" w:hAnsi="Arial"/>
          <w:b/>
          <w:i w:val="0"/>
          <w:color w:val="0000A0"/>
          <w:sz w:val="18"/>
        </w:rPr>
        <w:t xml:space="preserve">Retailer expansion: </w:t>
      </w:r>
      <w:r>
        <w:rPr>
          <w:rFonts w:ascii="Arial" w:hAnsi="Arial"/>
          <w:b w:val="0"/>
          <w:i w:val="0"/>
          <w:color w:val="3C3C3C"/>
          <w:sz w:val="18"/>
        </w:rPr>
        <w:t>The refresh adds Walmart's complete 48-review public Honey Garlic set and brings Target to 122 written reviews. Amazon remains a 20-review public first-page sample because deeper review pages require sign-in.</w:t>
      </w:r>
    </w:p>
    <w:p>
      <w:pPr>
        <w:pStyle w:val="Heading1"/>
      </w:pPr>
      <w:r>
        <w:t>Recommended action sequence</w:t>
      </w:r>
    </w:p>
    <w:p>
      <w:pPr>
        <w:pStyle w:val="ExecutiveBullet"/>
      </w:pPr>
      <w:r>
        <w:rPr>
          <w:rFonts w:ascii="Arial" w:hAnsi="Arial"/>
          <w:b/>
          <w:i w:val="0"/>
          <w:color w:val="62BB46"/>
          <w:sz w:val="18"/>
        </w:rPr>
        <w:t xml:space="preserve">1. </w:t>
      </w:r>
      <w:r>
        <w:rPr>
          <w:rFonts w:ascii="Arial" w:hAnsi="Arial"/>
          <w:b w:val="0"/>
          <w:i w:val="0"/>
          <w:color w:val="3C3C3C"/>
          <w:sz w:val="18"/>
        </w:rPr>
        <w:t>Use 2023 as historical context, not a like-for-like baseline; compare within source and collection method wherever possible.</w:t>
      </w:r>
    </w:p>
    <w:p>
      <w:pPr>
        <w:pStyle w:val="ExecutiveBullet"/>
      </w:pPr>
      <w:r>
        <w:rPr>
          <w:rFonts w:ascii="Arial" w:hAnsi="Arial"/>
          <w:b/>
          <w:i w:val="0"/>
          <w:color w:val="62BB46"/>
          <w:sz w:val="18"/>
        </w:rPr>
        <w:t xml:space="preserve">2. </w:t>
      </w:r>
      <w:r>
        <w:rPr>
          <w:rFonts w:ascii="Arial" w:hAnsi="Arial"/>
          <w:b w:val="0"/>
          <w:i w:val="0"/>
          <w:color w:val="3C3C3C"/>
          <w:sz w:val="18"/>
        </w:rPr>
        <w:t>Investigate Sirloin and Mongolian first - review production, supplier/lot, and sensory records; evaluate meat and sauce separately.</w:t>
      </w:r>
    </w:p>
    <w:p>
      <w:pPr>
        <w:pStyle w:val="ExecutiveBullet"/>
      </w:pPr>
      <w:r>
        <w:rPr>
          <w:rFonts w:ascii="Arial" w:hAnsi="Arial"/>
          <w:b/>
          <w:i w:val="0"/>
          <w:color w:val="62BB46"/>
          <w:sz w:val="18"/>
        </w:rPr>
        <w:t xml:space="preserve">3. </w:t>
      </w:r>
      <w:r>
        <w:rPr>
          <w:rFonts w:ascii="Arial" w:hAnsi="Arial"/>
          <w:b w:val="0"/>
          <w:i w:val="0"/>
          <w:color w:val="3C3C3C"/>
          <w:sz w:val="18"/>
        </w:rPr>
        <w:t>Pursue authenticated Amazon review-page access and other complete exact-SKU retailer histories; continue excluding variant-family and chicken-contaminated records.</w:t>
      </w:r>
    </w:p>
    <w:p>
      <w:pPr>
        <w:pStyle w:val="ExecutiveBullet"/>
      </w:pPr>
      <w:r>
        <w:rPr>
          <w:rFonts w:ascii="Arial" w:hAnsi="Arial"/>
          <w:b/>
          <w:i w:val="0"/>
          <w:color w:val="62BB46"/>
          <w:sz w:val="18"/>
        </w:rPr>
        <w:t xml:space="preserve">4. </w:t>
      </w:r>
      <w:r>
        <w:rPr>
          <w:rFonts w:ascii="Arial" w:hAnsi="Arial"/>
          <w:b w:val="0"/>
          <w:i w:val="0"/>
          <w:color w:val="3C3C3C"/>
          <w:sz w:val="18"/>
        </w:rPr>
        <w:t>Connect review timing with complaints, returns, lots, supplier changes, promotions, and distribution shifts before assigning cause.</w:t>
      </w:r>
    </w:p>
    <w:p>
      <w:pPr>
        <w:spacing w:before="80" w:after="40"/>
        <w:shd w:fill="EEF4F6"/>
        <w:pBdr>
          <w:left w:val="single" w:sz="20" w:space="8" w:color="19738D"/>
        </w:pBdr>
      </w:pPr>
      <w:r>
        <w:rPr>
          <w:rFonts w:ascii="Arial" w:hAnsi="Arial"/>
          <w:b/>
          <w:i w:val="0"/>
          <w:color w:val="19738D"/>
          <w:sz w:val="15"/>
        </w:rPr>
        <w:t xml:space="preserve">EVIDENCE GUARDRAIL  </w:t>
      </w:r>
      <w:r>
        <w:rPr>
          <w:rFonts w:ascii="Arial" w:hAnsi="Arial"/>
          <w:b w:val="0"/>
          <w:i w:val="0"/>
          <w:color w:val="3C3C3C"/>
          <w:sz w:val="15"/>
        </w:rPr>
        <w:t>The archive contains 638 eligible full-text reviews: 422 first-party, 122 Target, 48 Walmart, 26 Kroger, and 20 Amazon. Rating totals are kept separate from dated written-review trends. Collection method and source mix can influence ratings; review language identifies where to investigate, not manufacturing causality.</w:t>
      </w:r>
    </w:p>
    <w:p>
      <w:pPr>
        <w:spacing w:before="40" w:after="0"/>
        <w:jc w:val="right"/>
      </w:pPr>
      <w:r>
        <w:rPr>
          <w:rFonts w:ascii="Arial" w:hAnsi="Arial"/>
          <w:b/>
          <w:i w:val="0"/>
          <w:color w:val="68625E"/>
          <w:sz w:val="15"/>
        </w:rPr>
        <w:t xml:space="preserve">Interactive dashboard: </w:t>
      </w:r>
      <w:hyperlink r:id="rId12">
        <w:r>
          <w:rPr>
            <w:color w:val="19738D"/>
            <w:u w:val="single"/>
          </w:rPr>
          <w:t>mars-fn-innovation-prototypes.github.io/knf-beef-review-dashboard</w:t>
        </w:r>
      </w:hyperlink>
    </w:p>
    <w:sectPr w:rsidR="00FC693F" w:rsidRPr="0006063C" w:rsidSect="00034616">
      <w:headerReference w:type="default" r:id="rId9"/>
      <w:footerReference w:type="default" r:id="rId10"/>
      <w:pgSz w:w="12240" w:h="15840"/>
      <w:pgMar w:top="1037" w:right="1440" w:bottom="922"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i w:val="0"/>
        <w:color w:val="68625E"/>
        <w:sz w:val="15"/>
      </w:rPr>
      <w:t>Kevin's Natural Foods beef HMR review analysis  |  Data through July 22,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68625E"/>
        <w:sz w:val="16"/>
      </w:rPr>
      <w:t>EXECUTIVE BRIEF  |  BEEF HMR REVIEW SIGNAL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0" w:line="252" w:lineRule="auto"/>
    </w:pPr>
    <w:rPr>
      <w:rFonts w:ascii="Arial" w:hAnsi="Arial"/>
      <w:color w:val="3C3C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b/>
      <w:bCs/>
      <w:color w:val="19738D"/>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Bullet">
    <w:name w:val="Executive Bullet"/>
    <w:basedOn w:val="Normal"/>
    <w:pPr>
      <w:spacing w:after="44" w:line="245" w:lineRule="auto"/>
      <w:ind w:left="259" w:hanging="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ars-fn-innovation-prototypes.github.io/knf-beef-review-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Kevin's Natural Foods Beef HMR Review Analysis - Executive One-Pager</dc:title>
  <dc:subject>Business challenge, validated consumer-review findings, and immediate actions</dc:subject>
  <dc:creator>Review Intelligence</dc:creator>
  <cp:keywords>Kevin's Natural Foods, beef HMR, consumer reviews, executive brief</cp:keywords>
  <dc:description>generated by python-docx</dc:description>
  <cp:lastModifiedBy/>
  <cp:revision>1</cp:revision>
  <dcterms:created xsi:type="dcterms:W3CDTF">2013-12-23T23:15:00Z</dcterms:created>
  <dcterms:modified xsi:type="dcterms:W3CDTF">2013-12-23T23:15:00Z</dcterms:modified>
  <cp:category/>
</cp:coreProperties>
</file>