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00"/>
        <w:jc w:val="center"/>
      </w:pPr>
      <w:r>
        <w:drawing>
          <wp:inline distT="0" distB="0" distL="0" distR="0">
            <wp:extent cx="2286000" cy="371475"/>
            <wp:effectExtent t="0" r="0" b="0" l="0"/>
            <wp:docPr id="1" name="Trusight" descr="Trusight logo" title="Trus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286000" cy="371475"/>
                    </a:xfrm>
                    <a:prstGeom prst="rect">
                      <a:avLst/>
                    </a:prstGeom>
                  </pic:spPr>
                </pic:pic>
              </a:graphicData>
            </a:graphic>
          </wp:inline>
        </w:drawing>
      </w:r>
    </w:p>
    <w:p>
      <w:pPr>
        <w:spacing w:after="800"/>
      </w:pPr>
    </w:p>
    <w:p>
      <w:pPr>
        <w:spacing w:after="120" w:before="0" w:line="280"/>
        <w:jc w:val="center"/>
      </w:pPr>
      <w:r>
        <w:rPr>
          <w:rFonts w:ascii="Trebuchet MS" w:cs="Trebuchet MS" w:eastAsia="Trebuchet MS" w:hAnsi="Trebuchet MS"/>
          <w:b/>
          <w:bCs/>
          <w:color w:val="C46419"/>
          <w:spacing w:val="80"/>
          <w:sz w:val="22"/>
          <w:szCs w:val="22"/>
        </w:rPr>
        <w:t xml:space="preserve">PART 2 — PROOFS</w:t>
      </w:r>
    </w:p>
    <w:p>
      <w:pPr>
        <w:spacing w:after="200" w:before="0" w:line="280"/>
        <w:jc w:val="center"/>
      </w:pPr>
      <w:r>
        <w:rPr>
          <w:rFonts w:ascii="Trebuchet MS" w:cs="Trebuchet MS" w:eastAsia="Trebuchet MS" w:hAnsi="Trebuchet MS"/>
          <w:b/>
          <w:bCs/>
          <w:color w:val="0A0A18"/>
          <w:sz w:val="48"/>
          <w:szCs w:val="48"/>
        </w:rPr>
        <w:t xml:space="preserve">Each Use Case, Run Against Live Data</w:t>
      </w:r>
    </w:p>
    <w:p>
      <w:pPr>
        <w:spacing w:after="400" w:before="0" w:line="280"/>
        <w:jc w:val="center"/>
      </w:pPr>
      <w:r>
        <w:rPr>
          <w:rFonts w:ascii="Trebuchet MS" w:cs="Trebuchet MS" w:eastAsia="Trebuchet MS" w:hAnsi="Trebuchet MS"/>
          <w:color w:val="C46419"/>
          <w:sz w:val="24"/>
          <w:szCs w:val="24"/>
        </w:rPr>
        <w:t xml:space="preserve">— · —</w:t>
      </w:r>
    </w:p>
    <w:p>
      <w:pPr>
        <w:spacing w:after="80" w:before="0" w:line="280"/>
        <w:jc w:val="center"/>
      </w:pPr>
      <w:r>
        <w:rPr>
          <w:rFonts w:ascii="Trebuchet MS" w:cs="Trebuchet MS" w:eastAsia="Trebuchet MS" w:hAnsi="Trebuchet MS"/>
          <w:b/>
          <w:bCs/>
          <w:color w:val="C46419"/>
          <w:spacing w:val="60"/>
          <w:sz w:val="18"/>
          <w:szCs w:val="18"/>
        </w:rPr>
        <w:t xml:space="preserve">PERSONA A — DESIGNERS</w:t>
      </w:r>
    </w:p>
    <w:p>
      <w:pPr>
        <w:spacing w:after="200" w:before="0" w:line="320"/>
        <w:jc w:val="center"/>
      </w:pPr>
      <w:r>
        <w:rPr>
          <w:rFonts w:ascii="Calibri" w:cs="Calibri" w:eastAsia="Calibri" w:hAnsi="Calibri"/>
          <w:i/>
          <w:iCs/>
          <w:color w:val="2A2A3A"/>
          <w:sz w:val="22"/>
          <w:szCs w:val="22"/>
        </w:rPr>
        <w:t xml:space="preserve">Three mini-reports. Each one runs the use case against the live BigQuery gold-tier views and reports the structured output. Where data is sparse or the anchoring event sits outside our collection window, that limit is named in the open. Persona B and C tranches follow.</w:t>
      </w:r>
    </w:p>
    <w:p>
      <w:r>
        <w:br w:type="page"/>
      </w:r>
    </w:p>
    <w:p>
      <w:pPr>
        <w:spacing w:after="80" w:before="200" w:line="280"/>
      </w:pPr>
      <w:r>
        <w:rPr>
          <w:rFonts w:ascii="Trebuchet MS" w:cs="Trebuchet MS" w:eastAsia="Trebuchet MS" w:hAnsi="Trebuchet MS"/>
          <w:b/>
          <w:bCs/>
          <w:color w:val="C46419"/>
          <w:spacing w:val="60"/>
          <w:sz w:val="18"/>
          <w:szCs w:val="18"/>
        </w:rPr>
        <w:t xml:space="preserve">USE CASE A1  ·  PROOF OF USE</w:t>
      </w:r>
    </w:p>
    <w:p>
      <w:pPr>
        <w:spacing w:after="120" w:before="0" w:line="280"/>
      </w:pPr>
      <w:r>
        <w:rPr>
          <w:rFonts w:ascii="Trebuchet MS" w:cs="Trebuchet MS" w:eastAsia="Trebuchet MS" w:hAnsi="Trebuchet MS"/>
          <w:b/>
          <w:bCs/>
          <w:color w:val="0A0A18"/>
          <w:sz w:val="32"/>
          <w:szCs w:val="32"/>
        </w:rPr>
        <w:t xml:space="preserve">The Concept-Narrative Profiler</w:t>
      </w:r>
    </w:p>
    <w:p>
      <w:pPr>
        <w:pBdr>
          <w:bottom w:val="single" w:color="C46419" w:sz="18" w:space="1"/>
        </w:pBdr>
        <w:spacing w:after="200" w:before="40"/>
      </w:pPr>
    </w:p>
    <w:p>
      <w:pPr>
        <w:spacing w:after="160" w:before="0" w:line="300"/>
      </w:pPr>
      <w:r>
        <w:rPr>
          <w:rFonts w:ascii="Trebuchet MS" w:cs="Trebuchet MS" w:eastAsia="Trebuchet MS" w:hAnsi="Trebuchet MS"/>
          <w:b/>
          <w:bCs/>
          <w:color w:val="C46419"/>
          <w:sz w:val="22"/>
          <w:szCs w:val="22"/>
        </w:rPr>
        <w:t xml:space="preserve">The question.</w:t>
      </w:r>
      <w:r>
        <w:rPr>
          <w:rFonts w:ascii="Calibri" w:cs="Calibri" w:eastAsia="Calibri" w:hAnsi="Calibri"/>
          <w:color w:val="2A2A3A"/>
          <w:sz w:val="22"/>
          <w:szCs w:val="22"/>
        </w:rPr>
        <w:t xml:space="preserve">  When the community asks for a class WoTC hasn't shipped, what kind do they actually want? Designers need more than demand volume — they need the design vocabulary: the cluster of flavors and mechanics the community is building around. Trusight uses the v5 narrative classifier (validated in the A1 LIVE UA audit and in the cross-IP triangulation work) but pointed at concept-flavor clusters, then layered with a brand-risk overlay derived from the same brand-integrity framework that drives the IP licensing methodology.</w:t>
      </w:r>
    </w:p>
    <w:p>
      <w:pPr>
        <w:spacing w:after="160" w:before="0" w:line="300"/>
      </w:pPr>
      <w:r>
        <w:rPr>
          <w:rFonts w:ascii="Trebuchet MS" w:cs="Trebuchet MS" w:eastAsia="Trebuchet MS" w:hAnsi="Trebuchet MS"/>
          <w:b/>
          <w:bCs/>
          <w:color w:val="C46419"/>
          <w:sz w:val="22"/>
          <w:szCs w:val="22"/>
        </w:rPr>
        <w:t xml:space="preserve">What we ran.</w:t>
      </w:r>
      <w:r>
        <w:rPr>
          <w:rFonts w:ascii="Calibri" w:cs="Calibri" w:eastAsia="Calibri" w:hAnsi="Calibri"/>
          <w:color w:val="2A2A3A"/>
          <w:sz w:val="22"/>
          <w:szCs w:val="22"/>
        </w:rPr>
        <w:t xml:space="preserve">  Pulled every confirmed mention of unshipped class concepts across Reddit (25 D&amp;D-adjacent subreddits), the three primary TTRPG forums (EN World, RPG.net, GitP), D&amp;D Beyond Homebrew, GMBinder, Homebrewery, and AO3 fanfic tagging. For the worked example, focused on "witch class" — the highest-demand unshipped concept by composite resonance score across the v5 collection window. Each mention was tagged into thematic clusters using the AI Bouncer + Gemini narrative classifier, then each cluster was scored against the brand-integrity framework that flags category-coded historical sensitivities.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4C8B8" w:sz="4"/>
              <w:left w:val="single" w:color="C46419" w:sz="18"/>
              <w:bottom w:val="single" w:color="D4C8B8" w:sz="4"/>
              <w:right w:val="single" w:color="D4C8B8" w:sz="4"/>
            </w:tcBorders>
            <w:shd w:fill="FAF6F0" w:val="clear"/>
            <w:tcMar>
              <w:top w:type="dxa" w:w="160"/>
              <w:left w:type="dxa" w:w="240"/>
              <w:bottom w:type="dxa" w:w="160"/>
              <w:right w:type="dxa" w:w="240"/>
            </w:tcMar>
          </w:tcPr>
          <w:p>
            <w:pPr>
              <w:spacing w:after="0" w:before="0" w:line="260"/>
            </w:pPr>
            <w:r>
              <w:rPr>
                <w:rFonts w:ascii="Consolas" w:cs="Consolas" w:eastAsia="Consolas" w:hAnsi="Consolas"/>
                <w:color w:val="0A0A18"/>
                <w:sz w:val="18"/>
                <w:szCs w:val="18"/>
              </w:rPr>
              <w:t xml:space="preserve">SELECT thematic_cluster, mention_share, mechanical_signal,
       brand_risk_marker, cross_stream_resonance_score
FROM gold_data.concept_demand_clusters
WHERE concept_name = 'witch_class'
  AND source_collected_at &gt;= '2025-11-01'
ORDER BY mention_share DESC;</w:t>
            </w:r>
          </w:p>
        </w:tc>
      </w:tr>
    </w:tbl>
    <w:p>
      <w:pPr>
        <w:spacing w:after="180"/>
      </w:pPr>
    </w:p>
    <w:p>
      <w:pPr>
        <w:spacing w:after="160" w:before="0" w:line="300"/>
      </w:pPr>
      <w:r>
        <w:rPr>
          <w:rFonts w:ascii="Trebuchet MS" w:cs="Trebuchet MS" w:eastAsia="Trebuchet MS" w:hAnsi="Trebuchet MS"/>
          <w:b/>
          <w:bCs/>
          <w:color w:val="C46419"/>
          <w:sz w:val="22"/>
          <w:szCs w:val="22"/>
        </w:rPr>
        <w:t xml:space="preserve">What came back.</w:t>
      </w:r>
      <w:r>
        <w:rPr>
          <w:rFonts w:ascii="Calibri" w:cs="Calibri" w:eastAsia="Calibri" w:hAnsi="Calibri"/>
          <w:color w:val="2A2A3A"/>
          <w:sz w:val="22"/>
          <w:szCs w:val="22"/>
        </w:rPr>
        <w:t xml:space="preserve">  Six narrative clusters emerged. Each represents a coherent design vector — a distinct flavor of the same headline demand. The demand-share column is the percentage of total "witch class" mentions captured by that cluster; the brand-risk overlay is the category-coded marker from the brand-integrity framework:</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3000"/>
        <w:gridCol w:w="3000"/>
      </w:tblGrid>
      <w:tr>
        <w:trPr>
          <w:tblHeader/>
        </w:trPr>
        <w:tc>
          <w:tcPr>
            <w:tcW w:type="dxa" w:w="2200"/>
            <w:tcBorders>
              <w:top w:val="single" w:color="D4C8B8" w:sz="4"/>
              <w:left w:val="single" w:color="D4C8B8" w:sz="4"/>
              <w:bottom w:val="single" w:color="D4C8B8" w:sz="4"/>
              <w:right w:val="single" w:color="D4C8B8" w:sz="4"/>
            </w:tcBorders>
            <w:shd w:fill="EFE4D2" w:val="clear"/>
            <w:tcMar>
              <w:top w:type="dxa" w:w="80"/>
              <w:left w:type="dxa" w:w="100"/>
              <w:bottom w:type="dxa" w:w="80"/>
              <w:right w:type="dxa" w:w="100"/>
            </w:tcMar>
          </w:tcPr>
          <w:p>
            <w:pPr>
              <w:spacing w:after="0" w:before="0" w:line="240"/>
            </w:pPr>
            <w:r>
              <w:rPr>
                <w:rFonts w:ascii="Trebuchet MS" w:cs="Trebuchet MS" w:eastAsia="Trebuchet MS" w:hAnsi="Trebuchet MS"/>
                <w:b/>
                <w:bCs/>
                <w:color w:val="0A0A18"/>
                <w:sz w:val="18"/>
                <w:szCs w:val="18"/>
              </w:rPr>
              <w:t xml:space="preserve">Cluster</w:t>
            </w:r>
          </w:p>
        </w:tc>
        <w:tc>
          <w:tcPr>
            <w:tcW w:type="dxa" w:w="1100"/>
            <w:tcBorders>
              <w:top w:val="single" w:color="D4C8B8" w:sz="4"/>
              <w:left w:val="single" w:color="D4C8B8" w:sz="4"/>
              <w:bottom w:val="single" w:color="D4C8B8" w:sz="4"/>
              <w:right w:val="single" w:color="D4C8B8" w:sz="4"/>
            </w:tcBorders>
            <w:shd w:fill="EFE4D2" w:val="clear"/>
            <w:tcMar>
              <w:top w:type="dxa" w:w="80"/>
              <w:left w:type="dxa" w:w="100"/>
              <w:bottom w:type="dxa" w:w="80"/>
              <w:right w:type="dxa" w:w="100"/>
            </w:tcMar>
          </w:tcPr>
          <w:p>
            <w:pPr>
              <w:spacing w:after="0" w:before="0" w:line="240"/>
            </w:pPr>
            <w:r>
              <w:rPr>
                <w:rFonts w:ascii="Trebuchet MS" w:cs="Trebuchet MS" w:eastAsia="Trebuchet MS" w:hAnsi="Trebuchet MS"/>
                <w:b/>
                <w:bCs/>
                <w:color w:val="0A0A18"/>
                <w:sz w:val="18"/>
                <w:szCs w:val="18"/>
              </w:rPr>
              <w:t xml:space="preserve">Demand share</w:t>
            </w:r>
          </w:p>
        </w:tc>
        <w:tc>
          <w:tcPr>
            <w:tcW w:type="dxa" w:w="3000"/>
            <w:tcBorders>
              <w:top w:val="single" w:color="D4C8B8" w:sz="4"/>
              <w:left w:val="single" w:color="D4C8B8" w:sz="4"/>
              <w:bottom w:val="single" w:color="D4C8B8" w:sz="4"/>
              <w:right w:val="single" w:color="D4C8B8" w:sz="4"/>
            </w:tcBorders>
            <w:shd w:fill="EFE4D2" w:val="clear"/>
            <w:tcMar>
              <w:top w:type="dxa" w:w="80"/>
              <w:left w:type="dxa" w:w="100"/>
              <w:bottom w:type="dxa" w:w="80"/>
              <w:right w:type="dxa" w:w="100"/>
            </w:tcMar>
          </w:tcPr>
          <w:p>
            <w:pPr>
              <w:spacing w:after="0" w:before="0" w:line="240"/>
            </w:pPr>
            <w:r>
              <w:rPr>
                <w:rFonts w:ascii="Trebuchet MS" w:cs="Trebuchet MS" w:eastAsia="Trebuchet MS" w:hAnsi="Trebuchet MS"/>
                <w:b/>
                <w:bCs/>
                <w:color w:val="0A0A18"/>
                <w:sz w:val="18"/>
                <w:szCs w:val="18"/>
              </w:rPr>
              <w:t xml:space="preserve">Mechanical signal</w:t>
            </w:r>
          </w:p>
        </w:tc>
        <w:tc>
          <w:tcPr>
            <w:tcW w:type="dxa" w:w="3000"/>
            <w:tcBorders>
              <w:top w:val="single" w:color="D4C8B8" w:sz="4"/>
              <w:left w:val="single" w:color="D4C8B8" w:sz="4"/>
              <w:bottom w:val="single" w:color="D4C8B8" w:sz="4"/>
              <w:right w:val="single" w:color="D4C8B8" w:sz="4"/>
            </w:tcBorders>
            <w:shd w:fill="EFE4D2" w:val="clear"/>
            <w:tcMar>
              <w:top w:type="dxa" w:w="80"/>
              <w:left w:type="dxa" w:w="100"/>
              <w:bottom w:type="dxa" w:w="80"/>
              <w:right w:type="dxa" w:w="100"/>
            </w:tcMar>
          </w:tcPr>
          <w:p>
            <w:pPr>
              <w:spacing w:after="0" w:before="0" w:line="240"/>
            </w:pPr>
            <w:r>
              <w:rPr>
                <w:rFonts w:ascii="Trebuchet MS" w:cs="Trebuchet MS" w:eastAsia="Trebuchet MS" w:hAnsi="Trebuchet MS"/>
                <w:b/>
                <w:bCs/>
                <w:color w:val="0A0A18"/>
                <w:sz w:val="18"/>
                <w:szCs w:val="18"/>
              </w:rPr>
              <w:t xml:space="preserve">Brand-risk marker</w:t>
            </w:r>
          </w:p>
        </w:tc>
      </w:tr>
      <w:tr>
        <w:tc>
          <w:tcPr>
            <w:tcW w:type="dxa" w:w="22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bCs/>
                <w:color w:val="2A2A3A"/>
                <w:sz w:val="18"/>
                <w:szCs w:val="18"/>
              </w:rPr>
              <w:t xml:space="preserve">Hagcraft / curse-magic</w:t>
            </w:r>
          </w:p>
        </w:tc>
        <w:tc>
          <w:tcPr>
            <w:tcW w:type="dxa" w:w="11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30%</w:t>
            </w:r>
          </w:p>
        </w:tc>
        <w:tc>
          <w:tcPr>
            <w:tcW w:type="dxa" w:w="30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Debuff + curse subsystem</w:t>
            </w:r>
          </w:p>
        </w:tc>
        <w:tc>
          <w:tcPr>
            <w:tcW w:type="dxa" w:w="30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Medium</w:t>
            </w:r>
          </w:p>
        </w:tc>
      </w:tr>
      <w:tr>
        <w:tc>
          <w:tcPr>
            <w:tcW w:type="dxa" w:w="220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bCs/>
                <w:color w:val="2A2A3A"/>
                <w:sz w:val="18"/>
                <w:szCs w:val="18"/>
              </w:rPr>
              <w:t xml:space="preserve">Folklore / herbalism</w:t>
            </w:r>
          </w:p>
        </w:tc>
        <w:tc>
          <w:tcPr>
            <w:tcW w:type="dxa" w:w="110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24%</w:t>
            </w:r>
          </w:p>
        </w:tc>
        <w:tc>
          <w:tcPr>
            <w:tcW w:type="dxa" w:w="300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Skill + utility + ritual</w:t>
            </w:r>
          </w:p>
        </w:tc>
        <w:tc>
          <w:tcPr>
            <w:tcW w:type="dxa" w:w="300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Low-medium</w:t>
            </w:r>
          </w:p>
        </w:tc>
      </w:tr>
      <w:tr>
        <w:tc>
          <w:tcPr>
            <w:tcW w:type="dxa" w:w="22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bCs/>
                <w:color w:val="2A2A3A"/>
                <w:sz w:val="18"/>
                <w:szCs w:val="18"/>
              </w:rPr>
              <w:t xml:space="preserve">Cottagecore-cozy</w:t>
            </w:r>
          </w:p>
        </w:tc>
        <w:tc>
          <w:tcPr>
            <w:tcW w:type="dxa" w:w="11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18%</w:t>
            </w:r>
          </w:p>
        </w:tc>
        <w:tc>
          <w:tcPr>
            <w:tcW w:type="dxa" w:w="30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Social + downtime + utility</w:t>
            </w:r>
          </w:p>
        </w:tc>
        <w:tc>
          <w:tcPr>
            <w:tcW w:type="dxa" w:w="30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Low</w:t>
            </w:r>
          </w:p>
        </w:tc>
      </w:tr>
      <w:tr>
        <w:tc>
          <w:tcPr>
            <w:tcW w:type="dxa" w:w="220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bCs/>
                <w:color w:val="2A2A3A"/>
                <w:sz w:val="18"/>
                <w:szCs w:val="18"/>
              </w:rPr>
              <w:t xml:space="preserve">Salem-historical</w:t>
            </w:r>
          </w:p>
        </w:tc>
        <w:tc>
          <w:tcPr>
            <w:tcW w:type="dxa" w:w="110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12%</w:t>
            </w:r>
          </w:p>
        </w:tc>
        <w:tc>
          <w:tcPr>
            <w:tcW w:type="dxa" w:w="300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Ritual + skill checks</w:t>
            </w:r>
          </w:p>
        </w:tc>
        <w:tc>
          <w:tcPr>
            <w:tcW w:type="dxa" w:w="300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High</w:t>
            </w:r>
          </w:p>
        </w:tc>
      </w:tr>
      <w:tr>
        <w:tc>
          <w:tcPr>
            <w:tcW w:type="dxa" w:w="22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bCs/>
                <w:color w:val="2A2A3A"/>
                <w:sz w:val="18"/>
                <w:szCs w:val="18"/>
              </w:rPr>
              <w:t xml:space="preserve">Dark academia</w:t>
            </w:r>
          </w:p>
        </w:tc>
        <w:tc>
          <w:tcPr>
            <w:tcW w:type="dxa" w:w="11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9%</w:t>
            </w:r>
          </w:p>
        </w:tc>
        <w:tc>
          <w:tcPr>
            <w:tcW w:type="dxa" w:w="30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Hybrid arcane-curse</w:t>
            </w:r>
          </w:p>
        </w:tc>
        <w:tc>
          <w:tcPr>
            <w:tcW w:type="dxa" w:w="30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Medium-high</w:t>
            </w:r>
          </w:p>
        </w:tc>
      </w:tr>
      <w:tr>
        <w:tc>
          <w:tcPr>
            <w:tcW w:type="dxa" w:w="220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bCs/>
                <w:color w:val="2A2A3A"/>
                <w:sz w:val="18"/>
                <w:szCs w:val="18"/>
              </w:rPr>
              <w:t xml:space="preserve">Other</w:t>
            </w:r>
          </w:p>
        </w:tc>
        <w:tc>
          <w:tcPr>
            <w:tcW w:type="dxa" w:w="110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7%</w:t>
            </w:r>
          </w:p>
        </w:tc>
        <w:tc>
          <w:tcPr>
            <w:tcW w:type="dxa" w:w="300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w:t>
            </w:r>
          </w:p>
        </w:tc>
        <w:tc>
          <w:tcPr>
            <w:tcW w:type="dxa" w:w="300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w:t>
            </w:r>
          </w:p>
        </w:tc>
      </w:tr>
    </w:tbl>
    <w:p>
      <w:pPr>
        <w:spacing w:after="180"/>
      </w:pPr>
    </w:p>
    <w:p>
      <w:pPr>
        <w:spacing w:after="200" w:before="0" w:line="260"/>
      </w:pPr>
      <w:r>
        <w:rPr>
          <w:rFonts w:ascii="Calibri" w:cs="Calibri" w:eastAsia="Calibri" w:hAnsi="Calibri"/>
          <w:i/>
          <w:iCs/>
          <w:color w:val="606070"/>
          <w:sz w:val="18"/>
          <w:szCs w:val="18"/>
        </w:rPr>
        <w:t xml:space="preserve">Source: gold_data.concept_demand_clusters, snapshot 2026-04-30. "Witch class" was the highest-demand unshipped concept identified in the v5 collection window across 142 candidate concepts.</w:t>
      </w:r>
    </w:p>
    <w:p>
      <w:pPr>
        <w:spacing w:after="160" w:before="0" w:line="300"/>
      </w:pPr>
      <w:r>
        <w:rPr>
          <w:rFonts w:ascii="Trebuchet MS" w:cs="Trebuchet MS" w:eastAsia="Trebuchet MS" w:hAnsi="Trebuchet MS"/>
          <w:b/>
          <w:bCs/>
          <w:color w:val="C46419"/>
          <w:sz w:val="22"/>
          <w:szCs w:val="22"/>
        </w:rPr>
        <w:t xml:space="preserve">What it tells us.</w:t>
      </w:r>
      <w:r>
        <w:rPr>
          <w:rFonts w:ascii="Calibri" w:cs="Calibri" w:eastAsia="Calibri" w:hAnsi="Calibri"/>
          <w:color w:val="2A2A3A"/>
          <w:sz w:val="22"/>
          <w:szCs w:val="22"/>
        </w:rPr>
        <w:t xml:space="preserve">  Three insights. First, demand is real but splits across mechanically distinct designs — a single "witch class" shipped without flavor differentiation would satisfy roughly 30% of the demand (Hagcraft cluster) while leaving the other 70% feeling unaddressed. Second, the dominant cluster (Hagcraft) is mechanically adjacent to the existing warlock-hex vocabulary, meaning the design lift is lower and the player-vocabulary risk is lower. Third — the differentiated capability — each cluster carries a distinct brand-risk profile. The Cottagecore cluster (18%) carries low brand-risk markers because it is broadly culturally legitimate via contemporary YA fantasy. The Salem-historical cluster (12%) sits in a category-coded brand-risk zone WoTC has historically avoided. Designers need both axes — demand-shape and brand-risk-shape — to make an informed shipping decision.</w:t>
      </w:r>
    </w:p>
    <w:p>
      <w:pPr>
        <w:spacing w:after="160" w:before="0" w:line="300"/>
      </w:pPr>
      <w:r>
        <w:rPr>
          <w:rFonts w:ascii="Trebuchet MS" w:cs="Trebuchet MS" w:eastAsia="Trebuchet MS" w:hAnsi="Trebuchet MS"/>
          <w:b/>
          <w:bCs/>
          <w:color w:val="C46419"/>
          <w:sz w:val="22"/>
          <w:szCs w:val="22"/>
        </w:rPr>
        <w:t xml:space="preserve">What this enables.</w:t>
      </w:r>
      <w:r>
        <w:rPr>
          <w:rFonts w:ascii="Calibri" w:cs="Calibri" w:eastAsia="Calibri" w:hAnsi="Calibri"/>
          <w:color w:val="2A2A3A"/>
          <w:sz w:val="22"/>
          <w:szCs w:val="22"/>
        </w:rPr>
        <w:t xml:space="preserve">  A demand-aware, brand-aware design hypothesis. Trusight surfaces both axes on the same substrate — the dual-axis intelligence no horizontal social-listening tool delivers. As placeholder vocabulary for WoTC's Design team to evaluate and refine: the class name could be Ritualist (system-mechanic-anchored, leveraging the existing ritual-casting framework) or Herbalist (folk-craft-anchored, broader thematic surface) — both carry no category-coded brand-risk markers. Subclasses map to the cluster decomposition: Hedgewise (Cottagecore), Hearthkeeper (Folklore), Hagcraft or Curseweaver (Hagcraft cluster), Wyrd-Touched (Dark academia). The Salem-historical cluster is identified by the data but not mapped to a recommended subclass — that is the brand-risk-aware design decision the data supports. These names are deliberately placeholders; the Trusight value is identifying the brand-safe vocabulary space and the cluster-to-mechanic mapping, not the specific labels. Final naming, refinement, and design-team interpretation are WoTC's calls.</w:t>
      </w:r>
    </w:p>
    <w:p>
      <w:r>
        <w:br w:type="page"/>
      </w:r>
    </w:p>
    <w:p>
      <w:pPr>
        <w:spacing w:after="80" w:before="200" w:line="280"/>
      </w:pPr>
      <w:r>
        <w:rPr>
          <w:rFonts w:ascii="Trebuchet MS" w:cs="Trebuchet MS" w:eastAsia="Trebuchet MS" w:hAnsi="Trebuchet MS"/>
          <w:b/>
          <w:bCs/>
          <w:color w:val="C46419"/>
          <w:spacing w:val="60"/>
          <w:sz w:val="18"/>
          <w:szCs w:val="18"/>
        </w:rPr>
        <w:t xml:space="preserve">USE CASE A2  ·  PROOF OF USE</w:t>
      </w:r>
    </w:p>
    <w:p>
      <w:pPr>
        <w:spacing w:after="120" w:before="0" w:line="280"/>
      </w:pPr>
      <w:r>
        <w:rPr>
          <w:rFonts w:ascii="Trebuchet MS" w:cs="Trebuchet MS" w:eastAsia="Trebuchet MS" w:hAnsi="Trebuchet MS"/>
          <w:b/>
          <w:bCs/>
          <w:color w:val="0A0A18"/>
          <w:sz w:val="32"/>
          <w:szCs w:val="32"/>
        </w:rPr>
        <w:t xml:space="preserve">The Homebrew Gap Identifier</w:t>
      </w:r>
    </w:p>
    <w:p>
      <w:pPr>
        <w:pBdr>
          <w:bottom w:val="single" w:color="C46419" w:sz="18" w:space="1"/>
        </w:pBdr>
        <w:spacing w:after="200" w:before="40"/>
      </w:pPr>
    </w:p>
    <w:p>
      <w:pPr>
        <w:spacing w:after="160" w:before="0" w:line="300"/>
      </w:pPr>
      <w:r>
        <w:rPr>
          <w:rFonts w:ascii="Trebuchet MS" w:cs="Trebuchet MS" w:eastAsia="Trebuchet MS" w:hAnsi="Trebuchet MS"/>
          <w:b/>
          <w:bCs/>
          <w:color w:val="C46419"/>
          <w:sz w:val="22"/>
          <w:szCs w:val="22"/>
        </w:rPr>
        <w:t xml:space="preserve">The question.</w:t>
      </w:r>
      <w:r>
        <w:rPr>
          <w:rFonts w:ascii="Calibri" w:cs="Calibri" w:eastAsia="Calibri" w:hAnsi="Calibri"/>
          <w:color w:val="2A2A3A"/>
          <w:sz w:val="22"/>
          <w:szCs w:val="22"/>
        </w:rPr>
        <w:t xml:space="preserve">  Which IPs is the D&amp;D community building unofficial 5e content for, despite WoTC having shipped no licensed crossover? The gap between community demand and official supply is the lead.</w:t>
      </w:r>
    </w:p>
    <w:p>
      <w:pPr>
        <w:spacing w:after="160" w:before="0" w:line="300"/>
      </w:pPr>
      <w:r>
        <w:rPr>
          <w:rFonts w:ascii="Trebuchet MS" w:cs="Trebuchet MS" w:eastAsia="Trebuchet MS" w:hAnsi="Trebuchet MS"/>
          <w:b/>
          <w:bCs/>
          <w:color w:val="C46419"/>
          <w:sz w:val="22"/>
          <w:szCs w:val="22"/>
        </w:rPr>
        <w:t xml:space="preserve">What we ran.</w:t>
      </w:r>
      <w:r>
        <w:rPr>
          <w:rFonts w:ascii="Calibri" w:cs="Calibri" w:eastAsia="Calibri" w:hAnsi="Calibri"/>
          <w:color w:val="2A2A3A"/>
          <w:sz w:val="22"/>
          <w:szCs w:val="22"/>
        </w:rPr>
        <w:t xml:space="preserve">  Cross-platform homebrew query against gold_data.homebrew_combined_proxy. Every IP in the master list is scored against three independent platforms — D&amp;D Beyond Homebrew (the official creator workshop), GMBinder, and Homebrewery — with the AI Bouncer disambiguating false-positive name collisions on each side.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4C8B8" w:sz="4"/>
              <w:left w:val="single" w:color="C46419" w:sz="18"/>
              <w:bottom w:val="single" w:color="D4C8B8" w:sz="4"/>
              <w:right w:val="single" w:color="D4C8B8" w:sz="4"/>
            </w:tcBorders>
            <w:shd w:fill="FAF6F0" w:val="clear"/>
            <w:tcMar>
              <w:top w:type="dxa" w:w="160"/>
              <w:left w:type="dxa" w:w="240"/>
              <w:bottom w:type="dxa" w:w="160"/>
              <w:right w:type="dxa" w:w="240"/>
            </w:tcMar>
          </w:tcPr>
          <w:p>
            <w:pPr>
              <w:spacing w:after="0" w:before="0" w:line="260"/>
            </w:pPr>
            <w:r>
              <w:rPr>
                <w:rFonts w:ascii="Consolas" w:cs="Consolas" w:eastAsia="Consolas" w:hAnsi="Consolas"/>
                <w:color w:val="0A0A18"/>
                <w:sz w:val="18"/>
                <w:szCs w:val="18"/>
              </w:rPr>
              <w:t xml:space="preserve">SELECT ip_name, homebrew_combined_score, homebrew_combined_status,
       ddb_total_items, ddb_top_item_name, ddb_top_item_section,
       ddb_top_item_adds, gmbinder_confirmed, homebrewery_confirmed,
       ua_homebrew_mention_count, ua_total_upvotes
FROM gold_data.homebrew_combined_proxy
WHERE homebrew_combined_status LIKE 'sufficient%'
ORDER BY homebrew_combined_score DESC LIMIT 10;</w:t>
            </w:r>
          </w:p>
        </w:tc>
      </w:tr>
    </w:tbl>
    <w:p>
      <w:pPr>
        <w:spacing w:after="180"/>
      </w:pPr>
    </w:p>
    <w:p>
      <w:pPr>
        <w:spacing w:after="160" w:before="0" w:line="300"/>
      </w:pPr>
      <w:r>
        <w:rPr>
          <w:rFonts w:ascii="Trebuchet MS" w:cs="Trebuchet MS" w:eastAsia="Trebuchet MS" w:hAnsi="Trebuchet MS"/>
          <w:b/>
          <w:bCs/>
          <w:color w:val="C46419"/>
          <w:sz w:val="22"/>
          <w:szCs w:val="22"/>
        </w:rPr>
        <w:t xml:space="preserve">What came back.</w:t>
      </w:r>
      <w:r>
        <w:rPr>
          <w:rFonts w:ascii="Calibri" w:cs="Calibri" w:eastAsia="Calibri" w:hAnsi="Calibri"/>
          <w:color w:val="2A2A3A"/>
          <w:sz w:val="22"/>
          <w:szCs w:val="22"/>
        </w:rPr>
        <w:t xml:space="preserve">  60 of 142 candidate IPs cleared the "sufficient" homebrew bar. 5 cleared all three platforms simultaneously. None of the top-10 listed below has a licensed official D&amp;D crossover — every column is unofficial community labor: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60"/>
        <w:gridCol w:w="1100"/>
        <w:gridCol w:w="900"/>
        <w:gridCol w:w="900"/>
        <w:gridCol w:w="2300"/>
        <w:gridCol w:w="1100"/>
        <w:gridCol w:w="1200"/>
      </w:tblGrid>
      <w:tr>
        <w:trPr>
          <w:tblHeader/>
        </w:trPr>
        <w:tc>
          <w:tcPr>
            <w:tcW w:type="dxa" w:w="1860"/>
            <w:tcBorders>
              <w:top w:val="single" w:color="D4C8B8" w:sz="4"/>
              <w:left w:val="single" w:color="D4C8B8" w:sz="4"/>
              <w:bottom w:val="single" w:color="D4C8B8" w:sz="4"/>
              <w:right w:val="single" w:color="D4C8B8" w:sz="4"/>
            </w:tcBorders>
            <w:shd w:fill="EFE4D2" w:val="clear"/>
            <w:tcMar>
              <w:top w:type="dxa" w:w="80"/>
              <w:left w:type="dxa" w:w="100"/>
              <w:bottom w:type="dxa" w:w="80"/>
              <w:right w:type="dxa" w:w="100"/>
            </w:tcMar>
          </w:tcPr>
          <w:p>
            <w:pPr>
              <w:spacing w:after="0" w:before="0" w:line="240"/>
            </w:pPr>
            <w:r>
              <w:rPr>
                <w:rFonts w:ascii="Trebuchet MS" w:cs="Trebuchet MS" w:eastAsia="Trebuchet MS" w:hAnsi="Trebuchet MS"/>
                <w:b/>
                <w:bCs/>
                <w:color w:val="0A0A18"/>
                <w:sz w:val="18"/>
                <w:szCs w:val="18"/>
              </w:rPr>
              <w:t xml:space="preserve">IP</w:t>
            </w:r>
          </w:p>
        </w:tc>
        <w:tc>
          <w:tcPr>
            <w:tcW w:type="dxa" w:w="1100"/>
            <w:tcBorders>
              <w:top w:val="single" w:color="D4C8B8" w:sz="4"/>
              <w:left w:val="single" w:color="D4C8B8" w:sz="4"/>
              <w:bottom w:val="single" w:color="D4C8B8" w:sz="4"/>
              <w:right w:val="single" w:color="D4C8B8" w:sz="4"/>
            </w:tcBorders>
            <w:shd w:fill="EFE4D2" w:val="clear"/>
            <w:tcMar>
              <w:top w:type="dxa" w:w="80"/>
              <w:left w:type="dxa" w:w="100"/>
              <w:bottom w:type="dxa" w:w="80"/>
              <w:right w:type="dxa" w:w="100"/>
            </w:tcMar>
          </w:tcPr>
          <w:p>
            <w:pPr>
              <w:spacing w:after="0" w:before="0" w:line="240"/>
            </w:pPr>
            <w:r>
              <w:rPr>
                <w:rFonts w:ascii="Trebuchet MS" w:cs="Trebuchet MS" w:eastAsia="Trebuchet MS" w:hAnsi="Trebuchet MS"/>
                <w:b/>
                <w:bCs/>
                <w:color w:val="0A0A18"/>
                <w:sz w:val="18"/>
                <w:szCs w:val="18"/>
              </w:rPr>
              <w:t xml:space="preserve">Combined score</w:t>
            </w:r>
          </w:p>
        </w:tc>
        <w:tc>
          <w:tcPr>
            <w:tcW w:type="dxa" w:w="900"/>
            <w:tcBorders>
              <w:top w:val="single" w:color="D4C8B8" w:sz="4"/>
              <w:left w:val="single" w:color="D4C8B8" w:sz="4"/>
              <w:bottom w:val="single" w:color="D4C8B8" w:sz="4"/>
              <w:right w:val="single" w:color="D4C8B8" w:sz="4"/>
            </w:tcBorders>
            <w:shd w:fill="EFE4D2" w:val="clear"/>
            <w:tcMar>
              <w:top w:type="dxa" w:w="80"/>
              <w:left w:type="dxa" w:w="100"/>
              <w:bottom w:type="dxa" w:w="80"/>
              <w:right w:type="dxa" w:w="100"/>
            </w:tcMar>
          </w:tcPr>
          <w:p>
            <w:pPr>
              <w:spacing w:after="0" w:before="0" w:line="240"/>
            </w:pPr>
            <w:r>
              <w:rPr>
                <w:rFonts w:ascii="Trebuchet MS" w:cs="Trebuchet MS" w:eastAsia="Trebuchet MS" w:hAnsi="Trebuchet MS"/>
                <w:b/>
                <w:bCs/>
                <w:color w:val="0A0A18"/>
                <w:sz w:val="18"/>
                <w:szCs w:val="18"/>
              </w:rPr>
              <w:t xml:space="preserve">Streams</w:t>
            </w:r>
          </w:p>
        </w:tc>
        <w:tc>
          <w:tcPr>
            <w:tcW w:type="dxa" w:w="900"/>
            <w:tcBorders>
              <w:top w:val="single" w:color="D4C8B8" w:sz="4"/>
              <w:left w:val="single" w:color="D4C8B8" w:sz="4"/>
              <w:bottom w:val="single" w:color="D4C8B8" w:sz="4"/>
              <w:right w:val="single" w:color="D4C8B8" w:sz="4"/>
            </w:tcBorders>
            <w:shd w:fill="EFE4D2" w:val="clear"/>
            <w:tcMar>
              <w:top w:type="dxa" w:w="80"/>
              <w:left w:type="dxa" w:w="100"/>
              <w:bottom w:type="dxa" w:w="80"/>
              <w:right w:type="dxa" w:w="100"/>
            </w:tcMar>
          </w:tcPr>
          <w:p>
            <w:pPr>
              <w:spacing w:after="0" w:before="0" w:line="240"/>
            </w:pPr>
            <w:r>
              <w:rPr>
                <w:rFonts w:ascii="Trebuchet MS" w:cs="Trebuchet MS" w:eastAsia="Trebuchet MS" w:hAnsi="Trebuchet MS"/>
                <w:b/>
                <w:bCs/>
                <w:color w:val="0A0A18"/>
                <w:sz w:val="18"/>
                <w:szCs w:val="18"/>
              </w:rPr>
              <w:t xml:space="preserve">DDB items</w:t>
            </w:r>
          </w:p>
        </w:tc>
        <w:tc>
          <w:tcPr>
            <w:tcW w:type="dxa" w:w="2300"/>
            <w:tcBorders>
              <w:top w:val="single" w:color="D4C8B8" w:sz="4"/>
              <w:left w:val="single" w:color="D4C8B8" w:sz="4"/>
              <w:bottom w:val="single" w:color="D4C8B8" w:sz="4"/>
              <w:right w:val="single" w:color="D4C8B8" w:sz="4"/>
            </w:tcBorders>
            <w:shd w:fill="EFE4D2" w:val="clear"/>
            <w:tcMar>
              <w:top w:type="dxa" w:w="80"/>
              <w:left w:type="dxa" w:w="100"/>
              <w:bottom w:type="dxa" w:w="80"/>
              <w:right w:type="dxa" w:w="100"/>
            </w:tcMar>
          </w:tcPr>
          <w:p>
            <w:pPr>
              <w:spacing w:after="0" w:before="0" w:line="240"/>
            </w:pPr>
            <w:r>
              <w:rPr>
                <w:rFonts w:ascii="Trebuchet MS" w:cs="Trebuchet MS" w:eastAsia="Trebuchet MS" w:hAnsi="Trebuchet MS"/>
                <w:b/>
                <w:bCs/>
                <w:color w:val="0A0A18"/>
                <w:sz w:val="18"/>
                <w:szCs w:val="18"/>
              </w:rPr>
              <w:t xml:space="preserve">Top DDB item / adds</w:t>
            </w:r>
          </w:p>
        </w:tc>
        <w:tc>
          <w:tcPr>
            <w:tcW w:type="dxa" w:w="1100"/>
            <w:tcBorders>
              <w:top w:val="single" w:color="D4C8B8" w:sz="4"/>
              <w:left w:val="single" w:color="D4C8B8" w:sz="4"/>
              <w:bottom w:val="single" w:color="D4C8B8" w:sz="4"/>
              <w:right w:val="single" w:color="D4C8B8" w:sz="4"/>
            </w:tcBorders>
            <w:shd w:fill="EFE4D2" w:val="clear"/>
            <w:tcMar>
              <w:top w:type="dxa" w:w="80"/>
              <w:left w:type="dxa" w:w="100"/>
              <w:bottom w:type="dxa" w:w="80"/>
              <w:right w:type="dxa" w:w="100"/>
            </w:tcMar>
          </w:tcPr>
          <w:p>
            <w:pPr>
              <w:spacing w:after="0" w:before="0" w:line="240"/>
            </w:pPr>
            <w:r>
              <w:rPr>
                <w:rFonts w:ascii="Trebuchet MS" w:cs="Trebuchet MS" w:eastAsia="Trebuchet MS" w:hAnsi="Trebuchet MS"/>
                <w:b/>
                <w:bCs/>
                <w:color w:val="0A0A18"/>
                <w:sz w:val="18"/>
                <w:szCs w:val="18"/>
              </w:rPr>
              <w:t xml:space="preserve">GMBinder</w:t>
            </w:r>
          </w:p>
        </w:tc>
        <w:tc>
          <w:tcPr>
            <w:tcW w:type="dxa" w:w="1200"/>
            <w:tcBorders>
              <w:top w:val="single" w:color="D4C8B8" w:sz="4"/>
              <w:left w:val="single" w:color="D4C8B8" w:sz="4"/>
              <w:bottom w:val="single" w:color="D4C8B8" w:sz="4"/>
              <w:right w:val="single" w:color="D4C8B8" w:sz="4"/>
            </w:tcBorders>
            <w:shd w:fill="EFE4D2" w:val="clear"/>
            <w:tcMar>
              <w:top w:type="dxa" w:w="80"/>
              <w:left w:type="dxa" w:w="100"/>
              <w:bottom w:type="dxa" w:w="80"/>
              <w:right w:type="dxa" w:w="100"/>
            </w:tcMar>
          </w:tcPr>
          <w:p>
            <w:pPr>
              <w:spacing w:after="0" w:before="0" w:line="240"/>
            </w:pPr>
            <w:r>
              <w:rPr>
                <w:rFonts w:ascii="Trebuchet MS" w:cs="Trebuchet MS" w:eastAsia="Trebuchet MS" w:hAnsi="Trebuchet MS"/>
                <w:b/>
                <w:bCs/>
                <w:color w:val="0A0A18"/>
                <w:sz w:val="18"/>
                <w:szCs w:val="18"/>
              </w:rPr>
              <w:t xml:space="preserve">Homebrewery</w:t>
            </w:r>
          </w:p>
        </w:tc>
      </w:tr>
      <w:tr>
        <w:tc>
          <w:tcPr>
            <w:tcW w:type="dxa" w:w="186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bCs/>
                <w:color w:val="2A2A3A"/>
                <w:sz w:val="18"/>
                <w:szCs w:val="18"/>
              </w:rPr>
              <w:t xml:space="preserve">Bloodborne</w:t>
            </w:r>
          </w:p>
        </w:tc>
        <w:tc>
          <w:tcPr>
            <w:tcW w:type="dxa" w:w="11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0.98</w:t>
            </w:r>
          </w:p>
        </w:tc>
        <w:tc>
          <w:tcPr>
            <w:tcW w:type="dxa" w:w="9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2 of 3</w:t>
            </w:r>
          </w:p>
        </w:tc>
        <w:tc>
          <w:tcPr>
            <w:tcW w:type="dxa" w:w="9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71</w:t>
            </w:r>
          </w:p>
        </w:tc>
        <w:tc>
          <w:tcPr>
            <w:tcW w:type="dxa" w:w="23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Bloodborne Hunter / 213</w:t>
            </w:r>
          </w:p>
        </w:tc>
        <w:tc>
          <w:tcPr>
            <w:tcW w:type="dxa" w:w="11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7</w:t>
            </w:r>
          </w:p>
        </w:tc>
        <w:tc>
          <w:tcPr>
            <w:tcW w:type="dxa" w:w="12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2</w:t>
            </w:r>
          </w:p>
        </w:tc>
      </w:tr>
      <w:tr>
        <w:tc>
          <w:tcPr>
            <w:tcW w:type="dxa" w:w="186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bCs/>
                <w:color w:val="2A2A3A"/>
                <w:sz w:val="18"/>
                <w:szCs w:val="18"/>
              </w:rPr>
              <w:t xml:space="preserve">Hollow Knight</w:t>
            </w:r>
          </w:p>
        </w:tc>
        <w:tc>
          <w:tcPr>
            <w:tcW w:type="dxa" w:w="110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0.94</w:t>
            </w:r>
          </w:p>
        </w:tc>
        <w:tc>
          <w:tcPr>
            <w:tcW w:type="dxa" w:w="90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2 of 3</w:t>
            </w:r>
          </w:p>
        </w:tc>
        <w:tc>
          <w:tcPr>
            <w:tcW w:type="dxa" w:w="90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50</w:t>
            </w:r>
          </w:p>
        </w:tc>
        <w:tc>
          <w:tcPr>
            <w:tcW w:type="dxa" w:w="230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Hollow Knight Vessel / 269</w:t>
            </w:r>
          </w:p>
        </w:tc>
        <w:tc>
          <w:tcPr>
            <w:tcW w:type="dxa" w:w="110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8</w:t>
            </w:r>
          </w:p>
        </w:tc>
        <w:tc>
          <w:tcPr>
            <w:tcW w:type="dxa" w:w="120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1</w:t>
            </w:r>
          </w:p>
        </w:tc>
      </w:tr>
      <w:tr>
        <w:tc>
          <w:tcPr>
            <w:tcW w:type="dxa" w:w="186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bCs/>
                <w:color w:val="2A2A3A"/>
                <w:sz w:val="18"/>
                <w:szCs w:val="18"/>
              </w:rPr>
              <w:t xml:space="preserve">Elden Ring</w:t>
            </w:r>
          </w:p>
        </w:tc>
        <w:tc>
          <w:tcPr>
            <w:tcW w:type="dxa" w:w="11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0.93</w:t>
            </w:r>
          </w:p>
        </w:tc>
        <w:tc>
          <w:tcPr>
            <w:tcW w:type="dxa" w:w="9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3 of 3</w:t>
            </w:r>
          </w:p>
        </w:tc>
        <w:tc>
          <w:tcPr>
            <w:tcW w:type="dxa" w:w="9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29</w:t>
            </w:r>
          </w:p>
        </w:tc>
        <w:tc>
          <w:tcPr>
            <w:tcW w:type="dxa" w:w="23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Margit the Fell Omen / 38</w:t>
            </w:r>
          </w:p>
        </w:tc>
        <w:tc>
          <w:tcPr>
            <w:tcW w:type="dxa" w:w="11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10</w:t>
            </w:r>
          </w:p>
        </w:tc>
        <w:tc>
          <w:tcPr>
            <w:tcW w:type="dxa" w:w="12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0</w:t>
            </w:r>
          </w:p>
        </w:tc>
      </w:tr>
      <w:tr>
        <w:tc>
          <w:tcPr>
            <w:tcW w:type="dxa" w:w="186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bCs/>
                <w:color w:val="2A2A3A"/>
                <w:sz w:val="18"/>
                <w:szCs w:val="18"/>
              </w:rPr>
              <w:t xml:space="preserve">Final Fantasy XIV</w:t>
            </w:r>
          </w:p>
        </w:tc>
        <w:tc>
          <w:tcPr>
            <w:tcW w:type="dxa" w:w="110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0.96</w:t>
            </w:r>
          </w:p>
        </w:tc>
        <w:tc>
          <w:tcPr>
            <w:tcW w:type="dxa" w:w="90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1 of 3</w:t>
            </w:r>
          </w:p>
        </w:tc>
        <w:tc>
          <w:tcPr>
            <w:tcW w:type="dxa" w:w="90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0</w:t>
            </w:r>
          </w:p>
        </w:tc>
        <w:tc>
          <w:tcPr>
            <w:tcW w:type="dxa" w:w="230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w:t>
            </w:r>
          </w:p>
        </w:tc>
        <w:tc>
          <w:tcPr>
            <w:tcW w:type="dxa" w:w="110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8</w:t>
            </w:r>
          </w:p>
        </w:tc>
        <w:tc>
          <w:tcPr>
            <w:tcW w:type="dxa" w:w="120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1</w:t>
            </w:r>
          </w:p>
        </w:tc>
      </w:tr>
      <w:tr>
        <w:tc>
          <w:tcPr>
            <w:tcW w:type="dxa" w:w="186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bCs/>
                <w:color w:val="2A2A3A"/>
                <w:sz w:val="18"/>
                <w:szCs w:val="18"/>
              </w:rPr>
              <w:t xml:space="preserve">Demon Slayer</w:t>
            </w:r>
          </w:p>
        </w:tc>
        <w:tc>
          <w:tcPr>
            <w:tcW w:type="dxa" w:w="11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0.81</w:t>
            </w:r>
          </w:p>
        </w:tc>
        <w:tc>
          <w:tcPr>
            <w:tcW w:type="dxa" w:w="9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2 of 3</w:t>
            </w:r>
          </w:p>
        </w:tc>
        <w:tc>
          <w:tcPr>
            <w:tcW w:type="dxa" w:w="9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55</w:t>
            </w:r>
          </w:p>
        </w:tc>
        <w:tc>
          <w:tcPr>
            <w:tcW w:type="dxa" w:w="23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Blood Hunter / Demon Slayer / 718</w:t>
            </w:r>
          </w:p>
        </w:tc>
        <w:tc>
          <w:tcPr>
            <w:tcW w:type="dxa" w:w="11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4</w:t>
            </w:r>
          </w:p>
        </w:tc>
        <w:tc>
          <w:tcPr>
            <w:tcW w:type="dxa" w:w="12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0</w:t>
            </w:r>
          </w:p>
        </w:tc>
      </w:tr>
      <w:tr>
        <w:tc>
          <w:tcPr>
            <w:tcW w:type="dxa" w:w="186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bCs/>
                <w:color w:val="2A2A3A"/>
                <w:sz w:val="18"/>
                <w:szCs w:val="18"/>
              </w:rPr>
              <w:t xml:space="preserve">One Piece</w:t>
            </w:r>
          </w:p>
        </w:tc>
        <w:tc>
          <w:tcPr>
            <w:tcW w:type="dxa" w:w="110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0.89</w:t>
            </w:r>
          </w:p>
        </w:tc>
        <w:tc>
          <w:tcPr>
            <w:tcW w:type="dxa" w:w="90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2 of 3</w:t>
            </w:r>
          </w:p>
        </w:tc>
        <w:tc>
          <w:tcPr>
            <w:tcW w:type="dxa" w:w="90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28</w:t>
            </w:r>
          </w:p>
        </w:tc>
        <w:tc>
          <w:tcPr>
            <w:tcW w:type="dxa" w:w="230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Cyborg (One Piece) / 75</w:t>
            </w:r>
          </w:p>
        </w:tc>
        <w:tc>
          <w:tcPr>
            <w:tcW w:type="dxa" w:w="110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7</w:t>
            </w:r>
          </w:p>
        </w:tc>
        <w:tc>
          <w:tcPr>
            <w:tcW w:type="dxa" w:w="120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3</w:t>
            </w:r>
          </w:p>
        </w:tc>
      </w:tr>
      <w:tr>
        <w:tc>
          <w:tcPr>
            <w:tcW w:type="dxa" w:w="186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bCs/>
                <w:color w:val="2A2A3A"/>
                <w:sz w:val="18"/>
                <w:szCs w:val="18"/>
              </w:rPr>
              <w:t xml:space="preserve">Berserk</w:t>
            </w:r>
          </w:p>
        </w:tc>
        <w:tc>
          <w:tcPr>
            <w:tcW w:type="dxa" w:w="11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0.74</w:t>
            </w:r>
          </w:p>
        </w:tc>
        <w:tc>
          <w:tcPr>
            <w:tcW w:type="dxa" w:w="9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3 of 3</w:t>
            </w:r>
          </w:p>
        </w:tc>
        <w:tc>
          <w:tcPr>
            <w:tcW w:type="dxa" w:w="9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25</w:t>
            </w:r>
          </w:p>
        </w:tc>
        <w:tc>
          <w:tcPr>
            <w:tcW w:type="dxa" w:w="23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Berserker Redux / 227</w:t>
            </w:r>
          </w:p>
        </w:tc>
        <w:tc>
          <w:tcPr>
            <w:tcW w:type="dxa" w:w="11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2</w:t>
            </w:r>
          </w:p>
        </w:tc>
        <w:tc>
          <w:tcPr>
            <w:tcW w:type="dxa" w:w="12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0</w:t>
            </w:r>
          </w:p>
        </w:tc>
      </w:tr>
      <w:tr>
        <w:tc>
          <w:tcPr>
            <w:tcW w:type="dxa" w:w="186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bCs/>
                <w:color w:val="2A2A3A"/>
                <w:sz w:val="18"/>
                <w:szCs w:val="18"/>
              </w:rPr>
              <w:t xml:space="preserve">Mistborn</w:t>
            </w:r>
          </w:p>
        </w:tc>
        <w:tc>
          <w:tcPr>
            <w:tcW w:type="dxa" w:w="110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0.73</w:t>
            </w:r>
          </w:p>
        </w:tc>
        <w:tc>
          <w:tcPr>
            <w:tcW w:type="dxa" w:w="90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2 of 3</w:t>
            </w:r>
          </w:p>
        </w:tc>
        <w:tc>
          <w:tcPr>
            <w:tcW w:type="dxa" w:w="90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44</w:t>
            </w:r>
          </w:p>
        </w:tc>
        <w:tc>
          <w:tcPr>
            <w:tcW w:type="dxa" w:w="230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Mistborn / 117</w:t>
            </w:r>
          </w:p>
        </w:tc>
        <w:tc>
          <w:tcPr>
            <w:tcW w:type="dxa" w:w="110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3</w:t>
            </w:r>
          </w:p>
        </w:tc>
        <w:tc>
          <w:tcPr>
            <w:tcW w:type="dxa" w:w="120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0</w:t>
            </w:r>
          </w:p>
        </w:tc>
      </w:tr>
      <w:tr>
        <w:tc>
          <w:tcPr>
            <w:tcW w:type="dxa" w:w="186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bCs/>
                <w:color w:val="2A2A3A"/>
                <w:sz w:val="18"/>
                <w:szCs w:val="18"/>
              </w:rPr>
              <w:t xml:space="preserve">Jujutsu Kaisen</w:t>
            </w:r>
          </w:p>
        </w:tc>
        <w:tc>
          <w:tcPr>
            <w:tcW w:type="dxa" w:w="11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0.91</w:t>
            </w:r>
          </w:p>
        </w:tc>
        <w:tc>
          <w:tcPr>
            <w:tcW w:type="dxa" w:w="9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2 of 3</w:t>
            </w:r>
          </w:p>
        </w:tc>
        <w:tc>
          <w:tcPr>
            <w:tcW w:type="dxa" w:w="9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0</w:t>
            </w:r>
          </w:p>
        </w:tc>
        <w:tc>
          <w:tcPr>
            <w:tcW w:type="dxa" w:w="23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w:t>
            </w:r>
          </w:p>
        </w:tc>
        <w:tc>
          <w:tcPr>
            <w:tcW w:type="dxa" w:w="11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5</w:t>
            </w:r>
          </w:p>
        </w:tc>
        <w:tc>
          <w:tcPr>
            <w:tcW w:type="dxa" w:w="12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1</w:t>
            </w:r>
          </w:p>
        </w:tc>
      </w:tr>
      <w:tr>
        <w:tc>
          <w:tcPr>
            <w:tcW w:type="dxa" w:w="186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bCs/>
                <w:color w:val="2A2A3A"/>
                <w:sz w:val="18"/>
                <w:szCs w:val="18"/>
              </w:rPr>
              <w:t xml:space="preserve">Discworld</w:t>
            </w:r>
          </w:p>
        </w:tc>
        <w:tc>
          <w:tcPr>
            <w:tcW w:type="dxa" w:w="110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0.81</w:t>
            </w:r>
          </w:p>
        </w:tc>
        <w:tc>
          <w:tcPr>
            <w:tcW w:type="dxa" w:w="90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1 of 3</w:t>
            </w:r>
          </w:p>
        </w:tc>
        <w:tc>
          <w:tcPr>
            <w:tcW w:type="dxa" w:w="90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0</w:t>
            </w:r>
          </w:p>
        </w:tc>
        <w:tc>
          <w:tcPr>
            <w:tcW w:type="dxa" w:w="230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w:t>
            </w:r>
          </w:p>
        </w:tc>
        <w:tc>
          <w:tcPr>
            <w:tcW w:type="dxa" w:w="110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6</w:t>
            </w:r>
          </w:p>
        </w:tc>
        <w:tc>
          <w:tcPr>
            <w:tcW w:type="dxa" w:w="120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0</w:t>
            </w:r>
          </w:p>
        </w:tc>
      </w:tr>
    </w:tbl>
    <w:p>
      <w:pPr>
        <w:spacing w:after="180"/>
      </w:pPr>
    </w:p>
    <w:p>
      <w:pPr>
        <w:spacing w:after="200" w:before="0" w:line="260"/>
      </w:pPr>
      <w:r>
        <w:rPr>
          <w:rFonts w:ascii="Calibri" w:cs="Calibri" w:eastAsia="Calibri" w:hAnsi="Calibri"/>
          <w:i/>
          <w:iCs/>
          <w:color w:val="606070"/>
          <w:sz w:val="18"/>
          <w:szCs w:val="18"/>
        </w:rPr>
        <w:t xml:space="preserve">Source: gold_data.homebrew_combined_proxy, snapshot 2026-04-30. "Adds" = the public DDB-Homebrew add count for the top-ranked unofficial item per IP.</w:t>
      </w:r>
    </w:p>
    <w:p>
      <w:pPr>
        <w:spacing w:after="160" w:before="0" w:line="300"/>
      </w:pPr>
      <w:r>
        <w:rPr>
          <w:rFonts w:ascii="Trebuchet MS" w:cs="Trebuchet MS" w:eastAsia="Trebuchet MS" w:hAnsi="Trebuchet MS"/>
          <w:b/>
          <w:bCs/>
          <w:color w:val="C46419"/>
          <w:sz w:val="22"/>
          <w:szCs w:val="22"/>
        </w:rPr>
        <w:t xml:space="preserve">What it tells us.</w:t>
      </w:r>
      <w:r>
        <w:rPr>
          <w:rFonts w:ascii="Calibri" w:cs="Calibri" w:eastAsia="Calibri" w:hAnsi="Calibri"/>
          <w:color w:val="2A2A3A"/>
          <w:sz w:val="22"/>
          <w:szCs w:val="22"/>
        </w:rPr>
        <w:t xml:space="preserve">  Two patterns. First, the all-three-streams set (Berserk, Elden Ring, plus three others not shown) is the highest-conviction gap — the community is building this content on three separate platforms, simultaneously. That's the canonical "we want this and you're not shipping it" signal. Second, the single-item adds count is the diagnostic: "Blood Hunter, Order of the Demon Slayer" has been added 718 times by D&amp;D Beyond users for a campaign — that's not noise, that's a community vote. The Berserker Redux subclass at 227 adds tells WoTC the rage-mechanic remix specifically, not just "Berserk" generically, is the rules-design vector.</w:t>
      </w:r>
    </w:p>
    <w:p>
      <w:pPr>
        <w:spacing w:after="160" w:before="0" w:line="300"/>
      </w:pPr>
      <w:r>
        <w:rPr>
          <w:rFonts w:ascii="Trebuchet MS" w:cs="Trebuchet MS" w:eastAsia="Trebuchet MS" w:hAnsi="Trebuchet MS"/>
          <w:b/>
          <w:bCs/>
          <w:color w:val="C46419"/>
          <w:sz w:val="22"/>
          <w:szCs w:val="22"/>
        </w:rPr>
        <w:t xml:space="preserve">What this enables.</w:t>
      </w:r>
      <w:r>
        <w:rPr>
          <w:rFonts w:ascii="Calibri" w:cs="Calibri" w:eastAsia="Calibri" w:hAnsi="Calibri"/>
          <w:color w:val="2A2A3A"/>
          <w:sz w:val="22"/>
          <w:szCs w:val="22"/>
        </w:rPr>
        <w:t xml:space="preserve">  Pre-licensing pitch: "the Berserk fanbase is already running 25 unofficial homebrew artifacts on D&amp;D Beyond, including a 227-add Berserker subclass — your audience-conversion cost is near zero because they've already converted themselves." Plus the same query, run quarterly, surfaces the velocity changes: which IPs jumped from "sufficient_one" to "sufficient_all_three" in the last 90 days. That delta is the early-warning track for the next licensing window.</w:t>
      </w:r>
    </w:p>
    <w:p>
      <w:r>
        <w:br w:type="page"/>
      </w:r>
    </w:p>
    <w:p>
      <w:pPr>
        <w:spacing w:after="80" w:before="200" w:line="280"/>
      </w:pPr>
      <w:r>
        <w:rPr>
          <w:rFonts w:ascii="Trebuchet MS" w:cs="Trebuchet MS" w:eastAsia="Trebuchet MS" w:hAnsi="Trebuchet MS"/>
          <w:b/>
          <w:bCs/>
          <w:color w:val="C46419"/>
          <w:spacing w:val="60"/>
          <w:sz w:val="18"/>
          <w:szCs w:val="18"/>
        </w:rPr>
        <w:t xml:space="preserve">USE CASE A3  ·  PROOF OF USE</w:t>
      </w:r>
    </w:p>
    <w:p>
      <w:pPr>
        <w:spacing w:after="120" w:before="0" w:line="280"/>
      </w:pPr>
      <w:r>
        <w:rPr>
          <w:rFonts w:ascii="Trebuchet MS" w:cs="Trebuchet MS" w:eastAsia="Trebuchet MS" w:hAnsi="Trebuchet MS"/>
          <w:b/>
          <w:bCs/>
          <w:color w:val="0A0A18"/>
          <w:sz w:val="32"/>
          <w:szCs w:val="32"/>
        </w:rPr>
        <w:t xml:space="preserve">The Mechanic Demand Detector</w:t>
      </w:r>
    </w:p>
    <w:p>
      <w:pPr>
        <w:pBdr>
          <w:bottom w:val="single" w:color="C46419" w:sz="18" w:space="1"/>
        </w:pBdr>
        <w:spacing w:after="200" w:before="40"/>
      </w:pPr>
    </w:p>
    <w:p>
      <w:pPr>
        <w:spacing w:after="160" w:before="0" w:line="300"/>
      </w:pPr>
      <w:r>
        <w:rPr>
          <w:rFonts w:ascii="Trebuchet MS" w:cs="Trebuchet MS" w:eastAsia="Trebuchet MS" w:hAnsi="Trebuchet MS"/>
          <w:b/>
          <w:bCs/>
          <w:color w:val="C46419"/>
          <w:sz w:val="22"/>
          <w:szCs w:val="22"/>
        </w:rPr>
        <w:t xml:space="preserve">The question.</w:t>
      </w:r>
      <w:r>
        <w:rPr>
          <w:rFonts w:ascii="Calibri" w:cs="Calibri" w:eastAsia="Calibri" w:hAnsi="Calibri"/>
          <w:color w:val="2A2A3A"/>
          <w:sz w:val="22"/>
          <w:szCs w:val="22"/>
        </w:rPr>
        <w:t xml:space="preserve">  Three independent streams measure each D&amp;D class: search interest (curiosity), community discussion (community), and creator output (creator). When these three diverge for the same class, what does each pattern of disagreement mean for design priorities?</w:t>
      </w:r>
    </w:p>
    <w:p>
      <w:pPr>
        <w:spacing w:after="160" w:before="0" w:line="300"/>
      </w:pPr>
      <w:r>
        <w:rPr>
          <w:rFonts w:ascii="Trebuchet MS" w:cs="Trebuchet MS" w:eastAsia="Trebuchet MS" w:hAnsi="Trebuchet MS"/>
          <w:b/>
          <w:bCs/>
          <w:color w:val="C46419"/>
          <w:sz w:val="22"/>
          <w:szCs w:val="22"/>
        </w:rPr>
        <w:t xml:space="preserve">What we ran.</w:t>
      </w:r>
      <w:r>
        <w:rPr>
          <w:rFonts w:ascii="Calibri" w:cs="Calibri" w:eastAsia="Calibri" w:hAnsi="Calibri"/>
          <w:color w:val="2A2A3A"/>
          <w:sz w:val="22"/>
          <w:szCs w:val="22"/>
        </w:rPr>
        <w:t xml:space="preserve">  Pulled the composite_concept_index for D&amp;D's 12 evergreen classes. Each stream contributes a normalized 0-1 score; we additionally surface curiosity_momentum and community_momentum — the directional 7-day deltas. The reading column is the divergence interpretation derived from the score-spread.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4C8B8" w:sz="4"/>
              <w:left w:val="single" w:color="C46419" w:sz="18"/>
              <w:bottom w:val="single" w:color="D4C8B8" w:sz="4"/>
              <w:right w:val="single" w:color="D4C8B8" w:sz="4"/>
            </w:tcBorders>
            <w:shd w:fill="FAF6F0" w:val="clear"/>
            <w:tcMar>
              <w:top w:type="dxa" w:w="160"/>
              <w:left w:type="dxa" w:w="240"/>
              <w:bottom w:type="dxa" w:w="160"/>
              <w:right w:type="dxa" w:w="240"/>
            </w:tcMar>
          </w:tcPr>
          <w:p>
            <w:pPr>
              <w:spacing w:after="0" w:before="0" w:line="260"/>
            </w:pPr>
            <w:r>
              <w:rPr>
                <w:rFonts w:ascii="Consolas" w:cs="Consolas" w:eastAsia="Consolas" w:hAnsi="Consolas"/>
                <w:color w:val="0A0A18"/>
                <w:sz w:val="18"/>
                <w:szCs w:val="18"/>
              </w:rPr>
              <w:t xml:space="preserve">SELECT concept_name, curiosity_score, community_score, creator_score,
       demand_score, ROUND(community_score - curiosity_score, 2) AS comm_minus_search,
       streams_present
FROM gold_data.composite_concept_index
WHERE category = 'Class' AND is_active = TRUE AND streams_present &gt;= 3
ORDER BY community_score DESC NULLS LAST;</w:t>
            </w:r>
          </w:p>
        </w:tc>
      </w:tr>
    </w:tbl>
    <w:p>
      <w:pPr>
        <w:spacing w:after="180"/>
      </w:pPr>
    </w:p>
    <w:p>
      <w:pPr>
        <w:spacing w:after="160" w:before="0" w:line="300"/>
      </w:pPr>
      <w:r>
        <w:rPr>
          <w:rFonts w:ascii="Trebuchet MS" w:cs="Trebuchet MS" w:eastAsia="Trebuchet MS" w:hAnsi="Trebuchet MS"/>
          <w:b/>
          <w:bCs/>
          <w:color w:val="C46419"/>
          <w:sz w:val="22"/>
          <w:szCs w:val="22"/>
        </w:rPr>
        <w:t xml:space="preserve">What came back.</w:t>
      </w:r>
      <w:r>
        <w:rPr>
          <w:rFonts w:ascii="Calibri" w:cs="Calibri" w:eastAsia="Calibri" w:hAnsi="Calibri"/>
          <w:color w:val="2A2A3A"/>
          <w:sz w:val="22"/>
          <w:szCs w:val="22"/>
        </w:rPr>
        <w:t xml:space="preserve">  Twelve classes, three stream scores, plus the divergence reading. The fourth column (Comm − Search) is the diagnostic — positive means community advocates more than the public searches; negative means search-led discovery has outrun community engagement: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000"/>
        <w:gridCol w:w="1200"/>
        <w:gridCol w:w="1000"/>
        <w:gridCol w:w="1500"/>
        <w:gridCol w:w="3160"/>
      </w:tblGrid>
      <w:tr>
        <w:trPr>
          <w:tblHeader/>
        </w:trPr>
        <w:tc>
          <w:tcPr>
            <w:tcW w:type="dxa" w:w="1500"/>
            <w:tcBorders>
              <w:top w:val="single" w:color="D4C8B8" w:sz="4"/>
              <w:left w:val="single" w:color="D4C8B8" w:sz="4"/>
              <w:bottom w:val="single" w:color="D4C8B8" w:sz="4"/>
              <w:right w:val="single" w:color="D4C8B8" w:sz="4"/>
            </w:tcBorders>
            <w:shd w:fill="EFE4D2" w:val="clear"/>
            <w:tcMar>
              <w:top w:type="dxa" w:w="80"/>
              <w:left w:type="dxa" w:w="100"/>
              <w:bottom w:type="dxa" w:w="80"/>
              <w:right w:type="dxa" w:w="100"/>
            </w:tcMar>
          </w:tcPr>
          <w:p>
            <w:pPr>
              <w:spacing w:after="0" w:before="0" w:line="240"/>
            </w:pPr>
            <w:r>
              <w:rPr>
                <w:rFonts w:ascii="Trebuchet MS" w:cs="Trebuchet MS" w:eastAsia="Trebuchet MS" w:hAnsi="Trebuchet MS"/>
                <w:b/>
                <w:bCs/>
                <w:color w:val="0A0A18"/>
                <w:sz w:val="18"/>
                <w:szCs w:val="18"/>
              </w:rPr>
              <w:t xml:space="preserve">Class</w:t>
            </w:r>
          </w:p>
        </w:tc>
        <w:tc>
          <w:tcPr>
            <w:tcW w:type="dxa" w:w="1000"/>
            <w:tcBorders>
              <w:top w:val="single" w:color="D4C8B8" w:sz="4"/>
              <w:left w:val="single" w:color="D4C8B8" w:sz="4"/>
              <w:bottom w:val="single" w:color="D4C8B8" w:sz="4"/>
              <w:right w:val="single" w:color="D4C8B8" w:sz="4"/>
            </w:tcBorders>
            <w:shd w:fill="EFE4D2" w:val="clear"/>
            <w:tcMar>
              <w:top w:type="dxa" w:w="80"/>
              <w:left w:type="dxa" w:w="100"/>
              <w:bottom w:type="dxa" w:w="80"/>
              <w:right w:type="dxa" w:w="100"/>
            </w:tcMar>
          </w:tcPr>
          <w:p>
            <w:pPr>
              <w:spacing w:after="0" w:before="0" w:line="240"/>
            </w:pPr>
            <w:r>
              <w:rPr>
                <w:rFonts w:ascii="Trebuchet MS" w:cs="Trebuchet MS" w:eastAsia="Trebuchet MS" w:hAnsi="Trebuchet MS"/>
                <w:b/>
                <w:bCs/>
                <w:color w:val="0A0A18"/>
                <w:sz w:val="18"/>
                <w:szCs w:val="18"/>
              </w:rPr>
              <w:t xml:space="preserve">Search</w:t>
            </w:r>
          </w:p>
        </w:tc>
        <w:tc>
          <w:tcPr>
            <w:tcW w:type="dxa" w:w="1200"/>
            <w:tcBorders>
              <w:top w:val="single" w:color="D4C8B8" w:sz="4"/>
              <w:left w:val="single" w:color="D4C8B8" w:sz="4"/>
              <w:bottom w:val="single" w:color="D4C8B8" w:sz="4"/>
              <w:right w:val="single" w:color="D4C8B8" w:sz="4"/>
            </w:tcBorders>
            <w:shd w:fill="EFE4D2" w:val="clear"/>
            <w:tcMar>
              <w:top w:type="dxa" w:w="80"/>
              <w:left w:type="dxa" w:w="100"/>
              <w:bottom w:type="dxa" w:w="80"/>
              <w:right w:type="dxa" w:w="100"/>
            </w:tcMar>
          </w:tcPr>
          <w:p>
            <w:pPr>
              <w:spacing w:after="0" w:before="0" w:line="240"/>
            </w:pPr>
            <w:r>
              <w:rPr>
                <w:rFonts w:ascii="Trebuchet MS" w:cs="Trebuchet MS" w:eastAsia="Trebuchet MS" w:hAnsi="Trebuchet MS"/>
                <w:b/>
                <w:bCs/>
                <w:color w:val="0A0A18"/>
                <w:sz w:val="18"/>
                <w:szCs w:val="18"/>
              </w:rPr>
              <w:t xml:space="preserve">Community</w:t>
            </w:r>
          </w:p>
        </w:tc>
        <w:tc>
          <w:tcPr>
            <w:tcW w:type="dxa" w:w="1000"/>
            <w:tcBorders>
              <w:top w:val="single" w:color="D4C8B8" w:sz="4"/>
              <w:left w:val="single" w:color="D4C8B8" w:sz="4"/>
              <w:bottom w:val="single" w:color="D4C8B8" w:sz="4"/>
              <w:right w:val="single" w:color="D4C8B8" w:sz="4"/>
            </w:tcBorders>
            <w:shd w:fill="EFE4D2" w:val="clear"/>
            <w:tcMar>
              <w:top w:type="dxa" w:w="80"/>
              <w:left w:type="dxa" w:w="100"/>
              <w:bottom w:type="dxa" w:w="80"/>
              <w:right w:type="dxa" w:w="100"/>
            </w:tcMar>
          </w:tcPr>
          <w:p>
            <w:pPr>
              <w:spacing w:after="0" w:before="0" w:line="240"/>
            </w:pPr>
            <w:r>
              <w:rPr>
                <w:rFonts w:ascii="Trebuchet MS" w:cs="Trebuchet MS" w:eastAsia="Trebuchet MS" w:hAnsi="Trebuchet MS"/>
                <w:b/>
                <w:bCs/>
                <w:color w:val="0A0A18"/>
                <w:sz w:val="18"/>
                <w:szCs w:val="18"/>
              </w:rPr>
              <w:t xml:space="preserve">Creator</w:t>
            </w:r>
          </w:p>
        </w:tc>
        <w:tc>
          <w:tcPr>
            <w:tcW w:type="dxa" w:w="1500"/>
            <w:tcBorders>
              <w:top w:val="single" w:color="D4C8B8" w:sz="4"/>
              <w:left w:val="single" w:color="D4C8B8" w:sz="4"/>
              <w:bottom w:val="single" w:color="D4C8B8" w:sz="4"/>
              <w:right w:val="single" w:color="D4C8B8" w:sz="4"/>
            </w:tcBorders>
            <w:shd w:fill="EFE4D2" w:val="clear"/>
            <w:tcMar>
              <w:top w:type="dxa" w:w="80"/>
              <w:left w:type="dxa" w:w="100"/>
              <w:bottom w:type="dxa" w:w="80"/>
              <w:right w:type="dxa" w:w="100"/>
            </w:tcMar>
          </w:tcPr>
          <w:p>
            <w:pPr>
              <w:spacing w:after="0" w:before="0" w:line="240"/>
            </w:pPr>
            <w:r>
              <w:rPr>
                <w:rFonts w:ascii="Trebuchet MS" w:cs="Trebuchet MS" w:eastAsia="Trebuchet MS" w:hAnsi="Trebuchet MS"/>
                <w:b/>
                <w:bCs/>
                <w:color w:val="0A0A18"/>
                <w:sz w:val="18"/>
                <w:szCs w:val="18"/>
              </w:rPr>
              <w:t xml:space="preserve">Comm − Search</w:t>
            </w:r>
          </w:p>
        </w:tc>
        <w:tc>
          <w:tcPr>
            <w:tcW w:type="dxa" w:w="3160"/>
            <w:tcBorders>
              <w:top w:val="single" w:color="D4C8B8" w:sz="4"/>
              <w:left w:val="single" w:color="D4C8B8" w:sz="4"/>
              <w:bottom w:val="single" w:color="D4C8B8" w:sz="4"/>
              <w:right w:val="single" w:color="D4C8B8" w:sz="4"/>
            </w:tcBorders>
            <w:shd w:fill="EFE4D2" w:val="clear"/>
            <w:tcMar>
              <w:top w:type="dxa" w:w="80"/>
              <w:left w:type="dxa" w:w="100"/>
              <w:bottom w:type="dxa" w:w="80"/>
              <w:right w:type="dxa" w:w="100"/>
            </w:tcMar>
          </w:tcPr>
          <w:p>
            <w:pPr>
              <w:spacing w:after="0" w:before="0" w:line="240"/>
            </w:pPr>
            <w:r>
              <w:rPr>
                <w:rFonts w:ascii="Trebuchet MS" w:cs="Trebuchet MS" w:eastAsia="Trebuchet MS" w:hAnsi="Trebuchet MS"/>
                <w:b/>
                <w:bCs/>
                <w:color w:val="0A0A18"/>
                <w:sz w:val="18"/>
                <w:szCs w:val="18"/>
              </w:rPr>
              <w:t xml:space="preserve">Reading</w:t>
            </w:r>
          </w:p>
        </w:tc>
      </w:tr>
      <w:tr>
        <w:tc>
          <w:tcPr>
            <w:tcW w:type="dxa" w:w="15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bCs/>
                <w:color w:val="2A2A3A"/>
                <w:sz w:val="18"/>
                <w:szCs w:val="18"/>
              </w:rPr>
              <w:t xml:space="preserve">Paladin</w:t>
            </w:r>
          </w:p>
        </w:tc>
        <w:tc>
          <w:tcPr>
            <w:tcW w:type="dxa" w:w="10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0.97</w:t>
            </w:r>
          </w:p>
        </w:tc>
        <w:tc>
          <w:tcPr>
            <w:tcW w:type="dxa" w:w="12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0.96</w:t>
            </w:r>
          </w:p>
        </w:tc>
        <w:tc>
          <w:tcPr>
            <w:tcW w:type="dxa" w:w="10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0.96</w:t>
            </w:r>
          </w:p>
        </w:tc>
        <w:tc>
          <w:tcPr>
            <w:tcW w:type="dxa" w:w="15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−0.01</w:t>
            </w:r>
          </w:p>
        </w:tc>
        <w:tc>
          <w:tcPr>
            <w:tcW w:type="dxa" w:w="316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Aligned high — saturated</w:t>
            </w:r>
          </w:p>
        </w:tc>
      </w:tr>
      <w:tr>
        <w:tc>
          <w:tcPr>
            <w:tcW w:type="dxa" w:w="150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bCs/>
                <w:color w:val="2A2A3A"/>
                <w:sz w:val="18"/>
                <w:szCs w:val="18"/>
              </w:rPr>
              <w:t xml:space="preserve">Fighter</w:t>
            </w:r>
          </w:p>
        </w:tc>
        <w:tc>
          <w:tcPr>
            <w:tcW w:type="dxa" w:w="100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0.98</w:t>
            </w:r>
          </w:p>
        </w:tc>
        <w:tc>
          <w:tcPr>
            <w:tcW w:type="dxa" w:w="120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0.94</w:t>
            </w:r>
          </w:p>
        </w:tc>
        <w:tc>
          <w:tcPr>
            <w:tcW w:type="dxa" w:w="100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0.96</w:t>
            </w:r>
          </w:p>
        </w:tc>
        <w:tc>
          <w:tcPr>
            <w:tcW w:type="dxa" w:w="150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−0.04</w:t>
            </w:r>
          </w:p>
        </w:tc>
        <w:tc>
          <w:tcPr>
            <w:tcW w:type="dxa" w:w="316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Search-led, broad appeal</w:t>
            </w:r>
          </w:p>
        </w:tc>
      </w:tr>
      <w:tr>
        <w:tc>
          <w:tcPr>
            <w:tcW w:type="dxa" w:w="15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bCs/>
                <w:color w:val="2A2A3A"/>
                <w:sz w:val="18"/>
                <w:szCs w:val="18"/>
              </w:rPr>
              <w:t xml:space="preserve">Warlock</w:t>
            </w:r>
          </w:p>
        </w:tc>
        <w:tc>
          <w:tcPr>
            <w:tcW w:type="dxa" w:w="10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0.71</w:t>
            </w:r>
          </w:p>
        </w:tc>
        <w:tc>
          <w:tcPr>
            <w:tcW w:type="dxa" w:w="12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0.95</w:t>
            </w:r>
          </w:p>
        </w:tc>
        <w:tc>
          <w:tcPr>
            <w:tcW w:type="dxa" w:w="10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0.99</w:t>
            </w:r>
          </w:p>
        </w:tc>
        <w:tc>
          <w:tcPr>
            <w:tcW w:type="dxa" w:w="15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+0.24</w:t>
            </w:r>
          </w:p>
        </w:tc>
        <w:tc>
          <w:tcPr>
            <w:tcW w:type="dxa" w:w="316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Community + creator advocacy</w:t>
            </w:r>
          </w:p>
        </w:tc>
      </w:tr>
      <w:tr>
        <w:tc>
          <w:tcPr>
            <w:tcW w:type="dxa" w:w="150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bCs/>
                <w:color w:val="2A2A3A"/>
                <w:sz w:val="18"/>
                <w:szCs w:val="18"/>
              </w:rPr>
              <w:t xml:space="preserve">Sorcerer</w:t>
            </w:r>
          </w:p>
        </w:tc>
        <w:tc>
          <w:tcPr>
            <w:tcW w:type="dxa" w:w="100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0.68</w:t>
            </w:r>
          </w:p>
        </w:tc>
        <w:tc>
          <w:tcPr>
            <w:tcW w:type="dxa" w:w="120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0.93</w:t>
            </w:r>
          </w:p>
        </w:tc>
        <w:tc>
          <w:tcPr>
            <w:tcW w:type="dxa" w:w="100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w:t>
            </w:r>
          </w:p>
        </w:tc>
        <w:tc>
          <w:tcPr>
            <w:tcW w:type="dxa" w:w="150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+0.25</w:t>
            </w:r>
          </w:p>
        </w:tc>
        <w:tc>
          <w:tcPr>
            <w:tcW w:type="dxa" w:w="316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Community-led — under-marketed</w:t>
            </w:r>
          </w:p>
        </w:tc>
      </w:tr>
      <w:tr>
        <w:tc>
          <w:tcPr>
            <w:tcW w:type="dxa" w:w="15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bCs/>
                <w:color w:val="2A2A3A"/>
                <w:sz w:val="18"/>
                <w:szCs w:val="18"/>
              </w:rPr>
              <w:t xml:space="preserve">Barbarian</w:t>
            </w:r>
          </w:p>
        </w:tc>
        <w:tc>
          <w:tcPr>
            <w:tcW w:type="dxa" w:w="10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0.93</w:t>
            </w:r>
          </w:p>
        </w:tc>
        <w:tc>
          <w:tcPr>
            <w:tcW w:type="dxa" w:w="12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0.93</w:t>
            </w:r>
          </w:p>
        </w:tc>
        <w:tc>
          <w:tcPr>
            <w:tcW w:type="dxa" w:w="10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0.96</w:t>
            </w:r>
          </w:p>
        </w:tc>
        <w:tc>
          <w:tcPr>
            <w:tcW w:type="dxa" w:w="15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0.00</w:t>
            </w:r>
          </w:p>
        </w:tc>
        <w:tc>
          <w:tcPr>
            <w:tcW w:type="dxa" w:w="316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Aligned</w:t>
            </w:r>
          </w:p>
        </w:tc>
      </w:tr>
      <w:tr>
        <w:tc>
          <w:tcPr>
            <w:tcW w:type="dxa" w:w="150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bCs/>
                <w:color w:val="2A2A3A"/>
                <w:sz w:val="18"/>
                <w:szCs w:val="18"/>
              </w:rPr>
              <w:t xml:space="preserve">Rogue</w:t>
            </w:r>
          </w:p>
        </w:tc>
        <w:tc>
          <w:tcPr>
            <w:tcW w:type="dxa" w:w="100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0.89</w:t>
            </w:r>
          </w:p>
        </w:tc>
        <w:tc>
          <w:tcPr>
            <w:tcW w:type="dxa" w:w="120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0.90</w:t>
            </w:r>
          </w:p>
        </w:tc>
        <w:tc>
          <w:tcPr>
            <w:tcW w:type="dxa" w:w="100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0.96</w:t>
            </w:r>
          </w:p>
        </w:tc>
        <w:tc>
          <w:tcPr>
            <w:tcW w:type="dxa" w:w="150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+0.01</w:t>
            </w:r>
          </w:p>
        </w:tc>
        <w:tc>
          <w:tcPr>
            <w:tcW w:type="dxa" w:w="316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Aligned</w:t>
            </w:r>
          </w:p>
        </w:tc>
      </w:tr>
      <w:tr>
        <w:tc>
          <w:tcPr>
            <w:tcW w:type="dxa" w:w="15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bCs/>
                <w:color w:val="2A2A3A"/>
                <w:sz w:val="18"/>
                <w:szCs w:val="18"/>
              </w:rPr>
              <w:t xml:space="preserve">Ranger</w:t>
            </w:r>
          </w:p>
        </w:tc>
        <w:tc>
          <w:tcPr>
            <w:tcW w:type="dxa" w:w="10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0.96</w:t>
            </w:r>
          </w:p>
        </w:tc>
        <w:tc>
          <w:tcPr>
            <w:tcW w:type="dxa" w:w="12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0.85</w:t>
            </w:r>
          </w:p>
        </w:tc>
        <w:tc>
          <w:tcPr>
            <w:tcW w:type="dxa" w:w="10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0.99</w:t>
            </w:r>
          </w:p>
        </w:tc>
        <w:tc>
          <w:tcPr>
            <w:tcW w:type="dxa" w:w="15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−0.11</w:t>
            </w:r>
          </w:p>
        </w:tc>
        <w:tc>
          <w:tcPr>
            <w:tcW w:type="dxa" w:w="316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Search-led discovery</w:t>
            </w:r>
          </w:p>
        </w:tc>
      </w:tr>
      <w:tr>
        <w:tc>
          <w:tcPr>
            <w:tcW w:type="dxa" w:w="150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bCs/>
                <w:color w:val="2A2A3A"/>
                <w:sz w:val="18"/>
                <w:szCs w:val="18"/>
              </w:rPr>
              <w:t xml:space="preserve">Bard</w:t>
            </w:r>
          </w:p>
        </w:tc>
        <w:tc>
          <w:tcPr>
            <w:tcW w:type="dxa" w:w="100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0.75</w:t>
            </w:r>
          </w:p>
        </w:tc>
        <w:tc>
          <w:tcPr>
            <w:tcW w:type="dxa" w:w="120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0.87</w:t>
            </w:r>
          </w:p>
        </w:tc>
        <w:tc>
          <w:tcPr>
            <w:tcW w:type="dxa" w:w="100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0.99</w:t>
            </w:r>
          </w:p>
        </w:tc>
        <w:tc>
          <w:tcPr>
            <w:tcW w:type="dxa" w:w="150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+0.13</w:t>
            </w:r>
          </w:p>
        </w:tc>
        <w:tc>
          <w:tcPr>
            <w:tcW w:type="dxa" w:w="316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Community + creator</w:t>
            </w:r>
          </w:p>
        </w:tc>
      </w:tr>
      <w:tr>
        <w:tc>
          <w:tcPr>
            <w:tcW w:type="dxa" w:w="15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bCs/>
                <w:color w:val="2A2A3A"/>
                <w:sz w:val="18"/>
                <w:szCs w:val="18"/>
              </w:rPr>
              <w:t xml:space="preserve">Wizard</w:t>
            </w:r>
          </w:p>
        </w:tc>
        <w:tc>
          <w:tcPr>
            <w:tcW w:type="dxa" w:w="10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0.85</w:t>
            </w:r>
          </w:p>
        </w:tc>
        <w:tc>
          <w:tcPr>
            <w:tcW w:type="dxa" w:w="12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0.85</w:t>
            </w:r>
          </w:p>
        </w:tc>
        <w:tc>
          <w:tcPr>
            <w:tcW w:type="dxa" w:w="10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0.96</w:t>
            </w:r>
          </w:p>
        </w:tc>
        <w:tc>
          <w:tcPr>
            <w:tcW w:type="dxa" w:w="15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0.00</w:t>
            </w:r>
          </w:p>
        </w:tc>
        <w:tc>
          <w:tcPr>
            <w:tcW w:type="dxa" w:w="316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Aligned</w:t>
            </w:r>
          </w:p>
        </w:tc>
      </w:tr>
      <w:tr>
        <w:tc>
          <w:tcPr>
            <w:tcW w:type="dxa" w:w="150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bCs/>
                <w:color w:val="2A2A3A"/>
                <w:sz w:val="18"/>
                <w:szCs w:val="18"/>
              </w:rPr>
              <w:t xml:space="preserve">Cleric</w:t>
            </w:r>
          </w:p>
        </w:tc>
        <w:tc>
          <w:tcPr>
            <w:tcW w:type="dxa" w:w="100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0.95</w:t>
            </w:r>
          </w:p>
        </w:tc>
        <w:tc>
          <w:tcPr>
            <w:tcW w:type="dxa" w:w="120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0.72</w:t>
            </w:r>
          </w:p>
        </w:tc>
        <w:tc>
          <w:tcPr>
            <w:tcW w:type="dxa" w:w="100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0.96</w:t>
            </w:r>
          </w:p>
        </w:tc>
        <w:tc>
          <w:tcPr>
            <w:tcW w:type="dxa" w:w="150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−0.23</w:t>
            </w:r>
          </w:p>
        </w:tc>
        <w:tc>
          <w:tcPr>
            <w:tcW w:type="dxa" w:w="316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Search-led — newcomer entry</w:t>
            </w:r>
          </w:p>
        </w:tc>
      </w:tr>
      <w:tr>
        <w:tc>
          <w:tcPr>
            <w:tcW w:type="dxa" w:w="15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bCs/>
                <w:color w:val="2A2A3A"/>
                <w:sz w:val="18"/>
                <w:szCs w:val="18"/>
              </w:rPr>
              <w:t xml:space="preserve">Monk</w:t>
            </w:r>
          </w:p>
        </w:tc>
        <w:tc>
          <w:tcPr>
            <w:tcW w:type="dxa" w:w="10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0.78</w:t>
            </w:r>
          </w:p>
        </w:tc>
        <w:tc>
          <w:tcPr>
            <w:tcW w:type="dxa" w:w="12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0.98</w:t>
            </w:r>
          </w:p>
        </w:tc>
        <w:tc>
          <w:tcPr>
            <w:tcW w:type="dxa" w:w="10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0.99</w:t>
            </w:r>
          </w:p>
        </w:tc>
        <w:tc>
          <w:tcPr>
            <w:tcW w:type="dxa" w:w="15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+0.20</w:t>
            </w:r>
          </w:p>
        </w:tc>
        <w:tc>
          <w:tcPr>
            <w:tcW w:type="dxa" w:w="316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Community + creator beloved</w:t>
            </w:r>
          </w:p>
        </w:tc>
      </w:tr>
      <w:tr>
        <w:tc>
          <w:tcPr>
            <w:tcW w:type="dxa" w:w="150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bCs/>
                <w:color w:val="2A2A3A"/>
                <w:sz w:val="18"/>
                <w:szCs w:val="18"/>
              </w:rPr>
              <w:t xml:space="preserve">Artificer</w:t>
            </w:r>
          </w:p>
        </w:tc>
        <w:tc>
          <w:tcPr>
            <w:tcW w:type="dxa" w:w="100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0.72</w:t>
            </w:r>
          </w:p>
        </w:tc>
        <w:tc>
          <w:tcPr>
            <w:tcW w:type="dxa" w:w="120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0.83</w:t>
            </w:r>
          </w:p>
        </w:tc>
        <w:tc>
          <w:tcPr>
            <w:tcW w:type="dxa" w:w="100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w:t>
            </w:r>
          </w:p>
        </w:tc>
        <w:tc>
          <w:tcPr>
            <w:tcW w:type="dxa" w:w="150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+0.11</w:t>
            </w:r>
          </w:p>
        </w:tc>
        <w:tc>
          <w:tcPr>
            <w:tcW w:type="dxa" w:w="316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Community-led, no creator</w:t>
            </w:r>
          </w:p>
        </w:tc>
      </w:tr>
    </w:tbl>
    <w:p>
      <w:pPr>
        <w:spacing w:after="180"/>
      </w:pPr>
    </w:p>
    <w:p>
      <w:pPr>
        <w:spacing w:after="200" w:before="0" w:line="260"/>
      </w:pPr>
      <w:r>
        <w:rPr>
          <w:rFonts w:ascii="Calibri" w:cs="Calibri" w:eastAsia="Calibri" w:hAnsi="Calibri"/>
          <w:i/>
          <w:iCs/>
          <w:color w:val="606070"/>
          <w:sz w:val="18"/>
          <w:szCs w:val="18"/>
        </w:rPr>
        <w:t xml:space="preserve">Source: gold_data.composite_concept_index, snapshot 2026-04-30, ruleset = Core Evergreen except Artificer (2014). "—" = creator stream returned 0 for that class, treated as missing rather than zero.</w:t>
      </w:r>
    </w:p>
    <w:p>
      <w:pPr>
        <w:spacing w:after="160" w:before="0" w:line="300"/>
      </w:pPr>
      <w:r>
        <w:rPr>
          <w:rFonts w:ascii="Trebuchet MS" w:cs="Trebuchet MS" w:eastAsia="Trebuchet MS" w:hAnsi="Trebuchet MS"/>
          <w:b/>
          <w:bCs/>
          <w:color w:val="C46419"/>
          <w:sz w:val="22"/>
          <w:szCs w:val="22"/>
        </w:rPr>
        <w:t xml:space="preserve">What it tells us.</w:t>
      </w:r>
      <w:r>
        <w:rPr>
          <w:rFonts w:ascii="Calibri" w:cs="Calibri" w:eastAsia="Calibri" w:hAnsi="Calibri"/>
          <w:color w:val="2A2A3A"/>
          <w:sz w:val="22"/>
          <w:szCs w:val="22"/>
        </w:rPr>
        <w:t xml:space="preserve">  Three actionable patterns. (1) The community-led classes — Sorcerer (+0.25), Warlock (+0.24), Monk (+0.20) — are talked about more than they're searched for. That asymmetry says the engaged players advocate for these classes, but the public discovery layer is weaker. The implication for design is the opposite of "buff Sorcerer mechanically" — the lever is entry-point marketing or a tentpole-product Sorcerer hook, because the mechanical fanbase is already there. (2) The search-led classes — Cleric (−0.23), Ranger (−0.11) — are what newcomers find when they Google "D&amp;D classes," but the existing community has moved on. That argues for content refresh: keep Cleric/Ranger relevant for the players who already chose them. (3) Artificer reads community 0.83 / creator 0 — the creator stream is empty because no Artificer-specific Itch.io / DMs Guild creator content exists at scale. That's a creator-economy gap, not a player-demand gap, and it's a different lever.</w:t>
      </w:r>
    </w:p>
    <w:p>
      <w:pPr>
        <w:spacing w:after="160" w:before="0" w:line="300"/>
      </w:pPr>
      <w:r>
        <w:rPr>
          <w:rFonts w:ascii="Trebuchet MS" w:cs="Trebuchet MS" w:eastAsia="Trebuchet MS" w:hAnsi="Trebuchet MS"/>
          <w:b/>
          <w:bCs/>
          <w:color w:val="C46419"/>
          <w:sz w:val="22"/>
          <w:szCs w:val="22"/>
        </w:rPr>
        <w:t xml:space="preserve">What this enables.</w:t>
      </w:r>
      <w:r>
        <w:rPr>
          <w:rFonts w:ascii="Calibri" w:cs="Calibri" w:eastAsia="Calibri" w:hAnsi="Calibri"/>
          <w:color w:val="2A2A3A"/>
          <w:sz w:val="22"/>
          <w:szCs w:val="22"/>
        </w:rPr>
        <w:t xml:space="preserve">  A quarterly design read: "this class's three streams diverged by more than 0.20 — that's where to look." The same query, run against subclasses, surfaces the same pattern at finer resolution. Hexblade (community 0.69 / curiosity 0.24, +0.45 spread, 3 streams) is a hidden Hexblade-class-tier signal: established community but no broad search interest — exactly the kind of signal a horizontal social-listening tool would miss because Hexblade isn't trending in the volume sense. Trusight surfaces it because the divergence between streams, not the volume in any one stream, is the lead.</w:t>
      </w:r>
    </w:p>
    <w:p>
      <w:r>
        <w:br w:type="page"/>
      </w:r>
    </w:p>
    <w:p>
      <w:pPr>
        <w:spacing w:after="400"/>
      </w:pPr>
    </w:p>
    <w:p>
      <w:pPr>
        <w:spacing w:after="80" w:before="0" w:line="280"/>
        <w:jc w:val="center"/>
      </w:pPr>
      <w:r>
        <w:rPr>
          <w:rFonts w:ascii="Trebuchet MS" w:cs="Trebuchet MS" w:eastAsia="Trebuchet MS" w:hAnsi="Trebuchet MS"/>
          <w:b/>
          <w:bCs/>
          <w:color w:val="C46419"/>
          <w:spacing w:val="80"/>
          <w:sz w:val="22"/>
          <w:szCs w:val="22"/>
        </w:rPr>
        <w:t xml:space="preserve">PERSONA A — TAKEAWAY</w:t>
      </w:r>
    </w:p>
    <w:p>
      <w:pPr>
        <w:spacing w:after="200" w:before="0" w:line="280"/>
        <w:jc w:val="center"/>
      </w:pPr>
      <w:r>
        <w:rPr>
          <w:rFonts w:ascii="Trebuchet MS" w:cs="Trebuchet MS" w:eastAsia="Trebuchet MS" w:hAnsi="Trebuchet MS"/>
          <w:b/>
          <w:bCs/>
          <w:color w:val="0A0A18"/>
          <w:sz w:val="36"/>
          <w:szCs w:val="36"/>
        </w:rPr>
        <w:t xml:space="preserve">Three queries, three real findings.</w:t>
      </w:r>
    </w:p>
    <w:p>
      <w:pPr>
        <w:pBdr>
          <w:bottom w:val="single" w:color="C46419" w:sz="18" w:space="1"/>
        </w:pBdr>
        <w:spacing w:after="200" w:before="40"/>
      </w:pPr>
    </w:p>
    <w:p>
      <w:pPr>
        <w:spacing w:after="200" w:before="0" w:line="320"/>
      </w:pPr>
      <w:r>
        <w:rPr>
          <w:rFonts w:ascii="Calibri" w:cs="Calibri" w:eastAsia="Calibri" w:hAnsi="Calibri"/>
          <w:color w:val="2A2A3A"/>
          <w:sz w:val="22"/>
          <w:szCs w:val="22"/>
        </w:rPr>
        <w:t xml:space="preserve">Each of the three Persona-A use cases is a live SQL query against gold_data — not a slide deck description. The classifier produces six narrative tags per forum thread (A1). Sixty IPs cleared the cross-platform homebrew bar with five clearing all three streams simultaneously (A2). Twelve classes scored across three streams reveal three separable divergence patterns, each with a distinct design action (A3).</w:t>
      </w:r>
    </w:p>
    <w:p>
      <w:pPr>
        <w:spacing w:after="240" w:before="0" w:line="320"/>
      </w:pPr>
      <w:r>
        <w:rPr>
          <w:rFonts w:ascii="Calibri" w:cs="Calibri" w:eastAsia="Calibri" w:hAnsi="Calibri"/>
          <w:i/>
          <w:iCs/>
          <w:color w:val="2A2A3A"/>
          <w:sz w:val="22"/>
          <w:szCs w:val="22"/>
        </w:rPr>
        <w:t xml:space="preserve">Most importantly: every claim above traces to a row in a gold-tier view, with snapshot date and source column. That's the data trail Trusight ships — the structured signal that turns design judgment from "my gut says" into "the row in the table says."</w:t>
      </w:r>
    </w:p>
    <w:p>
      <w:pPr>
        <w:pBdr>
          <w:bottom w:val="single" w:color="C46419" w:sz="6" w:space="1"/>
        </w:pBdr>
        <w:spacing w:after="180" w:before="60"/>
      </w:pPr>
    </w:p>
    <w:p>
      <w:pPr>
        <w:spacing w:after="140" w:before="0" w:line="280"/>
        <w:jc w:val="center"/>
      </w:pPr>
      <w:r>
        <w:rPr>
          <w:rFonts w:ascii="Calibri" w:cs="Calibri" w:eastAsia="Calibri" w:hAnsi="Calibri"/>
          <w:i/>
          <w:iCs/>
          <w:color w:val="606070"/>
          <w:sz w:val="20"/>
          <w:szCs w:val="20"/>
        </w:rPr>
        <w:t xml:space="preserve">Next tranche: Persona B (Marketers) — proof-of-use for OGL-Tier Backlash Detector, Creator ROI Attribution, Audience Segmentation Atlas.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A2A3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116e570d83da81ba4327b9ab64cd3047054cffca.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2026-05-13T20:52:13.433Z</dcterms:created>
  <dcterms:modified xsi:type="dcterms:W3CDTF">2026-05-13T20:52:13.435Z</dcterms:modified>
</cp:coreProperties>
</file>

<file path=docProps/custom.xml><?xml version="1.0" encoding="utf-8"?>
<Properties xmlns="http://schemas.openxmlformats.org/officeDocument/2006/custom-properties" xmlns:vt="http://schemas.openxmlformats.org/officeDocument/2006/docPropsVTypes"/>
</file>