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36" w:lineRule="auto"/>
        <w:ind w:firstLine="0"/>
      </w:pPr>
    </w:p>
    <w:p>
      <w:pPr>
        <w:spacing w:before="0" w:after="0" w:line="336" w:lineRule="auto"/>
        <w:ind w:firstLine="0"/>
      </w:pPr>
    </w:p>
    <w:p>
      <w:pPr>
        <w:spacing w:before="0" w:after="0" w:line="336" w:lineRule="auto"/>
        <w:ind w:firstLine="0"/>
      </w:pPr>
    </w:p>
    <w:p>
      <w:pPr>
        <w:spacing w:before="0" w:after="0" w:line="336" w:lineRule="auto"/>
        <w:ind w:firstLine="0"/>
      </w:pPr>
    </w:p>
    <w:p>
      <w:pPr>
        <w:spacing w:before="0" w:after="0" w:line="336" w:lineRule="auto"/>
        <w:ind w:firstLine="0"/>
      </w:pPr>
    </w:p>
    <w:p>
      <w:pPr>
        <w:spacing w:before="0" w:after="0" w:line="336" w:lineRule="auto"/>
        <w:ind w:firstLine="0"/>
      </w:pPr>
    </w:p>
    <w:p>
      <w:pPr>
        <w:spacing w:before="0" w:after="160" w:line="336" w:lineRule="auto"/>
        <w:ind w:firstLine="0"/>
        <w:jc w:val="center"/>
      </w:pPr>
      <w:r>
        <w:rPr>
          <w:rFonts w:ascii="微软雅黑" w:hAnsi="微软雅黑" w:eastAsia="微软雅黑"/>
          <w:b/>
          <w:color w:val="1F4E79"/>
          <w:sz w:val="64"/>
        </w:rPr>
        <w:t>视觉大模型平台</w:t>
      </w:r>
    </w:p>
    <w:p>
      <w:pPr>
        <w:spacing w:before="0" w:after="600" w:line="336" w:lineRule="auto"/>
        <w:ind w:firstLine="0"/>
        <w:jc w:val="center"/>
      </w:pPr>
      <w:r>
        <w:rPr>
          <w:rFonts w:ascii="微软雅黑" w:hAnsi="微软雅黑" w:eastAsia="微软雅黑"/>
          <w:b/>
          <w:color w:val="2E75B6"/>
          <w:sz w:val="52"/>
        </w:rPr>
        <w:t>测 试 计 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66"/>
        <w:gridCol w:w="4366"/>
      </w:tblGrid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color w:val="595959"/>
                <w:sz w:val="24"/>
              </w:rPr>
              <w:t>文档版本：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V1.1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color w:val="595959"/>
                <w:sz w:val="24"/>
              </w:rPr>
              <w:t>编写日期：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2026-09-04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color w:val="595959"/>
                <w:sz w:val="24"/>
              </w:rPr>
              <w:t>测试周期：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2026-09-07 ~ 2026-09-24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color w:val="595959"/>
                <w:sz w:val="24"/>
              </w:rPr>
              <w:t>参考文档：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《视觉大模型平台功能操作流程》</w:t>
            </w:r>
          </w:p>
        </w:tc>
      </w:tr>
      <w:tr>
        <w:tc>
          <w:tcPr>
            <w:tcW w:type="dxa" w:w="2551"/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color w:val="595959"/>
                <w:sz w:val="24"/>
              </w:rPr>
              <w:t>适用系统：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4"/>
              </w:rPr>
              <w:t>视觉大模型平台（前端 + 后端 + 算法/媒体接入）</w:t>
            </w:r>
          </w:p>
        </w:tc>
      </w:tr>
    </w:tbl>
    <w:p>
      <w:r>
        <w:br w:type="page"/>
      </w:r>
    </w:p>
    <w:p>
      <w:pPr>
        <w:spacing w:before="360" w:after="200"/>
        <w:pBdr>
          <w:bottom w:val="single" w:sz="12" w:space="3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1. 引言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5"/>
        </w:rPr>
        <w:t>1.1 编写目的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本文档为视觉大模型平台的功能测试计划，用于指导测试团队开展系统测试工作，明确测试范围、策略、环境、进度、准入准出标准及风险应对，保障平台在交付前达到预期的质量标准。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5"/>
        </w:rPr>
        <w:t>1.2 项目背景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视觉大模型平台提供基于大模型的视频/图片检索（文搜视频、文搜图、图搜图）、轨迹还原、布控告警、任务复核、算法管理、设备接入与实时预览/录像回放等能力，服务于安防监控场景。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5"/>
        </w:rPr>
        <w:t>1.3 参考文档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《视觉大模型平台功能操作流程.docx》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《docs/mcp-server-interface.md》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《docs/person-api.md》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《docs/remote-deployment.md》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系统前端路由定义（frontend/src/modules/*/routes.ts）</w:t>
      </w:r>
    </w:p>
    <w:p>
      <w:pPr>
        <w:spacing w:before="360" w:after="200"/>
        <w:pBdr>
          <w:bottom w:val="single" w:sz="12" w:space="3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2. 测试范围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5"/>
        </w:rPr>
        <w:t>2.1 测试对象与功能范围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680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948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3855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对应页面/路由</w:t>
            </w:r>
          </w:p>
        </w:tc>
        <w:tc>
          <w:tcPr>
            <w:tcW w:type="dxa" w:w="1247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纳入本轮</w:t>
            </w:r>
          </w:p>
        </w:tc>
      </w:tr>
      <w:tr>
        <w:tc>
          <w:tcPr>
            <w:tcW w:type="dxa" w:w="680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948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文搜视频</w:t>
            </w:r>
          </w:p>
        </w:tc>
        <w:tc>
          <w:tcPr>
            <w:tcW w:type="dxa" w:w="3855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检索-首页 /home</w:t>
            </w:r>
          </w:p>
        </w:tc>
        <w:tc>
          <w:tcPr>
            <w:tcW w:type="dxa" w:w="1247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948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文搜图（人员/车辆检索）</w:t>
            </w:r>
          </w:p>
        </w:tc>
        <w:tc>
          <w:tcPr>
            <w:tcW w:type="dxa" w:w="3855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/textImage</w:t>
            </w:r>
          </w:p>
        </w:tc>
        <w:tc>
          <w:tcPr>
            <w:tcW w:type="dxa" w:w="1247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948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图搜图</w:t>
            </w:r>
          </w:p>
        </w:tc>
        <w:tc>
          <w:tcPr>
            <w:tcW w:type="dxa" w:w="3855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/imageSearch</w:t>
            </w:r>
          </w:p>
        </w:tc>
        <w:tc>
          <w:tcPr>
            <w:tcW w:type="dxa" w:w="1247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948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轨迹还原</w:t>
            </w:r>
          </w:p>
        </w:tc>
        <w:tc>
          <w:tcPr>
            <w:tcW w:type="dxa" w:w="3855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/track</w:t>
            </w:r>
          </w:p>
        </w:tc>
        <w:tc>
          <w:tcPr>
            <w:tcW w:type="dxa" w:w="1247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948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任务管理（复核任务）</w:t>
            </w:r>
          </w:p>
        </w:tc>
        <w:tc>
          <w:tcPr>
            <w:tcW w:type="dxa" w:w="3855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/reviewTasks</w:t>
            </w:r>
          </w:p>
        </w:tc>
        <w:tc>
          <w:tcPr>
            <w:tcW w:type="dxa" w:w="1247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948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复核类型管理（含定时任务）</w:t>
            </w:r>
          </w:p>
        </w:tc>
        <w:tc>
          <w:tcPr>
            <w:tcW w:type="dxa" w:w="3855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/reviewTypes</w:t>
            </w:r>
          </w:p>
        </w:tc>
        <w:tc>
          <w:tcPr>
            <w:tcW w:type="dxa" w:w="1247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948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算法管理（含版本管理）</w:t>
            </w:r>
          </w:p>
        </w:tc>
        <w:tc>
          <w:tcPr>
            <w:tcW w:type="dxa" w:w="3855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/algorithms、/versionManager、/versionDetail</w:t>
            </w:r>
          </w:p>
        </w:tc>
        <w:tc>
          <w:tcPr>
            <w:tcW w:type="dxa" w:w="1247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948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布控任务</w:t>
            </w:r>
          </w:p>
        </w:tc>
        <w:tc>
          <w:tcPr>
            <w:tcW w:type="dxa" w:w="3855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布控/快速布防 /quickDeploy</w:t>
            </w:r>
          </w:p>
        </w:tc>
        <w:tc>
          <w:tcPr>
            <w:tcW w:type="dxa" w:w="1247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2948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事件列表</w:t>
            </w:r>
          </w:p>
        </w:tc>
        <w:tc>
          <w:tcPr>
            <w:tcW w:type="dxa" w:w="3855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/events、/eventDetail</w:t>
            </w:r>
          </w:p>
        </w:tc>
        <w:tc>
          <w:tcPr>
            <w:tcW w:type="dxa" w:w="1247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2948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事件统计</w:t>
            </w:r>
          </w:p>
        </w:tc>
        <w:tc>
          <w:tcPr>
            <w:tcW w:type="dxa" w:w="3855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/stats</w:t>
            </w:r>
          </w:p>
        </w:tc>
        <w:tc>
          <w:tcPr>
            <w:tcW w:type="dxa" w:w="1247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2948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设备管理（含云平台同步）</w:t>
            </w:r>
          </w:p>
        </w:tc>
        <w:tc>
          <w:tcPr>
            <w:tcW w:type="dxa" w:w="3855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/cameraList、/mediaDeviceWizard 等</w:t>
            </w:r>
          </w:p>
        </w:tc>
        <w:tc>
          <w:tcPr>
            <w:tcW w:type="dxa" w:w="1247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2948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接入配置（国标）</w:t>
            </w:r>
          </w:p>
        </w:tc>
        <w:tc>
          <w:tcPr>
            <w:tcW w:type="dxa" w:w="3855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/mediaAccessConfig</w:t>
            </w:r>
          </w:p>
        </w:tc>
        <w:tc>
          <w:tcPr>
            <w:tcW w:type="dxa" w:w="1247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2948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云平台管理</w:t>
            </w:r>
          </w:p>
        </w:tc>
        <w:tc>
          <w:tcPr>
            <w:tcW w:type="dxa" w:w="3855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云平台配置页</w:t>
            </w:r>
          </w:p>
        </w:tc>
        <w:tc>
          <w:tcPr>
            <w:tcW w:type="dxa" w:w="1247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2948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实时预览</w:t>
            </w:r>
          </w:p>
        </w:tc>
        <w:tc>
          <w:tcPr>
            <w:tcW w:type="dxa" w:w="3855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/mediaPreview</w:t>
            </w:r>
          </w:p>
        </w:tc>
        <w:tc>
          <w:tcPr>
            <w:tcW w:type="dxa" w:w="1247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2948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录像回放</w:t>
            </w:r>
          </w:p>
        </w:tc>
        <w:tc>
          <w:tcPr>
            <w:tcW w:type="dxa" w:w="3855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/mediaPlayback</w:t>
            </w:r>
          </w:p>
        </w:tc>
        <w:tc>
          <w:tcPr>
            <w:tcW w:type="dxa" w:w="1247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2948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大模型配置</w:t>
            </w:r>
          </w:p>
        </w:tc>
        <w:tc>
          <w:tcPr>
            <w:tcW w:type="dxa" w:w="3855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/modelConfig</w:t>
            </w:r>
          </w:p>
        </w:tc>
        <w:tc>
          <w:tcPr>
            <w:tcW w:type="dxa" w:w="1247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2948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事件配置</w:t>
            </w:r>
          </w:p>
        </w:tc>
        <w:tc>
          <w:tcPr>
            <w:tcW w:type="dxa" w:w="3855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/eventConfig 及其子页面</w:t>
            </w:r>
          </w:p>
        </w:tc>
        <w:tc>
          <w:tcPr>
            <w:tcW w:type="dxa" w:w="1247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680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2948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资源监控</w:t>
            </w:r>
          </w:p>
        </w:tc>
        <w:tc>
          <w:tcPr>
            <w:tcW w:type="dxa" w:w="3855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/resource</w:t>
            </w:r>
          </w:p>
        </w:tc>
        <w:tc>
          <w:tcPr>
            <w:tcW w:type="dxa" w:w="1247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</w:tbl>
    <w:p>
      <w:pPr>
        <w:spacing w:before="0" w:after="80" w:line="336" w:lineRule="auto"/>
        <w:ind w:firstLine="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5"/>
        </w:rPr>
        <w:t>2.2 不在本轮测试范围内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第三方云平台（上级国标平台）自身的功能与稳定性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算法模型识别准确率的大规模评测（由算法团队专项负责，本轮仅验证接入链路）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生产环境大规模并发压力测试（本轮仅做基准性能验证）</w:t>
      </w:r>
    </w:p>
    <w:p>
      <w:pPr>
        <w:spacing w:before="360" w:after="200"/>
        <w:pBdr>
          <w:bottom w:val="single" w:sz="12" w:space="3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3. 测试策略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5"/>
        </w:rPr>
        <w:t>3.1 测试类型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474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测试类型</w:t>
            </w:r>
          </w:p>
        </w:tc>
        <w:tc>
          <w:tcPr>
            <w:tcW w:type="dxa" w:w="4762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494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工具/方法</w:t>
            </w:r>
          </w:p>
        </w:tc>
      </w:tr>
      <w:tr>
        <w:tc>
          <w:tcPr>
            <w:tcW w:type="dxa" w:w="1474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功能测试</w:t>
            </w:r>
          </w:p>
        </w:tc>
        <w:tc>
          <w:tcPr>
            <w:tcW w:type="dxa" w:w="4762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依据操作流程逐项验证各模块功能正确性，覆盖正常流、异常流、边界值</w:t>
            </w:r>
          </w:p>
        </w:tc>
        <w:tc>
          <w:tcPr>
            <w:tcW w:type="dxa" w:w="2494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手工执行 + 测试用例库</w:t>
            </w:r>
          </w:p>
        </w:tc>
      </w:tr>
      <w:tr>
        <w:tc>
          <w:tcPr>
            <w:tcW w:type="dxa" w:w="1474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界面测试</w:t>
            </w:r>
          </w:p>
        </w:tc>
        <w:tc>
          <w:tcPr>
            <w:tcW w:type="dxa" w:w="4762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页面布局、文案、交互反馈、空数据/加载中/失败态展示</w:t>
            </w:r>
          </w:p>
        </w:tc>
        <w:tc>
          <w:tcPr>
            <w:tcW w:type="dxa" w:w="2494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手工走查</w:t>
            </w:r>
          </w:p>
        </w:tc>
      </w:tr>
      <w:tr>
        <w:tc>
          <w:tcPr>
            <w:tcW w:type="dxa" w:w="1474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接口测试</w:t>
            </w:r>
          </w:p>
        </w:tc>
        <w:tc>
          <w:tcPr>
            <w:tcW w:type="dxa" w:w="4762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前后端接口入参校验、异常码、分页/排序</w:t>
            </w:r>
          </w:p>
        </w:tc>
        <w:tc>
          <w:tcPr>
            <w:tcW w:type="dxa" w:w="2494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Postman / curl</w:t>
            </w:r>
          </w:p>
        </w:tc>
      </w:tr>
      <w:tr>
        <w:tc>
          <w:tcPr>
            <w:tcW w:type="dxa" w:w="1474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兼容性测试</w:t>
            </w:r>
          </w:p>
        </w:tc>
        <w:tc>
          <w:tcPr>
            <w:tcW w:type="dxa" w:w="4762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浏览器兼容（Chrome/Edge 最新两个大版本）、常见分辨率（1920×1080、1366×768）</w:t>
            </w:r>
          </w:p>
        </w:tc>
        <w:tc>
          <w:tcPr>
            <w:tcW w:type="dxa" w:w="2494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手工</w:t>
            </w:r>
          </w:p>
        </w:tc>
      </w:tr>
      <w:tr>
        <w:tc>
          <w:tcPr>
            <w:tcW w:type="dxa" w:w="1474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性能测试</w:t>
            </w:r>
          </w:p>
        </w:tc>
        <w:tc>
          <w:tcPr>
            <w:tcW w:type="dxa" w:w="4762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检索响应时间、视频起播时间、事件列表大数据量翻页、资源监控刷新</w:t>
            </w:r>
          </w:p>
        </w:tc>
        <w:tc>
          <w:tcPr>
            <w:tcW w:type="dxa" w:w="2494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浏览器计时 / JMeter（可选）</w:t>
            </w:r>
          </w:p>
        </w:tc>
      </w:tr>
      <w:tr>
        <w:tc>
          <w:tcPr>
            <w:tcW w:type="dxa" w:w="1474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安全性测试</w:t>
            </w:r>
          </w:p>
        </w:tc>
        <w:tc>
          <w:tcPr>
            <w:tcW w:type="dxa" w:w="4762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登录鉴权、越权访问、文件上传类型/大小限制、SQL/XSS 注入基础检查</w:t>
            </w:r>
          </w:p>
        </w:tc>
        <w:tc>
          <w:tcPr>
            <w:tcW w:type="dxa" w:w="2494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手工 + 拦截代理</w:t>
            </w:r>
          </w:p>
        </w:tc>
      </w:tr>
      <w:tr>
        <w:tc>
          <w:tcPr>
            <w:tcW w:type="dxa" w:w="1474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可靠性测试</w:t>
            </w:r>
          </w:p>
        </w:tc>
        <w:tc>
          <w:tcPr>
            <w:tcW w:type="dxa" w:w="4762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断网/服务重启后的恢复、长时预览稳定性</w:t>
            </w:r>
          </w:p>
        </w:tc>
        <w:tc>
          <w:tcPr>
            <w:tcW w:type="dxa" w:w="2494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手工</w:t>
            </w:r>
          </w:p>
        </w:tc>
      </w:tr>
    </w:tbl>
    <w:p>
      <w:pPr>
        <w:spacing w:before="0" w:after="80" w:line="336" w:lineRule="auto"/>
        <w:ind w:firstLine="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5"/>
        </w:rPr>
        <w:t>3.2 用例设计方法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等价类划分、边界值分析（时间段、分页、输入长度、上传大小）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场景法（端到端业务场景：检索 → 布控 → 事件产生 → 复核 → 统计）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错误推测法（非法输入、重复提交、并发操作）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5"/>
        </w:rPr>
        <w:t>3.3 缺陷管理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缺陷等级：致命（系统崩溃/数据丢失）、严重（主功能不可用）、一般（功能缺陷有绕行方案）、轻微（界面/文案问题）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致命/严重缺陷清零后方可进入验收</w:t>
      </w:r>
    </w:p>
    <w:p>
      <w:pPr>
        <w:spacing w:before="360" w:after="200"/>
        <w:pBdr>
          <w:bottom w:val="single" w:sz="12" w:space="3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4.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1701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030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170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服务端</w:t>
            </w:r>
          </w:p>
        </w:tc>
        <w:tc>
          <w:tcPr>
            <w:tcW w:type="dxa" w:w="7030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后端服务（backend / backend-lite）、worker、mcp-server，Docker Compose 部署（参考 docker-compose.yml、triton-docker-compose.yml）</w:t>
            </w:r>
          </w:p>
        </w:tc>
      </w:tr>
      <w:tr>
        <w:tc>
          <w:tcPr>
            <w:tcW w:type="dxa" w:w="1701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数据库/中间件</w:t>
            </w:r>
          </w:p>
        </w:tc>
        <w:tc>
          <w:tcPr>
            <w:tcW w:type="dxa" w:w="7030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按 docker-compose 编排（含存储目录 storage/）</w:t>
            </w:r>
          </w:p>
        </w:tc>
      </w:tr>
      <w:tr>
        <w:tc>
          <w:tcPr>
            <w:tcW w:type="dxa" w:w="170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前端</w:t>
            </w:r>
          </w:p>
        </w:tc>
        <w:tc>
          <w:tcPr>
            <w:tcW w:type="dxa" w:w="7030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最新构建包（frontend/dist*），Chrome / Edge 最新两个大版本</w:t>
            </w:r>
          </w:p>
        </w:tc>
      </w:tr>
      <w:tr>
        <w:tc>
          <w:tcPr>
            <w:tcW w:type="dxa" w:w="1701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测试数据</w:t>
            </w:r>
          </w:p>
        </w:tc>
        <w:tc>
          <w:tcPr>
            <w:tcW w:type="dxa" w:w="7030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不少于 10 路模拟摄像头（RTSP 推流，scripts/start-rtsp-push.sh）、人员/车辆图片样本库、历史录像</w:t>
            </w:r>
          </w:p>
        </w:tc>
      </w:tr>
      <w:tr>
        <w:tc>
          <w:tcPr>
            <w:tcW w:type="dxa" w:w="170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算法环境</w:t>
            </w:r>
          </w:p>
        </w:tc>
        <w:tc>
          <w:tcPr>
            <w:tcW w:type="dxa" w:w="7030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Triton 推理服务（triton-docker-compose.yml），至少部署 1 个人员检索算法和 1 个车辆检索算法</w:t>
            </w:r>
          </w:p>
        </w:tc>
      </w:tr>
    </w:tbl>
    <w:p>
      <w:pPr>
        <w:spacing w:before="0" w:after="80" w:line="336" w:lineRule="auto"/>
        <w:ind w:firstLine="0"/>
      </w:pPr>
    </w:p>
    <w:p>
      <w:pPr>
        <w:spacing w:before="360" w:after="200"/>
        <w:pBdr>
          <w:bottom w:val="single" w:sz="12" w:space="3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5. 进度安排（倒排，测试截止 2026-09-24）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测试启动日期为 2026-09-07（周一），截止日期为 2026-09-24（周四），共 14 个工作日（已扣除周末），其中 1 天作为机动缓冲。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701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402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247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工期(人日)</w:t>
            </w:r>
          </w:p>
        </w:tc>
        <w:tc>
          <w:tcPr>
            <w:tcW w:type="dxa" w:w="2381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计划日期</w:t>
            </w:r>
          </w:p>
        </w:tc>
      </w:tr>
      <w:tr>
        <w:tc>
          <w:tcPr>
            <w:tcW w:type="dxa" w:w="170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用例评审</w:t>
            </w:r>
          </w:p>
        </w:tc>
        <w:tc>
          <w:tcPr>
            <w:tcW w:type="dxa" w:w="3402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测试计划与用例评审、修订</w:t>
            </w:r>
          </w:p>
        </w:tc>
        <w:tc>
          <w:tcPr>
            <w:tcW w:type="dxa" w:w="1247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09-07（周一）</w:t>
            </w:r>
          </w:p>
        </w:tc>
      </w:tr>
      <w:tr>
        <w:tc>
          <w:tcPr>
            <w:tcW w:type="dxa" w:w="1701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环境搭建</w:t>
            </w:r>
          </w:p>
        </w:tc>
        <w:tc>
          <w:tcPr>
            <w:tcW w:type="dxa" w:w="3402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部署服务、接入摄像头、准备数据</w:t>
            </w:r>
          </w:p>
        </w:tc>
        <w:tc>
          <w:tcPr>
            <w:tcW w:type="dxa" w:w="1247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381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09-08 ~ 09-09（周二~周三）</w:t>
            </w:r>
          </w:p>
        </w:tc>
      </w:tr>
      <w:tr>
        <w:tc>
          <w:tcPr>
            <w:tcW w:type="dxa" w:w="170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冒烟测试</w:t>
            </w:r>
          </w:p>
        </w:tc>
        <w:tc>
          <w:tcPr>
            <w:tcW w:type="dxa" w:w="3402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主流程快速验证</w:t>
            </w:r>
          </w:p>
        </w:tc>
        <w:tc>
          <w:tcPr>
            <w:tcW w:type="dxa" w:w="1247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09-10（周四）</w:t>
            </w:r>
          </w:p>
        </w:tc>
      </w:tr>
      <w:tr>
        <w:tc>
          <w:tcPr>
            <w:tcW w:type="dxa" w:w="1701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机动缓冲</w:t>
            </w:r>
          </w:p>
        </w:tc>
        <w:tc>
          <w:tcPr>
            <w:tcW w:type="dxa" w:w="3402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冒烟问题修复、环境补缺</w:t>
            </w:r>
          </w:p>
        </w:tc>
        <w:tc>
          <w:tcPr>
            <w:tcW w:type="dxa" w:w="1247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381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09-11（周五）</w:t>
            </w:r>
          </w:p>
        </w:tc>
      </w:tr>
      <w:tr>
        <w:tc>
          <w:tcPr>
            <w:tcW w:type="dxa" w:w="170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第一轮系统测试</w:t>
            </w:r>
          </w:p>
        </w:tc>
        <w:tc>
          <w:tcPr>
            <w:tcW w:type="dxa" w:w="3402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全量用例执行 + 缺陷提交</w:t>
            </w:r>
          </w:p>
        </w:tc>
        <w:tc>
          <w:tcPr>
            <w:tcW w:type="dxa" w:w="1247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38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09-14 ~ 09-18（周一~周五）</w:t>
            </w:r>
          </w:p>
        </w:tc>
      </w:tr>
      <w:tr>
        <w:tc>
          <w:tcPr>
            <w:tcW w:type="dxa" w:w="1701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回归测试</w:t>
            </w:r>
          </w:p>
        </w:tc>
        <w:tc>
          <w:tcPr>
            <w:tcW w:type="dxa" w:w="3402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缺陷修复回归 + 第二轮用例执行</w:t>
            </w:r>
          </w:p>
        </w:tc>
        <w:tc>
          <w:tcPr>
            <w:tcW w:type="dxa" w:w="1247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381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09-21 ~ 09-23（周一~周三）</w:t>
            </w:r>
          </w:p>
        </w:tc>
      </w:tr>
      <w:tr>
        <w:tc>
          <w:tcPr>
            <w:tcW w:type="dxa" w:w="170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验收测试</w:t>
            </w:r>
          </w:p>
        </w:tc>
        <w:tc>
          <w:tcPr>
            <w:tcW w:type="dxa" w:w="3402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主业务流程验收、测试报告输出</w:t>
            </w:r>
          </w:p>
        </w:tc>
        <w:tc>
          <w:tcPr>
            <w:tcW w:type="dxa" w:w="1247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09-24（周四，截止日）</w:t>
            </w:r>
          </w:p>
        </w:tc>
      </w:tr>
    </w:tbl>
    <w:p>
      <w:pPr>
        <w:spacing w:before="0" w:after="80" w:line="336" w:lineRule="auto"/>
        <w:ind w:firstLine="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5"/>
        </w:rPr>
        <w:t>关键里程碑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09-09　测试环境就绪（准入检查点）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09-10　冒烟测试通过（未通过则启动缓冲日并评估风险）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09-18　第一轮测试完成，缺陷全部提交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09-23　致命/严重缺陷清零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09-24　测试报告输出，达到准出标准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5"/>
        </w:rPr>
        <w:t>进度风险提示</w:t>
      </w:r>
    </w:p>
    <w:p>
      <w:pPr>
        <w:spacing w:before="0" w:after="120" w:line="336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若第一轮缺陷量超出预期或环境搭建延期，缓冲日（09-11）将被占用，届时需压缩回归范围（优先回归 P0/P1 用例）以保住 09-24 截止日。</w:t>
      </w:r>
    </w:p>
    <w:p>
      <w:pPr>
        <w:spacing w:before="360" w:after="200"/>
        <w:pBdr>
          <w:bottom w:val="single" w:sz="12" w:space="3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6. 准入与准出标准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5"/>
        </w:rPr>
        <w:t>6.1 测试准入标准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开发自测通过，提测版本可正常部署启动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冒烟用例 100% 通过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测试环境与测试数据准备就绪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2E75B6"/>
          <w:sz w:val="25"/>
        </w:rPr>
        <w:t>6.2 测试准出标准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测试用例执行率 100%，通过率 ≥ 95%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致命、严重缺陷全部修复并回归通过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一般缺陷修复率 ≥ 90%，遗留缺陷均有结论（延期/不修复）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测试报告输出并评审通过</w:t>
      </w:r>
    </w:p>
    <w:p>
      <w:pPr>
        <w:spacing w:before="360" w:after="200"/>
        <w:pBdr>
          <w:bottom w:val="single" w:sz="12" w:space="3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7.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381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721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628"/>
            <w:shd w:val="clear" w:fill="1F4E79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38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模拟摄像头/视频源不足</w:t>
            </w:r>
          </w:p>
        </w:tc>
        <w:tc>
          <w:tcPr>
            <w:tcW w:type="dxa" w:w="272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检索与预览类用例无法充分验证</w:t>
            </w:r>
          </w:p>
        </w:tc>
        <w:tc>
          <w:tcPr>
            <w:tcW w:type="dxa" w:w="3628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使用 RTSP 推流脚本准备多路循环视频源</w:t>
            </w:r>
          </w:p>
        </w:tc>
      </w:tr>
      <w:tr>
        <w:tc>
          <w:tcPr>
            <w:tcW w:type="dxa" w:w="2381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算法服务（Triton）不稳定</w:t>
            </w:r>
          </w:p>
        </w:tc>
        <w:tc>
          <w:tcPr>
            <w:tcW w:type="dxa" w:w="2721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文搜/图搜结果异常，阻塞测试</w:t>
            </w:r>
          </w:p>
        </w:tc>
        <w:tc>
          <w:tcPr>
            <w:tcW w:type="dxa" w:w="3628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提前联调；准备降级用例验证异常提示</w:t>
            </w:r>
          </w:p>
        </w:tc>
      </w:tr>
      <w:tr>
        <w:tc>
          <w:tcPr>
            <w:tcW w:type="dxa" w:w="238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第三方云平台不可达</w:t>
            </w:r>
          </w:p>
        </w:tc>
        <w:tc>
          <w:tcPr>
            <w:tcW w:type="dxa" w:w="272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云平台同步用例无法执行</w:t>
            </w:r>
          </w:p>
        </w:tc>
        <w:tc>
          <w:tcPr>
            <w:tcW w:type="dxa" w:w="3628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搭建模拟国标平台或使用预录数据</w:t>
            </w:r>
          </w:p>
        </w:tc>
      </w:tr>
      <w:tr>
        <w:tc>
          <w:tcPr>
            <w:tcW w:type="dxa" w:w="2381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需求变更</w:t>
            </w:r>
          </w:p>
        </w:tc>
        <w:tc>
          <w:tcPr>
            <w:tcW w:type="dxa" w:w="2721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用例失效、返工</w:t>
            </w:r>
          </w:p>
        </w:tc>
        <w:tc>
          <w:tcPr>
            <w:tcW w:type="dxa" w:w="3628"/>
            <w:shd w:val="clear" w:fill="DCE6F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用例库与需求同步维护，变更后 1 个工作日内更新</w:t>
            </w:r>
          </w:p>
        </w:tc>
      </w:tr>
      <w:tr>
        <w:tc>
          <w:tcPr>
            <w:tcW w:type="dxa" w:w="238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大数据量事件性能未知</w:t>
            </w:r>
          </w:p>
        </w:tc>
        <w:tc>
          <w:tcPr>
            <w:tcW w:type="dxa" w:w="2721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上线后列表/统计页卡顿</w:t>
            </w:r>
          </w:p>
        </w:tc>
        <w:tc>
          <w:tcPr>
            <w:tcW w:type="dxa" w:w="3628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准备 10 万级事件数据做性能摸底</w:t>
            </w:r>
          </w:p>
        </w:tc>
      </w:tr>
    </w:tbl>
    <w:p>
      <w:pPr>
        <w:spacing w:before="0" w:after="80" w:line="336" w:lineRule="auto"/>
        <w:ind w:firstLine="0"/>
      </w:pPr>
    </w:p>
    <w:p>
      <w:pPr>
        <w:spacing w:before="360" w:after="200"/>
        <w:pBdr>
          <w:bottom w:val="single" w:sz="12" w:space="3" w:color="2E75B6"/>
        </w:pBdr>
      </w:pPr>
      <w:r>
        <w:rPr>
          <w:rFonts w:ascii="微软雅黑" w:hAnsi="微软雅黑" w:eastAsia="微软雅黑"/>
          <w:b/>
          <w:color w:val="1F4E79"/>
          <w:sz w:val="30"/>
        </w:rPr>
        <w:t>8. 交付物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《视觉大模型平台 测试计划》（本文档）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《视觉大模型平台 测试用例》（docs/test-cases.md）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缺陷清单及跟踪记录</w:t>
      </w:r>
    </w:p>
    <w:p>
      <w:pPr>
        <w:pStyle w:val="ListBullet"/>
        <w:spacing w:after="60" w:line="324" w:lineRule="auto"/>
        <w:ind w:left="425"/>
      </w:pPr>
      <w:r>
        <w:rPr>
          <w:rFonts w:ascii="微软雅黑" w:hAnsi="微软雅黑" w:eastAsia="微软雅黑"/>
          <w:b w:val="0"/>
          <w:sz w:val="21"/>
        </w:rPr>
        <w:t>测试报告（含覆盖率、通过率、遗留问题）</w:t>
      </w:r>
    </w:p>
    <w:sectPr w:rsidR="00FC693F" w:rsidRPr="0006063C" w:rsidSect="00034616">
      <w:footerReference w:type="default" r:id="rId9"/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9595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