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36" w:lineRule="auto"/>
        <w:jc w:val="center"/>
      </w:pPr>
      <w:r>
        <w:rPr>
          <w:b/>
          <w:sz w:val="32"/>
          <w:rFonts w:ascii="Times New Roman" w:hAnsi="Times New Roman" w:eastAsia="宋体"/>
        </w:rPr>
        <w:t>国内大厂 To B 商业智能体调研（船舶行业适用版）</w:t>
      </w:r>
    </w:p>
    <w:p>
      <w:pPr>
        <w:spacing w:before="0" w:after="40" w:line="336" w:lineRule="auto"/>
        <w:jc w:val="center"/>
      </w:pPr>
      <w:r>
        <w:rPr>
          <w:b w:val="0"/>
          <w:sz w:val="20"/>
          <w:rFonts w:ascii="Times New Roman" w:hAnsi="Times New Roman" w:eastAsia="宋体"/>
        </w:rPr>
        <w:t>调研日期：2026-06-14</w:t>
      </w:r>
    </w:p>
    <w:p>
      <w:pPr>
        <w:spacing w:before="0" w:after="40" w:line="336" w:lineRule="auto"/>
        <w:jc w:val="center"/>
      </w:pPr>
      <w:r>
        <w:rPr>
          <w:b w:val="0"/>
          <w:sz w:val="20"/>
          <w:rFonts w:ascii="Times New Roman" w:hAnsi="Times New Roman" w:eastAsia="宋体"/>
        </w:rPr>
        <w:t>筛选原则：从全部 To B 商业智能体产品中筛出可在船舶/船海行业落地的（产品已成熟、行业无强合规壁垒、能对接船舶业务场景）。</w:t>
      </w:r>
    </w:p>
    <w:p>
      <w:pPr>
        <w:spacing w:before="0" w:after="200" w:line="336" w:lineRule="auto"/>
        <w:jc w:val="center"/>
      </w:pPr>
      <w:r>
        <w:rPr>
          <w:b w:val="0"/>
          <w:sz w:val="20"/>
          <w:rFonts w:ascii="Times New Roman" w:hAnsi="Times New Roman" w:eastAsia="宋体"/>
        </w:rPr>
        <w:t>筛除标准：强行业专属（金融/医疗/政务客户验证集中）、强合规壁垒（医疗/政务需资质）、To C 个人订阅、编程助手。</w:t>
      </w:r>
    </w:p>
    <w:p>
      <w:pPr>
        <w:spacing w:before="120" w:after="80" w:line="336" w:lineRule="auto"/>
      </w:pPr>
      <w:r>
        <w:rPr>
          <w:b/>
          <w:sz w:val="26"/>
          <w:rFonts w:ascii="Times New Roman" w:hAnsi="Times New Roman" w:eastAsia="宋体"/>
        </w:rPr>
        <w:t>一、智能体平台 / Agent 开发平台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产品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厂商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部署形态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报价（企业）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计费方式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备注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阿里云百炼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阿里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公有云 / 专有云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按 token + 智能体调用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0.0008-0.04 元/千 token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Qwen3.7-Max，2026.05 起接入智谱/Kimi/Minimax 等 10+ 模型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阿里云百炼 智能体应用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阿里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公有云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含在百炼 token 费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无单独平台费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零代码搭智能体 + 知识库 + 工具调用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阿里云百炼 MCP 服务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阿里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公有云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服务费 + 调用费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官方 15 款 + 社区 61 款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2026.05 起首批 50+ 服务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扣子 Coze（国内版）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字节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公有云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专业版月付 + 积分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9 USD/月起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模板最丰富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扣子 Coze 开源版（Coze Studio）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字节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自托管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免费（Apache 2.0）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软件免费，自备算力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仅锁 MySQL，可商用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腾讯云 ADP 4.0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腾讯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公有云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按调用 + Agent 实例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企业版按席 + 调用量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2026 升级 AgentOps，加 Claw 模式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腾讯元器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腾讯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公有云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企业版按席年付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-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底层混元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百度千帆 + AppBuilder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百度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公有云 / 私有化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按 token + 智能体调用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文心 4.0 系列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私有化另议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智谱开放平台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智谱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公有云 / 私有化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GLM-5.1 按 token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个人/企业分级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企业私有化 7 位数起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Dify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Dify 团队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自托管 / SaaS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自托管免费；云版 SaaS 999-4999 元/月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-</w:t>
            </w:r>
          </w:p>
        </w:tc>
        <w:tc>
          <w:tcPr>
            <w:tcW w:type="dxa" w:w="17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文档全，社区活跃</w:t>
            </w:r>
          </w:p>
        </w:tc>
      </w:tr>
    </w:tbl>
    <w:p>
      <w:pPr>
        <w:spacing w:before="160" w:after="80" w:line="336" w:lineRule="auto"/>
      </w:pPr>
      <w:r>
        <w:rPr>
          <w:b/>
          <w:sz w:val="26"/>
          <w:rFonts w:ascii="Times New Roman" w:hAnsi="Times New Roman" w:eastAsia="宋体"/>
        </w:rPr>
        <w:t>二、行业垂直智能体（船舶相关）</w:t>
      </w:r>
    </w:p>
    <w:p>
      <w:pPr>
        <w:spacing w:before="80" w:after="40" w:line="336" w:lineRule="auto"/>
      </w:pPr>
      <w:r>
        <w:rPr>
          <w:b/>
          <w:sz w:val="24"/>
          <w:rFonts w:ascii="Times New Roman" w:hAnsi="Times New Roman" w:eastAsia="宋体"/>
        </w:rPr>
        <w:t>2.1 工业 / 设备售后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产品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厂商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适用场景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报价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售后宝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售后宝科技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工业设备售后全流程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几万-几十万/年（按账号）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AI 老师傅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思客云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工厂设备管理/巡检/知识库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十万级/年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得助智能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中关村科金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售后客服 + 工单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万-十万/年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智齿客服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智齿科技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同上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万-十万/年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卡奥斯天智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海尔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制造业垂直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不公开（百万级）</w:t>
            </w:r>
          </w:p>
        </w:tc>
      </w:tr>
    </w:tbl>
    <w:p>
      <w:pPr>
        <w:spacing w:before="80" w:after="40" w:line="336" w:lineRule="auto"/>
      </w:pPr>
      <w:r>
        <w:rPr>
          <w:b/>
          <w:sz w:val="24"/>
          <w:rFonts w:ascii="Times New Roman" w:hAnsi="Times New Roman" w:eastAsia="宋体"/>
        </w:rPr>
        <w:t>2.2 销售 / CRM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产品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厂商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报价量级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备注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销售易 NeoAgent 2.0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销售易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几万-几十万/年（按席）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国产 CRM 第一梯队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纷享销客 AI 访销大脑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纷享销客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几万-十万/年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外勤场景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实在 Agent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实在智能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桌面版按席；企业版 10 万级/年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"说一句话"出方案</w:t>
            </w:r>
          </w:p>
        </w:tc>
      </w:tr>
    </w:tbl>
    <w:p>
      <w:pPr>
        <w:spacing w:before="80" w:after="40" w:line="336" w:lineRule="auto"/>
      </w:pPr>
      <w:r>
        <w:rPr>
          <w:b/>
          <w:sz w:val="24"/>
          <w:rFonts w:ascii="Times New Roman" w:hAnsi="Times New Roman" w:eastAsia="宋体"/>
        </w:rPr>
        <w:t>2.3 客服 / 工单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产品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厂商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报价量级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备注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阿里云智能客服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阿里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按 token + 席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与钉钉/淘宝/天猫整合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腾讯云智能客服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腾讯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按 token + 席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与企微整合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容联七陌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容联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万-十万/年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客服 + 工单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合力亿捷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合力亿捷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同上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-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Live800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Live800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万级/年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-</w:t>
            </w:r>
          </w:p>
        </w:tc>
      </w:tr>
    </w:tbl>
    <w:p>
      <w:pPr>
        <w:spacing w:before="160" w:after="80" w:line="336" w:lineRule="auto"/>
      </w:pPr>
      <w:r>
        <w:rPr>
          <w:b/>
          <w:sz w:val="26"/>
          <w:rFonts w:ascii="Times New Roman" w:hAnsi="Times New Roman" w:eastAsia="宋体"/>
        </w:rPr>
        <w:t>三、企业级知识库（船舶资料/手册/案例）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产品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厂商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报价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备注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阿里云百炼 知识库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阿里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含在百炼费用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按存储 + 检索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钉钉 AI 知识库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阿里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0 元（钉钉内）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含在钉钉套餐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飞书知识库 + AI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字节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飞书企业版按席（800-2000 元/席/年）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-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Dify 企业版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Dify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自托管免费；云版 SaaS 999-4999 元/月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开源 + 商业版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FastGPT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Labring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自托管免费；云版按调用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国内开源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RAGFlow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InfiniFlow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自托管免费；企业版按年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重型 RAG，适合复杂文档解析</w:t>
            </w:r>
          </w:p>
        </w:tc>
      </w:tr>
    </w:tbl>
    <w:p>
      <w:pPr>
        <w:spacing w:before="160" w:after="80" w:line="336" w:lineRule="auto"/>
      </w:pPr>
      <w:r>
        <w:rPr>
          <w:b/>
          <w:sz w:val="26"/>
          <w:rFonts w:ascii="Times New Roman" w:hAnsi="Times New Roman" w:eastAsia="宋体"/>
        </w:rPr>
        <w:t>四、企业 BI / 数据分析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产品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厂商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报价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备注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阿里 Quick BI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阿里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专业版 1-3 万/年；旗舰 5-10 万/年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含自然语言查询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腾讯 BI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腾讯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按席 + 调用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-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百度 Sugar BI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百度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万级/年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-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帆软 FineBI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帆软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几万-几十万/年（按模块）</w:t>
            </w:r>
          </w:p>
        </w:tc>
        <w:tc>
          <w:tcPr>
            <w:tcW w:type="dxa" w:w="255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国产 BI 头部</w:t>
            </w:r>
          </w:p>
        </w:tc>
      </w:tr>
    </w:tbl>
    <w:p>
      <w:pPr>
        <w:spacing w:before="160" w:after="80" w:line="336" w:lineRule="auto"/>
      </w:pPr>
      <w:r>
        <w:rPr>
          <w:b/>
          <w:sz w:val="26"/>
          <w:rFonts w:ascii="Times New Roman" w:hAnsi="Times New Roman" w:eastAsia="宋体"/>
        </w:rPr>
        <w:t>五、已筛除的产品（不适合船舶行业）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产品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厂商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b/>
                <w:sz w:val="21"/>
                <w:rFonts w:ascii="Times New Roman" w:hAnsi="Times New Roman" w:eastAsia="宋体"/>
              </w:rPr>
              <w:t>筛除原因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蚂蚁金融大模型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蚂蚁集团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金融行业专属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京东京东风控大模型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京东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金融行业专属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平安金融 Agent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平安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金融行业专属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讯飞金融大模型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科大讯飞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金融行业专属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通义法睿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阿里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法律行业专属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北大法意 AI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北大法宝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法律行业专属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华宇元典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华宇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法律/司法专属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DeepSeek 法律方案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DeepSeek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法律行业专属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智谱 AI 教育版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智谱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教育行业专属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网易有道 子曰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网易有道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教育行业专属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松鼠 Ai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松鼠 Ai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教育行业专属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好未来 AI 老师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好未来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教育行业专属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阿里云政务大模型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阿里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政务专属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华为盘古政务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华为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政务/央国企专属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百度文心政务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百度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政务专属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腾讯混元政务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腾讯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政务专属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京东京医千询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京东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医疗行业专属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平安好医生 AI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平安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医疗行业专属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医联 MedGPT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医联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医疗行业专属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卫宁健康 WiNEX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卫宁健康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医疗行业专属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Salesforce Einstein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Salesforce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海外+本地化限制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HubSpot AI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HubSpot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海外+本地化限制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Tableau + AI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Salesforce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海外+本地化限制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Power BI + Copilot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微软</w:t>
            </w:r>
          </w:p>
        </w:tc>
        <w:tc>
          <w:tcPr>
            <w:tcW w:type="dxa" w:w="3400"/>
          </w:tcPr>
          <w:p>
            <w:pPr>
              <w:spacing w:before="0" w:after="0" w:line="288" w:lineRule="auto"/>
            </w:pPr>
            <w:r>
              <w:rPr>
                <w:sz w:val="21"/>
                <w:rFonts w:ascii="Times New Roman" w:hAnsi="Times New Roman" w:eastAsia="宋体"/>
              </w:rPr>
              <w:t>海外+本地化限制</w:t>
            </w:r>
          </w:p>
        </w:tc>
      </w:tr>
    </w:tbl>
    <w:p>
      <w:pPr>
        <w:spacing w:before="160" w:after="80" w:line="336" w:lineRule="auto"/>
      </w:pPr>
      <w:r>
        <w:rPr>
          <w:b/>
          <w:sz w:val="26"/>
          <w:rFonts w:ascii="Times New Roman" w:hAnsi="Times New Roman" w:eastAsia="宋体"/>
        </w:rPr>
        <w:t>六、补充事实</w:t>
      </w:r>
    </w:p>
    <w:p>
      <w:pPr>
        <w:spacing w:before="20" w:after="20" w:line="336" w:lineRule="auto"/>
      </w:pPr>
      <w:r>
        <w:rPr>
          <w:b w:val="0"/>
          <w:sz w:val="22"/>
          <w:rFonts w:ascii="Times New Roman" w:hAnsi="Times New Roman" w:eastAsia="宋体"/>
        </w:rPr>
        <w:t>· 百炼 2026.05 接入模型：GLM-5.1（智谱）、Kimi K2.6（月之暗面）、Minimax M2.7、阶跃星辰、爱诗科技、生数科技等 10+ 家。</w:t>
      </w:r>
    </w:p>
    <w:p>
      <w:pPr>
        <w:spacing w:before="20" w:after="20" w:line="336" w:lineRule="auto"/>
      </w:pPr>
      <w:r>
        <w:rPr>
          <w:b w:val="0"/>
          <w:sz w:val="22"/>
          <w:rFonts w:ascii="Times New Roman" w:hAnsi="Times New Roman" w:eastAsia="宋体"/>
        </w:rPr>
        <w:t>· Coze Studio 开源协议：Apache 2.0，可商用，依赖 MySQL（不接 PG）。</w:t>
      </w:r>
    </w:p>
    <w:p>
      <w:pPr>
        <w:spacing w:before="20" w:after="20" w:line="336" w:lineRule="auto"/>
      </w:pPr>
      <w:r>
        <w:rPr>
          <w:b w:val="0"/>
          <w:sz w:val="22"/>
          <w:rFonts w:ascii="Times New Roman" w:hAnsi="Times New Roman" w:eastAsia="宋体"/>
        </w:rPr>
        <w:t>· 私有化报价区间：智能体平台 + 知识库类私有化通常 10-50 万（一次性 + 年维护）；工业 CRM/客服私有化 10-30 万。</w:t>
      </w:r>
    </w:p>
    <w:p>
      <w:pPr>
        <w:spacing w:before="20" w:after="20" w:line="336" w:lineRule="auto"/>
      </w:pPr>
      <w:r>
        <w:rPr>
          <w:b w:val="0"/>
          <w:sz w:val="22"/>
          <w:rFonts w:ascii="Times New Roman" w:hAnsi="Times New Roman" w:eastAsia="宋体"/>
        </w:rPr>
        <w:t>· 公有云按 token 报价：基础模型 0.0008-0.04 元/千 token；旗舰模型（如 Qwen3.7-Max）0.04-0.12 元/千 token。</w:t>
      </w:r>
    </w:p>
    <w:p>
      <w:pPr>
        <w:spacing w:before="20" w:after="20" w:line="336" w:lineRule="auto"/>
      </w:pPr>
      <w:r>
        <w:rPr>
          <w:b w:val="0"/>
          <w:sz w:val="22"/>
          <w:rFonts w:ascii="Times New Roman" w:hAnsi="Times New Roman" w:eastAsia="宋体"/>
        </w:rPr>
        <w:t>· 常见座席费：智能客服/CRM 类按席年付 1000-5000 元/席/年。</w:t>
      </w:r>
    </w:p>
    <w:p>
      <w:pPr>
        <w:spacing w:before="20" w:after="20" w:line="336" w:lineRule="auto"/>
      </w:pPr>
      <w:r>
        <w:rPr>
          <w:b w:val="0"/>
          <w:sz w:val="22"/>
          <w:rFonts w:ascii="Times New Roman" w:hAnsi="Times New Roman" w:eastAsia="宋体"/>
        </w:rPr>
        <w:t>· 船舶行业相关落地：售后宝（已落地工业设备售后）、卡奥斯天智（制造业）、帆软 FineBI（船舶/重工企业有案例）。</w:t>
      </w:r>
    </w:p>
    <w:p>
      <w:pPr>
        <w:spacing w:before="160" w:after="80" w:line="336" w:lineRule="auto"/>
      </w:pPr>
      <w:r>
        <w:rPr>
          <w:b/>
          <w:sz w:val="26"/>
          <w:rFonts w:ascii="Times New Roman" w:hAnsi="Times New Roman" w:eastAsia="宋体"/>
        </w:rPr>
        <w:t>七、调研局限</w:t>
      </w:r>
    </w:p>
    <w:p>
      <w:pPr>
        <w:spacing w:before="20" w:after="20" w:line="336" w:lineRule="auto"/>
      </w:pPr>
      <w:r>
        <w:rPr>
          <w:b w:val="0"/>
          <w:sz w:val="22"/>
          <w:rFonts w:ascii="Times New Roman" w:hAnsi="Times New Roman" w:eastAsia="宋体"/>
        </w:rPr>
        <w:t>· 调研范围以国内大厂为主，海外产品（Salesforce/Tableau/Power BI 等）仅列示。</w:t>
      </w:r>
    </w:p>
    <w:p>
      <w:pPr>
        <w:spacing w:before="20" w:after="20" w:line="336" w:lineRule="auto"/>
      </w:pPr>
      <w:r>
        <w:rPr>
          <w:b w:val="0"/>
          <w:sz w:val="22"/>
          <w:rFonts w:ascii="Times New Roman" w:hAnsi="Times New Roman" w:eastAsia="宋体"/>
        </w:rPr>
        <w:t>· 部分厂商报价不公开，仅给量级，实际价格需走商务流程。</w:t>
      </w:r>
    </w:p>
    <w:p>
      <w:pPr>
        <w:spacing w:before="20" w:after="20" w:line="336" w:lineRule="auto"/>
      </w:pPr>
      <w:r>
        <w:rPr>
          <w:b w:val="0"/>
          <w:sz w:val="22"/>
          <w:rFonts w:ascii="Times New Roman" w:hAnsi="Times New Roman" w:eastAsia="宋体"/>
        </w:rPr>
        <w:t>· 行业垂直 Agent 的船舶行业深度参差不齐，需逐家试用验证。</w:t>
      </w:r>
    </w:p>
    <w:p>
      <w:pPr>
        <w:spacing w:before="20" w:after="20" w:line="336" w:lineRule="auto"/>
      </w:pPr>
      <w:r>
        <w:rPr>
          <w:b w:val="0"/>
          <w:sz w:val="22"/>
          <w:rFonts w:ascii="Times New Roman" w:hAnsi="Times New Roman" w:eastAsia="宋体"/>
        </w:rPr>
        <w:t>· "船舶维修工务助手"等垂直场景目前未见现成模板，需要基于通用平台（百炼/Dify/Coze）自建。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