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[0617] key guide &amp; judge 自动化尝试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总结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从本轮人工复查结果看，自动化 key guide 的整体表现可靠，具备继续推进价值。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 能够根据 system prompt 和上下文，抽取当前 turn 最需要检查的局部规则，而不是简单复述原 prompt。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 能根据对话阶段调整检查重点，例如身份确认阶段检查隐私保护和固定开场，账单提醒阶段检查金额、日期和付款计划，已付款场景检查 claim 信息和工具调用。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 能区分 must / should，将业务硬约束、流程闭环、工具调用、隐私边界与语气、简洁度、TTS 适配、积极倾听等体验要求分开表达。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人工核对后，未发现 key guide 凭空添加规则，相关要求均可回溯到 system prompt、工具 schema、FAQ、上下文或业务流程。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当前样本量仍较小，后续建议扩大到 fraud halt、第三方接听、拒绝身份确认、静默、跑题、人工客服请求、财务困难、延期请求等边界场景，继续验证稳定性后再推进到批量质检流程。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总体判断：自动化 key guide 已经表现出较好的规则抽取、上下文定位、分层约束和可复核能力。在保留人工抽检和扩大回归样本的前提下，具备继续推进到批量质检流程中的可能性。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结论摘要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基于本轮对 </w:t>
      </w:r>
      <w:r>
        <w:rPr>
          <w:rFonts w:eastAsia="Consolas" w:ascii="Consolas" w:cs="Consolas" w:hAnsi="Consolas"/>
          <w:sz w:val="22"/>
          <w:shd w:fill="EFF0F1"/>
        </w:rPr>
        <w:t>test_qc_en.jsonl</w:t>
      </w:r>
      <w:r>
        <w:rPr>
          <w:rFonts w:eastAsia="等线" w:ascii="Arial" w:cs="Arial" w:hAnsi="Arial"/>
          <w:sz w:val="22"/>
        </w:rPr>
        <w:t xml:space="preserve"> 中 2 条完整对话、共 12 个 assistant turn 的自动化 key guide 生成与 judge 评测结果，并结合人工逐条核对，本次验证结论如下：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自动化生成的每个 key guide 均能根据对应 system prompt、业务流程、工具定义、上下文状态和当前用户回复生成，没有发现脱离 prompt 或上下文的要求。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Judge 的打分与解释均围绕 key guide 中的 </w:t>
      </w:r>
      <w:r>
        <w:rPr>
          <w:rFonts w:eastAsia="Consolas" w:ascii="Consolas" w:cs="Consolas" w:hAnsi="Consolas"/>
          <w:sz w:val="22"/>
          <w:shd w:fill="EFF0F1"/>
        </w:rPr>
        <w:t>[must]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[should]</w:t>
      </w:r>
      <w:r>
        <w:rPr>
          <w:rFonts w:eastAsia="等线" w:ascii="Arial" w:cs="Arial" w:hAnsi="Arial"/>
          <w:sz w:val="22"/>
        </w:rPr>
        <w:t xml:space="preserve"> 条款展开，没有发现 judge 自行引入不存在规则、臆造上下文或脱离 key guide 进行评价的情况。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对模型回复中的真实问题，judge 能够识别并给出明确证据；对符合要求的回复，judge 也能准确说明命中的规则与依据。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在当前测试样本范围内，自动化 key guide 作为中间评价标准是可行的，自动 judge 基于 key guide 做 eval 的结果具备可信度，可作为后续规模化质检与 badcase 定位的基础方案。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相关文件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 报告：</w:t>
      </w:r>
      <w:hyperlink r:id="rId5">
        <w:r>
          <w:rPr>
            <w:rFonts w:eastAsia="等线" w:ascii="Arial" w:cs="Arial" w:hAnsi="Arial"/>
            <w:color w:val="3370ff"/>
            <w:sz w:val="22"/>
          </w:rPr>
          <w:t>key_guide_judge_report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guide：</w:t>
      </w:r>
      <w:hyperlink r:id="rId6">
        <w:r>
          <w:rPr>
            <w:rFonts w:eastAsia="等线" w:ascii="Arial" w:cs="Arial" w:hAnsi="Arial"/>
            <w:color w:val="3370ff"/>
            <w:sz w:val="22"/>
          </w:rPr>
          <w:t>key_guide_results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测试范围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输入文件：</w:t>
      </w:r>
      <w:r>
        <w:rPr>
          <w:rFonts w:eastAsia="Consolas" w:ascii="Consolas" w:cs="Consolas" w:hAnsi="Consolas"/>
          <w:sz w:val="22"/>
          <w:shd w:fill="EFF0F1"/>
        </w:rPr>
        <w:t>/mnt/zfs02/sullivan.guo/data/0615/test_qc_en.jsonl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 文件：</w:t>
      </w:r>
      <w:r>
        <w:rPr>
          <w:rFonts w:eastAsia="Consolas" w:ascii="Consolas" w:cs="Consolas" w:hAnsi="Consolas"/>
          <w:sz w:val="22"/>
          <w:shd w:fill="EFF0F1"/>
        </w:rPr>
        <w:t>/mnt/zfs02/sullivan.guo/data/0615/key_guide_results_unescaped.md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 模型：</w:t>
      </w:r>
      <w:r>
        <w:rPr>
          <w:rFonts w:eastAsia="Consolas" w:ascii="Consolas" w:cs="Consolas" w:hAnsi="Consolas"/>
          <w:sz w:val="22"/>
          <w:shd w:fill="EFF0F1"/>
        </w:rPr>
        <w:t>voyager-1.6-gemma4-26b-a4b-it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被评测 assistant turn：12 / 12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人工复查评测错误数：0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评测总耗时：16.3s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本轮覆盖了两个典型 BNPL pre-due reminder 场景：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id_bnpl_m0_L1_natural_reminder-leaf-t12-b0</w:t>
      </w:r>
      <w:r>
        <w:rPr>
          <w:rFonts w:eastAsia="等线" w:ascii="Arial" w:cs="Arial" w:hAnsi="Arial"/>
          <w:sz w:val="22"/>
        </w:rPr>
        <w:t>：用户自然确认身份、询问 GoPay 到账时间，并承诺在到期日前支付。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id_bnpl_m0_L2_alfa_payment_delay-leaf-t12-b0</w:t>
      </w:r>
      <w:r>
        <w:rPr>
          <w:rFonts w:eastAsia="等线" w:ascii="Arial" w:cs="Arial" w:hAnsi="Arial"/>
          <w:sz w:val="22"/>
        </w:rPr>
        <w:t>：用户表示已经通过 Alfamart 现金支付，要求记录付款 claim。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这两个样本覆盖了身份确认、隐私保护、通话许可、账单提醒、FAQ 回答、回流当前流程、工具调用、付款意图记录、已付款 claim 记录、结束语与 </w:t>
      </w:r>
      <w:r>
        <w:rPr>
          <w:rFonts w:eastAsia="Consolas" w:ascii="Consolas" w:cs="Consolas" w:hAnsi="Consolas"/>
          <w:sz w:val="22"/>
          <w:shd w:fill="EFF0F1"/>
        </w:rPr>
        <w:t>&lt;dialog-end&gt;</w:t>
      </w:r>
      <w:r>
        <w:rPr>
          <w:rFonts w:eastAsia="等线" w:ascii="Arial" w:cs="Arial" w:hAnsi="Arial"/>
          <w:sz w:val="22"/>
        </w:rPr>
        <w:t xml:space="preserve"> 等关键能力点。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自动化 Key Guide 的可行性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能够正确绑定 system prompt 的业务流程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人工核对后可以确认，生成的 key guide 准确地从 system prompt 中抽取当前 turn 所处的业务节点。例如：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turn 2 识别为 Step 1.1 身份确认，要求使用指定开场结构，并禁止在确认身份前透露金额、到期日、订单或付款信息。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turn 4 识别为 Step 1.2 consent gate，要求说明是 Kredika PayLater account matter，并询问是否方便进行简短账户处理通话。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turn 6 识别为 Step 2 reminder hub，要求提供 </w:t>
      </w:r>
      <w:r>
        <w:rPr>
          <w:rFonts w:eastAsia="Consolas" w:ascii="Consolas" w:cs="Consolas" w:hAnsi="Consolas"/>
          <w:sz w:val="22"/>
          <w:shd w:fill="EFF0F1"/>
        </w:rPr>
        <w:t>Rp285.000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June 15</w:t>
      </w:r>
      <w:r>
        <w:rPr>
          <w:rFonts w:eastAsia="等线" w:ascii="Arial" w:cs="Arial" w:hAnsi="Arial"/>
          <w:sz w:val="22"/>
        </w:rPr>
        <w:t>，并询问用户是否已有付款计划或需要支付渠道帮助。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GoPay 问题场景中，key guide 识别为 FAQ 到账时间问题，并要求回答后回到当前还款计划确认流程。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Alfamart 已付款场景中，key guide 识别为 Step 5 Already Paid，并要求收集渠道、时间、receipt reference，再调用 </w:t>
      </w:r>
      <w:r>
        <w:rPr>
          <w:rFonts w:eastAsia="Consolas" w:ascii="Consolas" w:cs="Consolas" w:hAnsi="Consolas"/>
          <w:sz w:val="22"/>
          <w:shd w:fill="EFF0F1"/>
        </w:rPr>
        <w:t>record_payment_claim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能够结合上下文状态生成要求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key guide 都体现了对上下文的理解：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在身份未确认前，要求保护隐私，不允许透露账单敏感信息。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在用户确认身份但尚未同意通话前，仍限制具体金额、到期日和订单细节。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在用户已经同意通话后，才要求披露金额和到期日。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在用户询问 GoPay 到账速度时，要求先回答 FAQ，再把对话导回付款计划。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在用户已说明 </w:t>
      </w:r>
      <w:r>
        <w:rPr>
          <w:rFonts w:eastAsia="Consolas" w:ascii="Consolas" w:cs="Consolas" w:hAnsi="Consolas"/>
          <w:sz w:val="22"/>
          <w:shd w:fill="EFF0F1"/>
        </w:rPr>
        <w:t>Alfamart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Rp285.000</w:t>
      </w:r>
      <w:r>
        <w:rPr>
          <w:rFonts w:eastAsia="等线" w:ascii="Arial" w:cs="Arial" w:hAnsi="Arial"/>
          <w:sz w:val="22"/>
        </w:rPr>
        <w:t xml:space="preserve"> 后，后续 key guide 要求工具调用中携带上下文中的金额信息。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这些要求都来自 system prompt 与历史 turn 的组合判断，说明自动化 key guide 对“当前轮应该做什么、不应该做什么”的定位是合理的。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能够区分 must 与 should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 key guide 对硬性要求和体验性要求有清晰拆分：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[must]</w:t>
      </w:r>
      <w:r>
        <w:rPr>
          <w:rFonts w:eastAsia="等线" w:ascii="Arial" w:cs="Arial" w:hAnsi="Arial"/>
          <w:sz w:val="22"/>
        </w:rPr>
        <w:t xml:space="preserve"> 主要承载强约束，例如精确话术、隐私边界、金额/日期、工具调用、必填参数、</w:t>
      </w:r>
      <w:r>
        <w:rPr>
          <w:rFonts w:eastAsia="Consolas" w:ascii="Consolas" w:cs="Consolas" w:hAnsi="Consolas"/>
          <w:sz w:val="22"/>
          <w:shd w:fill="EFF0F1"/>
        </w:rPr>
        <w:t>&lt;dialog-end&gt;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[should]</w:t>
      </w:r>
      <w:r>
        <w:rPr>
          <w:rFonts w:eastAsia="等线" w:ascii="Arial" w:cs="Arial" w:hAnsi="Arial"/>
          <w:sz w:val="22"/>
        </w:rPr>
        <w:t xml:space="preserve"> 主要承载质量要求，例如礼貌、专业、支持性语气、TTS 友好、积极倾听、简洁表达。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这种拆分对自动 judge 很重要，因为它让评分可以区分“业务规则违反”和“体验质量不足”。本轮 score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 xml:space="preserve"> 与 score 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 xml:space="preserve"> 的差异也证明该结构是有效的。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Judge 可信度分析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Judge 严格依据 key guide 逐条检查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从输出结构看，judge 对每个 turn 都拆分为：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当前上下文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response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check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Should check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Score 与总评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 must / should 都有 PASS 或 FAIL，并提供 evidence。人工核对后，judge 的证据均能在 assistant response、用户上下文或工具调用中找到，没有发现凭空添加评价依据的情况。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Judge 能正确通过合规回复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本轮 12 个 turn 中，10 个 turn 得到 score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>。人工核对后，这些通过项与实际情况一致：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身份确认话术完全匹配。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隐私保护边界正确，没有提前泄露金额或到期日。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提醒账单时金额和日期准确。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GoPay FAQ 回答符合“几分钟内到账”的要求，并回到付款计划确认。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record_payment_intent</w:t>
      </w:r>
      <w:r>
        <w:rPr>
          <w:rFonts w:eastAsia="等线" w:ascii="Arial" w:cs="Arial" w:hAnsi="Arial"/>
          <w:sz w:val="22"/>
        </w:rPr>
        <w:t xml:space="preserve"> 工具调用符合用户“before the 15th”的付款意图。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成功记录付款意图或 claim 后，结束语和 </w:t>
      </w:r>
      <w:r>
        <w:rPr>
          <w:rFonts w:eastAsia="Consolas" w:ascii="Consolas" w:cs="Consolas" w:hAnsi="Consolas"/>
          <w:sz w:val="22"/>
          <w:shd w:fill="EFF0F1"/>
        </w:rPr>
        <w:t>&lt;dialog-end&gt;</w:t>
      </w:r>
      <w:r>
        <w:rPr>
          <w:rFonts w:eastAsia="等线" w:ascii="Arial" w:cs="Arial" w:hAnsi="Arial"/>
          <w:sz w:val="22"/>
        </w:rPr>
        <w:t xml:space="preserve"> 检查准确。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 judge 对正例没有过度挑错，也没有因为表达差异产生明显误判。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Judge 能识别真实缺陷，而不是幻觉式扣分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本轮出现 2 个非满分结果，均为真实可解释问题：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turn 8</w:t>
      </w:r>
      <w:r>
        <w:rPr>
          <w:rFonts w:eastAsia="等线" w:ascii="Arial" w:cs="Arial" w:hAnsi="Arial"/>
          <w:sz w:val="22"/>
        </w:rPr>
        <w:t xml:space="preserve"> score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：assistant 满足 Step 5 must，询问了付款渠道、时间、receipt reference；但用户已经说过通过 Alfamart 支付，assistant 仍问 “which payment channel you used”，没有回应已知信息。Judge 将其判为 should fail，属于体验层面的积极倾听问题，判断合理。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turn 10</w:t>
      </w:r>
      <w:r>
        <w:rPr>
          <w:rFonts w:eastAsia="等线" w:ascii="Arial" w:cs="Arial" w:hAnsi="Arial"/>
          <w:sz w:val="22"/>
        </w:rPr>
        <w:t xml:space="preserve"> score 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 xml:space="preserve">：assistant 调用了 </w:t>
      </w:r>
      <w:r>
        <w:rPr>
          <w:rFonts w:eastAsia="Consolas" w:ascii="Consolas" w:cs="Consolas" w:hAnsi="Consolas"/>
          <w:sz w:val="22"/>
          <w:shd w:fill="EFF0F1"/>
        </w:rPr>
        <w:t>record_payment_claim</w:t>
      </w:r>
      <w:r>
        <w:rPr>
          <w:rFonts w:eastAsia="等线" w:ascii="Arial" w:cs="Arial" w:hAnsi="Arial"/>
          <w:sz w:val="22"/>
        </w:rPr>
        <w:t xml:space="preserve">，但缺少上下文中的 </w:t>
      </w:r>
      <w:r>
        <w:rPr>
          <w:rFonts w:eastAsia="Consolas" w:ascii="Consolas" w:cs="Consolas" w:hAnsi="Consolas"/>
          <w:sz w:val="22"/>
          <w:shd w:fill="EFF0F1"/>
        </w:rPr>
        <w:t>amount: Rp285.000</w:t>
      </w:r>
      <w:r>
        <w:rPr>
          <w:rFonts w:eastAsia="等线" w:ascii="Arial" w:cs="Arial" w:hAnsi="Arial"/>
          <w:sz w:val="22"/>
        </w:rPr>
        <w:t>，且只输出工具调用，没有按 Step 5.3 给用户结束确认语。Judge 将其判为 must fail，判断合理。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这两个结果说明：judge 不是简单偏向通过，而是通过抓住 key guide 中定义的真实失败点。同时，失败原因都可被人工复核，不是 judge 幻觉。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量化结果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总评测 turn 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成功评测 turn 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评测错误数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 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 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 -1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满分率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83.3%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可解释非满分率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从多个维度说明可信性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规则来源可信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 的要求均可回溯到 system prompt、step flow、FAQ、core rules、tool schema 或当前上下文，没有发现额外编造规则。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上下文理解可信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 能根据对话进度调整约束：身份未确认、已确认但未 consent、已 consent、FAQ 插入、付款意图、已付款 claim 等状态均被正确识别。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评价粒度可信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 不是只给整体分，而是逐条检查 must / should，并给出 evidence。这种结构便于人工抽检，也便于后续定位 prompt、模型回复或工具调用的具体问题。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分数解释可信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 xml:space="preserve"> 的区分符合业务直觉：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>：must 和 should 均满足。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：must 满足，但存在 should 层面的质量问题。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>：存在 must 违反，属于业务关键要求失败。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本轮两个扣分 case 均符合上述分数语义。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Badcase 定位可信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 能把问题定位到具体规则：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“未回应用户已提到的 Alfamart”定位为积极倾听不足。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“工具调用缺少 amount”定位为参数抽取不完整。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“缺少 Step 5.3 结束语”定位为流程闭环缺失。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这些结论都能直接转化为模型优化、prompt 修复或自动化回归测试用例。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当前方案价值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本轮验证说明，自动化 key guide + judge 方案具备以下落地价值：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可以把长 system prompt 自动转化为每个 turn 的局部评测标准，降低人工写 eval rule 的成本。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可以在复杂多轮对话中检查流程状态、隐私边界、FAQ 回答、工具调用和结束条件。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可以通过 </w:t>
      </w:r>
      <w:r>
        <w:rPr>
          <w:rFonts w:eastAsia="Consolas" w:ascii="Consolas" w:cs="Consolas" w:hAnsi="Consolas"/>
          <w:sz w:val="22"/>
          <w:shd w:fill="EFF0F1"/>
        </w:rPr>
        <w:t>[must]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[should]</w:t>
      </w:r>
      <w:r>
        <w:rPr>
          <w:rFonts w:eastAsia="等线" w:ascii="Arial" w:cs="Arial" w:hAnsi="Arial"/>
          <w:sz w:val="22"/>
        </w:rPr>
        <w:t xml:space="preserve"> 分层，让业务硬约束和体验软约束分别被衡量。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可以生成可人工复核的 evidence，便于建立信任和审计链路。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可以发现真实 badcase，并把问题归因到具体规则，支持后续 prompt 优化和回归验证。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风险与后续建议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当前结论基于 2 条对话、12 个 assistant turn，已能证明链路在样本内有效且可信，但若要进入更大规模使用，建议继续补充：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扩大样本覆盖：增加 fraud halt、third party、cannot talk now、financial difficulty、late payment consequence、partial payment、due date extension、human-agent request、silence/off-topic 等场景。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保持人工抽检机制：建议在批量运行初期保留一定比例人工复核，重点看 score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 xml:space="preserve"> 和边界场景。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 evidence 输出：后续报告中继续保留 must / should check evidence，方便审计和定位。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43085">
    <w:lvl>
      <w:numFmt w:val="bullet"/>
      <w:suff w:val="tab"/>
      <w:lvlText w:val="•"/>
      <w:rPr>
        <w:color w:val="3370ff"/>
      </w:rPr>
    </w:lvl>
  </w:abstractNum>
  <w:abstractNum w:abstractNumId="1443086">
    <w:lvl>
      <w:numFmt w:val="bullet"/>
      <w:suff w:val="tab"/>
      <w:lvlText w:val="•"/>
      <w:rPr>
        <w:color w:val="3370ff"/>
      </w:rPr>
    </w:lvl>
  </w:abstractNum>
  <w:abstractNum w:abstractNumId="1443087">
    <w:lvl>
      <w:numFmt w:val="bullet"/>
      <w:suff w:val="tab"/>
      <w:lvlText w:val="•"/>
      <w:rPr>
        <w:color w:val="3370ff"/>
      </w:rPr>
    </w:lvl>
  </w:abstractNum>
  <w:abstractNum w:abstractNumId="1443088">
    <w:lvl>
      <w:numFmt w:val="bullet"/>
      <w:suff w:val="tab"/>
      <w:lvlText w:val="•"/>
      <w:rPr>
        <w:color w:val="3370ff"/>
      </w:rPr>
    </w:lvl>
  </w:abstractNum>
  <w:abstractNum w:abstractNumId="1443089">
    <w:lvl>
      <w:numFmt w:val="bullet"/>
      <w:suff w:val="tab"/>
      <w:lvlText w:val="•"/>
      <w:rPr>
        <w:color w:val="3370ff"/>
      </w:rPr>
    </w:lvl>
  </w:abstractNum>
  <w:abstractNum w:abstractNumId="1443090">
    <w:lvl>
      <w:numFmt w:val="bullet"/>
      <w:suff w:val="tab"/>
      <w:lvlText w:val="•"/>
      <w:rPr>
        <w:color w:val="3370ff"/>
      </w:rPr>
    </w:lvl>
  </w:abstractNum>
  <w:abstractNum w:abstractNumId="1443091">
    <w:lvl>
      <w:numFmt w:val="bullet"/>
      <w:suff w:val="tab"/>
      <w:lvlText w:val="•"/>
      <w:rPr>
        <w:color w:val="3370ff"/>
      </w:rPr>
    </w:lvl>
  </w:abstractNum>
  <w:abstractNum w:abstractNumId="1443092">
    <w:lvl>
      <w:numFmt w:val="bullet"/>
      <w:suff w:val="tab"/>
      <w:lvlText w:val="•"/>
      <w:rPr>
        <w:color w:val="3370ff"/>
      </w:rPr>
    </w:lvl>
  </w:abstractNum>
  <w:abstractNum w:abstractNumId="1443093">
    <w:lvl>
      <w:numFmt w:val="bullet"/>
      <w:suff w:val="tab"/>
      <w:lvlText w:val="•"/>
      <w:rPr>
        <w:color w:val="3370ff"/>
      </w:rPr>
    </w:lvl>
  </w:abstractNum>
  <w:abstractNum w:abstractNumId="1443094">
    <w:lvl>
      <w:numFmt w:val="bullet"/>
      <w:suff w:val="tab"/>
      <w:lvlText w:val="•"/>
      <w:rPr>
        <w:color w:val="3370ff"/>
      </w:rPr>
    </w:lvl>
  </w:abstractNum>
  <w:abstractNum w:abstractNumId="1443095">
    <w:lvl>
      <w:numFmt w:val="bullet"/>
      <w:suff w:val="tab"/>
      <w:lvlText w:val="•"/>
      <w:rPr>
        <w:color w:val="3370ff"/>
      </w:rPr>
    </w:lvl>
  </w:abstractNum>
  <w:abstractNum w:abstractNumId="1443096">
    <w:lvl>
      <w:numFmt w:val="bullet"/>
      <w:suff w:val="tab"/>
      <w:lvlText w:val="•"/>
      <w:rPr>
        <w:color w:val="3370ff"/>
      </w:rPr>
    </w:lvl>
  </w:abstractNum>
  <w:abstractNum w:abstractNumId="1443097">
    <w:lvl>
      <w:numFmt w:val="bullet"/>
      <w:suff w:val="tab"/>
      <w:lvlText w:val="•"/>
      <w:rPr>
        <w:color w:val="3370ff"/>
      </w:rPr>
    </w:lvl>
  </w:abstractNum>
  <w:abstractNum w:abstractNumId="1443098">
    <w:lvl>
      <w:numFmt w:val="bullet"/>
      <w:suff w:val="tab"/>
      <w:lvlText w:val="•"/>
      <w:rPr>
        <w:color w:val="3370ff"/>
      </w:rPr>
    </w:lvl>
  </w:abstractNum>
  <w:abstractNum w:abstractNumId="1443099">
    <w:lvl>
      <w:numFmt w:val="bullet"/>
      <w:suff w:val="tab"/>
      <w:lvlText w:val="•"/>
      <w:rPr>
        <w:color w:val="3370ff"/>
      </w:rPr>
    </w:lvl>
  </w:abstractNum>
  <w:abstractNum w:abstractNumId="1443100">
    <w:lvl>
      <w:numFmt w:val="bullet"/>
      <w:suff w:val="tab"/>
      <w:lvlText w:val="•"/>
      <w:rPr>
        <w:color w:val="3370ff"/>
      </w:rPr>
    </w:lvl>
  </w:abstractNum>
  <w:abstractNum w:abstractNumId="1443101">
    <w:lvl>
      <w:numFmt w:val="bullet"/>
      <w:suff w:val="tab"/>
      <w:lvlText w:val="•"/>
      <w:rPr>
        <w:color w:val="3370ff"/>
      </w:rPr>
    </w:lvl>
  </w:abstractNum>
  <w:abstractNum w:abstractNumId="1443102">
    <w:lvl>
      <w:numFmt w:val="bullet"/>
      <w:suff w:val="tab"/>
      <w:lvlText w:val="•"/>
      <w:rPr>
        <w:color w:val="3370ff"/>
      </w:rPr>
    </w:lvl>
  </w:abstractNum>
  <w:abstractNum w:abstractNumId="1443103">
    <w:lvl>
      <w:numFmt w:val="bullet"/>
      <w:suff w:val="tab"/>
      <w:lvlText w:val="•"/>
      <w:rPr>
        <w:color w:val="3370ff"/>
      </w:rPr>
    </w:lvl>
  </w:abstractNum>
  <w:abstractNum w:abstractNumId="1443104">
    <w:lvl>
      <w:numFmt w:val="bullet"/>
      <w:suff w:val="tab"/>
      <w:lvlText w:val="•"/>
      <w:rPr>
        <w:color w:val="3370ff"/>
      </w:rPr>
    </w:lvl>
  </w:abstractNum>
  <w:abstractNum w:abstractNumId="1443105">
    <w:lvl>
      <w:numFmt w:val="bullet"/>
      <w:suff w:val="tab"/>
      <w:lvlText w:val="•"/>
      <w:rPr>
        <w:color w:val="3370ff"/>
      </w:rPr>
    </w:lvl>
  </w:abstractNum>
  <w:abstractNum w:abstractNumId="1443106">
    <w:lvl>
      <w:numFmt w:val="bullet"/>
      <w:suff w:val="tab"/>
      <w:lvlText w:val="•"/>
      <w:rPr>
        <w:color w:val="3370ff"/>
      </w:rPr>
    </w:lvl>
  </w:abstractNum>
  <w:abstractNum w:abstractNumId="1443107">
    <w:lvl>
      <w:numFmt w:val="bullet"/>
      <w:suff w:val="tab"/>
      <w:lvlText w:val="•"/>
      <w:rPr>
        <w:color w:val="3370ff"/>
      </w:rPr>
    </w:lvl>
  </w:abstractNum>
  <w:abstractNum w:abstractNumId="1443108">
    <w:lvl>
      <w:numFmt w:val="bullet"/>
      <w:suff w:val="tab"/>
      <w:lvlText w:val="•"/>
      <w:rPr>
        <w:color w:val="3370ff"/>
      </w:rPr>
    </w:lvl>
  </w:abstractNum>
  <w:abstractNum w:abstractNumId="1443109">
    <w:lvl>
      <w:numFmt w:val="bullet"/>
      <w:suff w:val="tab"/>
      <w:lvlText w:val="•"/>
      <w:rPr>
        <w:color w:val="3370ff"/>
      </w:rPr>
    </w:lvl>
  </w:abstractNum>
  <w:abstractNum w:abstractNumId="1443110">
    <w:lvl>
      <w:numFmt w:val="bullet"/>
      <w:suff w:val="tab"/>
      <w:lvlText w:val="•"/>
      <w:rPr>
        <w:color w:val="3370ff"/>
      </w:rPr>
    </w:lvl>
  </w:abstractNum>
  <w:abstractNum w:abstractNumId="1443111">
    <w:lvl>
      <w:numFmt w:val="bullet"/>
      <w:suff w:val="tab"/>
      <w:lvlText w:val="•"/>
      <w:rPr>
        <w:color w:val="3370ff"/>
      </w:rPr>
    </w:lvl>
  </w:abstractNum>
  <w:abstractNum w:abstractNumId="1443112">
    <w:lvl>
      <w:numFmt w:val="bullet"/>
      <w:suff w:val="tab"/>
      <w:lvlText w:val="•"/>
      <w:rPr>
        <w:color w:val="3370ff"/>
      </w:rPr>
    </w:lvl>
  </w:abstractNum>
  <w:abstractNum w:abstractNumId="1443113">
    <w:lvl>
      <w:numFmt w:val="bullet"/>
      <w:suff w:val="tab"/>
      <w:lvlText w:val="•"/>
      <w:rPr>
        <w:color w:val="3370ff"/>
      </w:rPr>
    </w:lvl>
  </w:abstractNum>
  <w:abstractNum w:abstractNumId="1443114">
    <w:lvl>
      <w:numFmt w:val="bullet"/>
      <w:suff w:val="tab"/>
      <w:lvlText w:val="•"/>
      <w:rPr>
        <w:color w:val="3370ff"/>
      </w:rPr>
    </w:lvl>
  </w:abstractNum>
  <w:abstractNum w:abstractNumId="1443115">
    <w:lvl>
      <w:numFmt w:val="bullet"/>
      <w:suff w:val="tab"/>
      <w:lvlText w:val="•"/>
      <w:rPr>
        <w:color w:val="3370ff"/>
      </w:rPr>
    </w:lvl>
  </w:abstractNum>
  <w:abstractNum w:abstractNumId="1443116">
    <w:lvl>
      <w:numFmt w:val="bullet"/>
      <w:suff w:val="tab"/>
      <w:lvlText w:val="•"/>
      <w:rPr>
        <w:color w:val="3370ff"/>
      </w:rPr>
    </w:lvl>
  </w:abstractNum>
  <w:abstractNum w:abstractNumId="1443117">
    <w:lvl>
      <w:numFmt w:val="bullet"/>
      <w:suff w:val="tab"/>
      <w:lvlText w:val="•"/>
      <w:rPr>
        <w:color w:val="3370ff"/>
      </w:rPr>
    </w:lvl>
  </w:abstractNum>
  <w:abstractNum w:abstractNumId="1443118">
    <w:lvl>
      <w:numFmt w:val="bullet"/>
      <w:suff w:val="tab"/>
      <w:lvlText w:val="•"/>
      <w:rPr>
        <w:color w:val="3370ff"/>
      </w:rPr>
    </w:lvl>
  </w:abstractNum>
  <w:abstractNum w:abstractNumId="1443119">
    <w:lvl>
      <w:numFmt w:val="bullet"/>
      <w:suff w:val="tab"/>
      <w:lvlText w:val="•"/>
      <w:rPr>
        <w:color w:val="3370ff"/>
      </w:rPr>
    </w:lvl>
  </w:abstractNum>
  <w:abstractNum w:abstractNumId="1443120">
    <w:lvl>
      <w:numFmt w:val="bullet"/>
      <w:suff w:val="tab"/>
      <w:lvlText w:val="•"/>
      <w:rPr>
        <w:color w:val="3370ff"/>
      </w:rPr>
    </w:lvl>
  </w:abstractNum>
  <w:abstractNum w:abstractNumId="1443121">
    <w:lvl>
      <w:numFmt w:val="bullet"/>
      <w:suff w:val="tab"/>
      <w:lvlText w:val="•"/>
      <w:rPr>
        <w:color w:val="3370ff"/>
      </w:rPr>
    </w:lvl>
  </w:abstractNum>
  <w:abstractNum w:abstractNumId="1443122">
    <w:lvl>
      <w:numFmt w:val="bullet"/>
      <w:suff w:val="tab"/>
      <w:lvlText w:val="•"/>
      <w:rPr>
        <w:color w:val="3370ff"/>
      </w:rPr>
    </w:lvl>
  </w:abstractNum>
  <w:abstractNum w:abstractNumId="1443123">
    <w:lvl>
      <w:numFmt w:val="bullet"/>
      <w:suff w:val="tab"/>
      <w:lvlText w:val="•"/>
      <w:rPr>
        <w:color w:val="3370ff"/>
      </w:rPr>
    </w:lvl>
  </w:abstractNum>
  <w:abstractNum w:abstractNumId="1443124">
    <w:lvl>
      <w:numFmt w:val="bullet"/>
      <w:suff w:val="tab"/>
      <w:lvlText w:val="•"/>
      <w:rPr>
        <w:color w:val="3370ff"/>
      </w:rPr>
    </w:lvl>
  </w:abstractNum>
  <w:abstractNum w:abstractNumId="1443125">
    <w:lvl>
      <w:numFmt w:val="bullet"/>
      <w:suff w:val="tab"/>
      <w:lvlText w:val="•"/>
      <w:rPr>
        <w:color w:val="3370ff"/>
      </w:rPr>
    </w:lvl>
  </w:abstractNum>
  <w:abstractNum w:abstractNumId="1443126">
    <w:lvl>
      <w:numFmt w:val="bullet"/>
      <w:suff w:val="tab"/>
      <w:lvlText w:val="•"/>
      <w:rPr>
        <w:color w:val="3370ff"/>
      </w:rPr>
    </w:lvl>
  </w:abstractNum>
  <w:abstractNum w:abstractNumId="1443127">
    <w:lvl>
      <w:numFmt w:val="bullet"/>
      <w:suff w:val="tab"/>
      <w:lvlText w:val="•"/>
      <w:rPr>
        <w:color w:val="3370ff"/>
      </w:rPr>
    </w:lvl>
  </w:abstractNum>
  <w:abstractNum w:abstractNumId="1443128">
    <w:lvl>
      <w:numFmt w:val="bullet"/>
      <w:suff w:val="tab"/>
      <w:lvlText w:val="•"/>
      <w:rPr>
        <w:color w:val="3370ff"/>
      </w:rPr>
    </w:lvl>
  </w:abstractNum>
  <w:abstractNum w:abstractNumId="1443129">
    <w:lvl>
      <w:numFmt w:val="bullet"/>
      <w:suff w:val="tab"/>
      <w:lvlText w:val="•"/>
      <w:rPr>
        <w:color w:val="3370ff"/>
      </w:rPr>
    </w:lvl>
  </w:abstractNum>
  <w:abstractNum w:abstractNumId="1443130">
    <w:lvl>
      <w:numFmt w:val="bullet"/>
      <w:suff w:val="tab"/>
      <w:lvlText w:val="•"/>
      <w:rPr>
        <w:color w:val="3370ff"/>
      </w:rPr>
    </w:lvl>
  </w:abstractNum>
  <w:abstractNum w:abstractNumId="1443131">
    <w:lvl>
      <w:numFmt w:val="bullet"/>
      <w:suff w:val="tab"/>
      <w:lvlText w:val="•"/>
      <w:rPr>
        <w:color w:val="3370ff"/>
      </w:rPr>
    </w:lvl>
  </w:abstractNum>
  <w:abstractNum w:abstractNumId="1443132">
    <w:lvl>
      <w:numFmt w:val="bullet"/>
      <w:suff w:val="tab"/>
      <w:lvlText w:val="•"/>
      <w:rPr>
        <w:color w:val="3370ff"/>
      </w:rPr>
    </w:lvl>
  </w:abstractNum>
  <w:abstractNum w:abstractNumId="1443133">
    <w:lvl>
      <w:numFmt w:val="bullet"/>
      <w:suff w:val="tab"/>
      <w:lvlText w:val="•"/>
      <w:rPr>
        <w:color w:val="3370ff"/>
      </w:rPr>
    </w:lvl>
  </w:abstractNum>
  <w:abstractNum w:abstractNumId="1443134">
    <w:lvl>
      <w:numFmt w:val="bullet"/>
      <w:suff w:val="tab"/>
      <w:lvlText w:val="•"/>
      <w:rPr>
        <w:color w:val="3370ff"/>
      </w:rPr>
    </w:lvl>
  </w:abstractNum>
  <w:abstractNum w:abstractNumId="1443135">
    <w:lvl>
      <w:numFmt w:val="bullet"/>
      <w:suff w:val="tab"/>
      <w:lvlText w:val="•"/>
      <w:rPr>
        <w:color w:val="3370ff"/>
      </w:rPr>
    </w:lvl>
  </w:abstractNum>
  <w:abstractNum w:abstractNumId="1443136">
    <w:lvl>
      <w:numFmt w:val="bullet"/>
      <w:suff w:val="tab"/>
      <w:lvlText w:val="•"/>
      <w:rPr>
        <w:color w:val="3370ff"/>
      </w:rPr>
    </w:lvl>
  </w:abstractNum>
  <w:abstractNum w:abstractNumId="1443137">
    <w:lvl>
      <w:numFmt w:val="bullet"/>
      <w:suff w:val="tab"/>
      <w:lvlText w:val="•"/>
      <w:rPr>
        <w:color w:val="3370ff"/>
      </w:rPr>
    </w:lvl>
  </w:abstractNum>
  <w:abstractNum w:abstractNumId="1443138">
    <w:lvl>
      <w:numFmt w:val="bullet"/>
      <w:suff w:val="tab"/>
      <w:lvlText w:val="•"/>
      <w:rPr>
        <w:color w:val="3370ff"/>
      </w:rPr>
    </w:lvl>
  </w:abstractNum>
  <w:abstractNum w:abstractNumId="1443139">
    <w:lvl>
      <w:numFmt w:val="bullet"/>
      <w:suff w:val="tab"/>
      <w:lvlText w:val="•"/>
      <w:rPr>
        <w:color w:val="3370ff"/>
      </w:rPr>
    </w:lvl>
  </w:abstractNum>
  <w:abstractNum w:abstractNumId="1443140">
    <w:lvl>
      <w:numFmt w:val="bullet"/>
      <w:suff w:val="tab"/>
      <w:lvlText w:val="•"/>
      <w:rPr>
        <w:color w:val="3370ff"/>
      </w:rPr>
    </w:lvl>
  </w:abstractNum>
  <w:abstractNum w:abstractNumId="1443141">
    <w:lvl>
      <w:numFmt w:val="bullet"/>
      <w:suff w:val="tab"/>
      <w:lvlText w:val="•"/>
      <w:rPr>
        <w:color w:val="3370ff"/>
      </w:rPr>
    </w:lvl>
  </w:abstractNum>
  <w:abstractNum w:abstractNumId="1443142">
    <w:lvl>
      <w:numFmt w:val="bullet"/>
      <w:suff w:val="tab"/>
      <w:lvlText w:val="•"/>
      <w:rPr>
        <w:color w:val="3370ff"/>
      </w:rPr>
    </w:lvl>
  </w:abstractNum>
  <w:num w:numId="1">
    <w:abstractNumId w:val="1443085"/>
  </w:num>
  <w:num w:numId="2">
    <w:abstractNumId w:val="1443086"/>
  </w:num>
  <w:num w:numId="3">
    <w:abstractNumId w:val="1443087"/>
  </w:num>
  <w:num w:numId="4">
    <w:abstractNumId w:val="1443088"/>
  </w:num>
  <w:num w:numId="5">
    <w:abstractNumId w:val="1443089"/>
  </w:num>
  <w:num w:numId="6">
    <w:abstractNumId w:val="1443090"/>
  </w:num>
  <w:num w:numId="7">
    <w:abstractNumId w:val="1443091"/>
  </w:num>
  <w:num w:numId="8">
    <w:abstractNumId w:val="1443092"/>
  </w:num>
  <w:num w:numId="9">
    <w:abstractNumId w:val="1443093"/>
  </w:num>
  <w:num w:numId="10">
    <w:abstractNumId w:val="1443094"/>
  </w:num>
  <w:num w:numId="11">
    <w:abstractNumId w:val="1443095"/>
  </w:num>
  <w:num w:numId="12">
    <w:abstractNumId w:val="1443096"/>
  </w:num>
  <w:num w:numId="13">
    <w:abstractNumId w:val="1443097"/>
  </w:num>
  <w:num w:numId="14">
    <w:abstractNumId w:val="1443098"/>
  </w:num>
  <w:num w:numId="15">
    <w:abstractNumId w:val="1443099"/>
  </w:num>
  <w:num w:numId="16">
    <w:abstractNumId w:val="1443100"/>
  </w:num>
  <w:num w:numId="17">
    <w:abstractNumId w:val="1443101"/>
  </w:num>
  <w:num w:numId="18">
    <w:abstractNumId w:val="1443102"/>
  </w:num>
  <w:num w:numId="19">
    <w:abstractNumId w:val="1443103"/>
  </w:num>
  <w:num w:numId="20">
    <w:abstractNumId w:val="1443104"/>
  </w:num>
  <w:num w:numId="21">
    <w:abstractNumId w:val="1443105"/>
  </w:num>
  <w:num w:numId="22">
    <w:abstractNumId w:val="1443106"/>
  </w:num>
  <w:num w:numId="23">
    <w:abstractNumId w:val="1443107"/>
  </w:num>
  <w:num w:numId="24">
    <w:abstractNumId w:val="1443108"/>
  </w:num>
  <w:num w:numId="25">
    <w:abstractNumId w:val="1443109"/>
  </w:num>
  <w:num w:numId="26">
    <w:abstractNumId w:val="1443110"/>
  </w:num>
  <w:num w:numId="27">
    <w:abstractNumId w:val="1443111"/>
  </w:num>
  <w:num w:numId="28">
    <w:abstractNumId w:val="1443112"/>
  </w:num>
  <w:num w:numId="29">
    <w:abstractNumId w:val="1443113"/>
  </w:num>
  <w:num w:numId="30">
    <w:abstractNumId w:val="1443114"/>
  </w:num>
  <w:num w:numId="31">
    <w:abstractNumId w:val="1443115"/>
  </w:num>
  <w:num w:numId="32">
    <w:abstractNumId w:val="1443116"/>
  </w:num>
  <w:num w:numId="33">
    <w:abstractNumId w:val="1443117"/>
  </w:num>
  <w:num w:numId="34">
    <w:abstractNumId w:val="1443118"/>
  </w:num>
  <w:num w:numId="35">
    <w:abstractNumId w:val="1443119"/>
  </w:num>
  <w:num w:numId="36">
    <w:abstractNumId w:val="1443120"/>
  </w:num>
  <w:num w:numId="37">
    <w:abstractNumId w:val="1443121"/>
  </w:num>
  <w:num w:numId="38">
    <w:abstractNumId w:val="1443122"/>
  </w:num>
  <w:num w:numId="39">
    <w:abstractNumId w:val="1443123"/>
  </w:num>
  <w:num w:numId="40">
    <w:abstractNumId w:val="1443124"/>
  </w:num>
  <w:num w:numId="41">
    <w:abstractNumId w:val="1443125"/>
  </w:num>
  <w:num w:numId="42">
    <w:abstractNumId w:val="1443126"/>
  </w:num>
  <w:num w:numId="43">
    <w:abstractNumId w:val="1443127"/>
  </w:num>
  <w:num w:numId="44">
    <w:abstractNumId w:val="1443128"/>
  </w:num>
  <w:num w:numId="45">
    <w:abstractNumId w:val="1443129"/>
  </w:num>
  <w:num w:numId="46">
    <w:abstractNumId w:val="1443130"/>
  </w:num>
  <w:num w:numId="47">
    <w:abstractNumId w:val="1443131"/>
  </w:num>
  <w:num w:numId="48">
    <w:abstractNumId w:val="1443132"/>
  </w:num>
  <w:num w:numId="49">
    <w:abstractNumId w:val="1443133"/>
  </w:num>
  <w:num w:numId="50">
    <w:abstractNumId w:val="1443134"/>
  </w:num>
  <w:num w:numId="51">
    <w:abstractNumId w:val="1443135"/>
  </w:num>
  <w:num w:numId="52">
    <w:abstractNumId w:val="1443136"/>
  </w:num>
  <w:num w:numId="53">
    <w:abstractNumId w:val="1443137"/>
  </w:num>
  <w:num w:numId="54">
    <w:abstractNumId w:val="1443138"/>
  </w:num>
  <w:num w:numId="55">
    <w:abstractNumId w:val="1443139"/>
  </w:num>
  <w:num w:numId="56">
    <w:abstractNumId w:val="1443140"/>
  </w:num>
  <w:num w:numId="57">
    <w:abstractNumId w:val="1443141"/>
  </w:num>
  <w:num w:numId="58">
    <w:abstractNumId w:val="14431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airudder.feishu.cn/wiki/OK9TwMJl0iEvxDk020Mcw4nNn8l" TargetMode="External" Type="http://schemas.openxmlformats.org/officeDocument/2006/relationships/hyperlink"/><Relationship Id="rId6" Target="https://airudder.feishu.cn/wiki/N7PSwY9LTiKgqLkHXA9cXxAannb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2026-06-22T03:55:41Z</dcterms:created>
  <dc:creator>Apache POI</dc:creator>
</cp:coreProperties>
</file>