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830" w14:textId="68B5D207" w:rsidR="0007048F" w:rsidRPr="006A381E" w:rsidRDefault="0007048F" w:rsidP="008F6E0E">
      <w:pPr>
        <w:spacing w:line="360" w:lineRule="auto"/>
        <w:rPr>
          <w:b/>
          <w:bCs/>
        </w:rPr>
      </w:pPr>
      <w:bookmarkStart w:id="0" w:name="X61920d043a979f98ebd741c77f7cdf38bae6db9"/>
      <w:r w:rsidRPr="006A381E">
        <w:rPr>
          <w:b/>
          <w:bCs/>
        </w:rPr>
        <w:t xml:space="preserve">Interpreting </w:t>
      </w:r>
      <w:proofErr w:type="spellStart"/>
      <w:r w:rsidRPr="006A381E">
        <w:rPr>
          <w:b/>
          <w:bCs/>
        </w:rPr>
        <w:t>UniFrac</w:t>
      </w:r>
      <w:proofErr w:type="spellEnd"/>
      <w:r w:rsidRPr="006A381E">
        <w:rPr>
          <w:b/>
          <w:bCs/>
        </w:rPr>
        <w:t xml:space="preserve"> with Absolute Abundance: A Conceptual and Practical Guide</w:t>
      </w:r>
    </w:p>
    <w:p w14:paraId="2E7AB754" w14:textId="77777777" w:rsidR="0007048F" w:rsidRPr="0007048F" w:rsidRDefault="0007048F" w:rsidP="008F6E0E">
      <w:pPr>
        <w:spacing w:line="360" w:lineRule="auto"/>
      </w:pPr>
      <w:r w:rsidRPr="0007048F">
        <w:t>Augustus Pendleton</w:t>
      </w:r>
      <w:r w:rsidRPr="0007048F">
        <w:rPr>
          <w:vertAlign w:val="superscript"/>
        </w:rPr>
        <w:t>1</w:t>
      </w:r>
      <w:r w:rsidRPr="0007048F">
        <w:t>* &amp; Marian L. Schmidt</w:t>
      </w:r>
      <w:r w:rsidRPr="0007048F">
        <w:rPr>
          <w:vertAlign w:val="superscript"/>
        </w:rPr>
        <w:t>1</w:t>
      </w:r>
      <w:r w:rsidRPr="0007048F">
        <w:t>*</w:t>
      </w:r>
    </w:p>
    <w:p w14:paraId="34D7ECB4" w14:textId="77777777" w:rsidR="0007048F" w:rsidRPr="0007048F" w:rsidRDefault="0007048F" w:rsidP="008F6E0E">
      <w:pPr>
        <w:spacing w:line="360" w:lineRule="auto"/>
      </w:pPr>
      <w:r w:rsidRPr="0007048F">
        <w:rPr>
          <w:vertAlign w:val="superscript"/>
        </w:rPr>
        <w:t>1</w:t>
      </w:r>
      <w:r w:rsidRPr="0007048F">
        <w:t>Department of Microbiology, Cornell University, 123 Wing Dr, Ithaca, NY 14850, USA</w:t>
      </w:r>
    </w:p>
    <w:p w14:paraId="5AA09167" w14:textId="0AFB44D3" w:rsidR="0007048F" w:rsidRDefault="0007048F" w:rsidP="008F6E0E">
      <w:pPr>
        <w:spacing w:line="360" w:lineRule="auto"/>
        <w:rPr>
          <w:rFonts w:cs="Times New Roman"/>
        </w:rPr>
      </w:pPr>
      <w:r w:rsidRPr="0007048F">
        <w:rPr>
          <w:b/>
          <w:bCs/>
        </w:rPr>
        <w:t>Corresponding Authors:</w:t>
      </w:r>
      <w:r w:rsidRPr="0007048F">
        <w:t xml:space="preserve"> Augustus Pendleton: </w:t>
      </w:r>
      <w:hyperlink r:id="rId8" w:history="1">
        <w:r w:rsidRPr="00947D0B">
          <w:rPr>
            <w:rStyle w:val="Hyperlink"/>
            <w:rFonts w:cs="Times New Roman"/>
          </w:rPr>
          <w:t>arp277@cornell.edu</w:t>
        </w:r>
      </w:hyperlink>
      <w:r w:rsidRPr="0007048F">
        <w:t xml:space="preserve">; Marian L. Schmidt: </w:t>
      </w:r>
      <w:hyperlink r:id="rId9" w:history="1">
        <w:r w:rsidR="00615405" w:rsidRPr="00FA419A">
          <w:rPr>
            <w:rStyle w:val="Hyperlink"/>
            <w:rFonts w:cs="Times New Roman"/>
          </w:rPr>
          <w:t>marschmi@cornell.edu</w:t>
        </w:r>
      </w:hyperlink>
    </w:p>
    <w:p w14:paraId="597657D2" w14:textId="53CBE514" w:rsidR="00615405" w:rsidRPr="00615405" w:rsidRDefault="00615405" w:rsidP="008F6E0E">
      <w:pPr>
        <w:pStyle w:val="p1"/>
        <w:spacing w:line="360" w:lineRule="auto"/>
      </w:pPr>
      <w:r>
        <w:rPr>
          <w:b/>
          <w:bCs/>
        </w:rPr>
        <w:t xml:space="preserve">Physical Mailing Address: </w:t>
      </w:r>
      <w:r>
        <w:t>Augustus Pendleton or Marian L. Schmidt, Department of Microbiology, Cornell University, 123 Wing Drive, Ithaca, NY, 14853, United States</w:t>
      </w:r>
    </w:p>
    <w:p w14:paraId="35DF76EA" w14:textId="7518CA9D" w:rsidR="0007048F" w:rsidRPr="0007048F" w:rsidRDefault="00615405" w:rsidP="00BD3836">
      <w:pPr>
        <w:pStyle w:val="p1"/>
        <w:spacing w:line="360" w:lineRule="auto"/>
      </w:pPr>
      <w:r>
        <w:rPr>
          <w:b/>
          <w:bCs/>
        </w:rPr>
        <w:t xml:space="preserve">Running Title: </w:t>
      </w:r>
      <w:r w:rsidRPr="00615405">
        <w:t xml:space="preserve">A Guide to Absolute-Abundance </w:t>
      </w:r>
      <w:proofErr w:type="spellStart"/>
      <w:r w:rsidRPr="00615405">
        <w:t>UniFrac</w:t>
      </w:r>
      <w:proofErr w:type="spellEnd"/>
      <w:r w:rsidR="0007048F" w:rsidRPr="0007048F">
        <w:br w:type="page"/>
      </w:r>
    </w:p>
    <w:p w14:paraId="58E1B97C" w14:textId="77777777" w:rsidR="0007048F" w:rsidRPr="00496696" w:rsidRDefault="0007048F" w:rsidP="008F6E0E">
      <w:pPr>
        <w:spacing w:line="360" w:lineRule="auto"/>
        <w:rPr>
          <w:b/>
          <w:bCs/>
        </w:rPr>
      </w:pPr>
      <w:bookmarkStart w:id="1" w:name="abstract"/>
      <w:r w:rsidRPr="00496696">
        <w:rPr>
          <w:b/>
          <w:bCs/>
        </w:rPr>
        <w:lastRenderedPageBreak/>
        <w:t>Abstract</w:t>
      </w:r>
    </w:p>
    <w:p w14:paraId="05194397" w14:textId="77777777" w:rsidR="00615405" w:rsidRDefault="0007048F" w:rsidP="008F6E0E">
      <w:pPr>
        <w:spacing w:line="360" w:lineRule="auto"/>
      </w:pPr>
      <m:oMath>
        <m:r>
          <w:rPr>
            <w:rFonts w:ascii="Cambria Math" w:hAnsi="Cambria Math"/>
          </w:rPr>
          <m:t>β</m:t>
        </m:r>
      </m:oMath>
      <w:r w:rsidRPr="0007048F">
        <w:t>-diversity</w:t>
      </w:r>
      <w:r w:rsidR="001B3C95">
        <w:t xml:space="preserve"> is central to microbial ecology, yet commonly used metrics overlook changes in microbial load</w:t>
      </w:r>
      <w:r w:rsidR="004E7775">
        <w:t xml:space="preserve"> (or “absolute abundance”)</w:t>
      </w:r>
      <w:r w:rsidR="001B3C95">
        <w:t>, limiting their ability to detect ecologically meaningful shifts.</w:t>
      </w:r>
      <w:r w:rsidRPr="0007048F">
        <w:t xml:space="preserve"> Popular for incorporating phylogenetic relationships, </w:t>
      </w:r>
      <w:proofErr w:type="spellStart"/>
      <w:r w:rsidRPr="0007048F">
        <w:t>UniFrac</w:t>
      </w:r>
      <w:proofErr w:type="spellEnd"/>
      <w:r w:rsidRPr="0007048F">
        <w:t xml:space="preserve"> distances </w:t>
      </w:r>
      <w:r w:rsidR="001B3C95">
        <w:t xml:space="preserve">currently </w:t>
      </w:r>
      <w:r w:rsidRPr="0007048F">
        <w:t>default to relative abundance</w:t>
      </w:r>
      <w:r w:rsidR="001B3C95">
        <w:t xml:space="preserve"> and therefore omit</w:t>
      </w:r>
      <w:r w:rsidRPr="0007048F">
        <w:t xml:space="preserve"> important variation in microbial </w:t>
      </w:r>
      <w:r w:rsidR="001B3C95">
        <w:t>abundances</w:t>
      </w:r>
      <w:r w:rsidRPr="0007048F">
        <w:t xml:space="preserve">. As </w:t>
      </w:r>
      <w:r w:rsidR="001B3C95">
        <w:t>quantifying</w:t>
      </w:r>
      <w:r w:rsidRPr="0007048F">
        <w:t xml:space="preserve"> absolute abundance</w:t>
      </w:r>
      <w:r w:rsidR="001B3C95">
        <w:t xml:space="preserve"> become</w:t>
      </w:r>
      <w:r w:rsidR="00EE4F86">
        <w:t>s</w:t>
      </w:r>
      <w:r w:rsidR="001B3C95">
        <w:t xml:space="preserve"> more accessible, integrating</w:t>
      </w:r>
      <w:r w:rsidRPr="0007048F">
        <w:t xml:space="preserve"> this information into </w:t>
      </w:r>
      <m:oMath>
        <m:r>
          <w:rPr>
            <w:rFonts w:ascii="Cambria Math" w:hAnsi="Cambria Math"/>
          </w:rPr>
          <m:t>β</m:t>
        </m:r>
      </m:oMath>
      <w:r w:rsidRPr="0007048F">
        <w:t xml:space="preserve">-diversity analyses </w:t>
      </w:r>
      <w:r w:rsidR="00EE4F86">
        <w:t>is</w:t>
      </w:r>
      <w:r w:rsidRPr="0007048F">
        <w:t xml:space="preserve"> essential. Here, we </w:t>
      </w:r>
      <w:r w:rsidR="001B3C95">
        <w:t>introduce</w:t>
      </w:r>
      <w:r w:rsidRPr="0007048F">
        <w:t xml:space="preserve"> </w:t>
      </w:r>
      <w:r w:rsidRPr="0007048F">
        <w:rPr>
          <w:i/>
          <w:iCs/>
        </w:rPr>
        <w:t xml:space="preserve">Absolute </w:t>
      </w:r>
      <w:proofErr w:type="spellStart"/>
      <w:r w:rsidRPr="0007048F">
        <w:rPr>
          <w:i/>
          <w:iCs/>
        </w:rPr>
        <w:t>UniFrac</w:t>
      </w:r>
      <w:proofErr w:type="spellEnd"/>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a variant of Weighted UniFrac that</w:t>
      </w:r>
      <w:r w:rsidR="001B3C95">
        <w:t xml:space="preserve"> incorporates</w:t>
      </w:r>
      <w:r w:rsidRPr="0007048F">
        <w:t xml:space="preserve"> absolute abundances. </w:t>
      </w:r>
      <w:r w:rsidR="001B3C95">
        <w:t>Using</w:t>
      </w:r>
      <w:r w:rsidRPr="0007048F">
        <w:t xml:space="preserve"> simulations and a </w:t>
      </w:r>
      <w:r w:rsidR="008A0D17">
        <w:t xml:space="preserve">reanalysis of four 16S </w:t>
      </w:r>
      <w:r w:rsidR="001B3C95">
        <w:t xml:space="preserve">rRNA </w:t>
      </w:r>
      <w:r w:rsidR="008A0D17">
        <w:t xml:space="preserve">metabarcoding datasets (from </w:t>
      </w:r>
      <w:r w:rsidR="000F0D90">
        <w:t xml:space="preserve">a </w:t>
      </w:r>
      <w:r w:rsidR="008A0D17">
        <w:t xml:space="preserve">nuclear reactor cooling tank, </w:t>
      </w:r>
      <w:r w:rsidR="000F0D90">
        <w:t xml:space="preserve">the </w:t>
      </w:r>
      <w:r w:rsidR="008A0D17">
        <w:t xml:space="preserve">mouse gut, a freshwater lake, and the peanut </w:t>
      </w:r>
      <w:proofErr w:type="spellStart"/>
      <w:r w:rsidR="008A0D17">
        <w:t>rhizospere</w:t>
      </w:r>
      <w:proofErr w:type="spellEnd"/>
      <w:r w:rsidR="008A0D17">
        <w:t>),</w:t>
      </w:r>
      <w:r w:rsidRPr="0007048F">
        <w:t xml:space="preserve"> we </w:t>
      </w:r>
      <w:r w:rsidR="008A0D17">
        <w:t xml:space="preserve">demonstrate </w:t>
      </w:r>
      <w:r w:rsidR="001B3C95">
        <w:t>that</w:t>
      </w:r>
      <w:r w:rsidR="00533D53">
        <w:t xml:space="preserve"> </w:t>
      </w:r>
      <w:r w:rsidRPr="0007048F">
        <w:t xml:space="preserve">Absolute </w:t>
      </w:r>
      <w:proofErr w:type="spellStart"/>
      <w:r w:rsidRPr="0007048F">
        <w:t>UniFrac</w:t>
      </w:r>
      <w:proofErr w:type="spellEnd"/>
      <w:r w:rsidRPr="0007048F">
        <w:t xml:space="preserve"> </w:t>
      </w:r>
      <w:r w:rsidR="001B3C95">
        <w:t>captures</w:t>
      </w:r>
      <w:r w:rsidRPr="0007048F">
        <w:t xml:space="preserve"> microbial load</w:t>
      </w:r>
      <w:r w:rsidR="001B3C95">
        <w:t>, composition,</w:t>
      </w:r>
      <w:r w:rsidRPr="0007048F">
        <w:t xml:space="preserve"> and phylogenetic relationship</w:t>
      </w:r>
      <w:r w:rsidR="00533D53">
        <w:t>s. While this can</w:t>
      </w:r>
      <w:r w:rsidRPr="0007048F">
        <w:t xml:space="preserve"> improv</w:t>
      </w:r>
      <w:r w:rsidR="00533D53">
        <w:t>e</w:t>
      </w:r>
      <w:r w:rsidRPr="0007048F">
        <w:t xml:space="preserve"> statistical power to detect ecological shifts</w:t>
      </w:r>
      <w:r w:rsidR="00533D53">
        <w:t xml:space="preserve">, we also find Absolute </w:t>
      </w:r>
      <w:proofErr w:type="spellStart"/>
      <w:r w:rsidR="00533D53">
        <w:t>Unifrac</w:t>
      </w:r>
      <w:proofErr w:type="spellEnd"/>
      <w:r w:rsidR="00533D53">
        <w:t xml:space="preserve"> can be strongly correlated to differences in cell abundances alone.</w:t>
      </w:r>
      <w:r w:rsidR="001B3C95">
        <w:t xml:space="preserve"> To balance these effects, we </w:t>
      </w:r>
      <w:r w:rsidR="00384B48">
        <w:t>also incorporate absolute abundance into the</w:t>
      </w:r>
      <w:r w:rsidRPr="0007048F">
        <w:t xml:space="preserve"> generalized</w:t>
      </w:r>
      <w:r w:rsidR="001B3C95">
        <w:t xml:space="preserve"> extension</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B25A30">
        <w:t>that has</w:t>
      </w:r>
      <w:r w:rsidR="00B25A30" w:rsidRPr="0007048F">
        <w:t xml:space="preserve"> a tunable</w:t>
      </w:r>
      <w:r w:rsidR="00B25A30">
        <w:t>, continuous ecological parameter (</w:t>
      </w:r>
      <m:oMath>
        <m:r>
          <w:rPr>
            <w:rFonts w:ascii="Cambria Math" w:hAnsi="Cambria Math"/>
          </w:rPr>
          <m:t>α</m:t>
        </m:r>
      </m:oMath>
      <w:r w:rsidR="00B25A30">
        <w:rPr>
          <w:rFonts w:eastAsiaTheme="minorEastAsia"/>
        </w:rPr>
        <w:t>)</w:t>
      </w:r>
      <w:r w:rsidR="00B25A30" w:rsidRPr="0007048F">
        <w:t xml:space="preserve"> </w:t>
      </w:r>
      <w:r w:rsidR="00B25A30">
        <w:t xml:space="preserve">that modulates the relative contribution of rare versus abundant lineages to </w:t>
      </w:r>
      <m:oMath>
        <m:r>
          <w:rPr>
            <w:rFonts w:ascii="Cambria Math" w:hAnsi="Cambria Math"/>
          </w:rPr>
          <m:t>β</m:t>
        </m:r>
      </m:oMath>
      <w:r w:rsidR="00B25A30" w:rsidRPr="0007048F">
        <w:t>-diversity</w:t>
      </w:r>
      <w:r w:rsidR="00B25A30">
        <w:t xml:space="preserve"> calculations. </w:t>
      </w:r>
      <w:r w:rsidR="001B3C95">
        <w:t xml:space="preserve">Finally, we benchmark </w:t>
      </w:r>
      <w:r w:rsidR="00533D53">
        <w:rPr>
          <w:i/>
          <w:iCs/>
        </w:rPr>
        <w:t>GU</w:t>
      </w:r>
      <w:r w:rsidR="00533D53">
        <w:rPr>
          <w:i/>
          <w:iCs/>
          <w:vertAlign w:val="superscript"/>
        </w:rPr>
        <w:t>A</w:t>
      </w:r>
      <w:r w:rsidR="001B3C95">
        <w:t xml:space="preserve"> and show that although computationally slower than conventional alternatives, </w:t>
      </w:r>
      <w:r w:rsidR="00533D53">
        <w:rPr>
          <w:i/>
          <w:iCs/>
        </w:rPr>
        <w:t>GU</w:t>
      </w:r>
      <w:r w:rsidR="00533D53">
        <w:rPr>
          <w:i/>
          <w:iCs/>
          <w:vertAlign w:val="superscript"/>
        </w:rPr>
        <w:t xml:space="preserve">A </w:t>
      </w:r>
      <w:r w:rsidR="001B3C95">
        <w:t>is comparably sensitive to noise in load estimates compared to conventional alternatives lik</w:t>
      </w:r>
      <w:r w:rsidR="00D12EEF">
        <w:t>e</w:t>
      </w:r>
      <w:r w:rsidR="001B3C95">
        <w:t xml:space="preserve"> Bray-Curtis dissimilarities, particularly at l</w:t>
      </w:r>
      <w:r w:rsidR="00533D53">
        <w:t xml:space="preserve">ower </w:t>
      </w:r>
      <m:oMath>
        <m:r>
          <w:rPr>
            <w:rFonts w:ascii="Cambria Math" w:hAnsi="Cambria Math"/>
          </w:rPr>
          <m:t>α.</m:t>
        </m:r>
      </m:oMath>
      <w:r w:rsidR="001B3C95">
        <w:t xml:space="preserve"> By coupling phylogeny</w:t>
      </w:r>
      <w:r w:rsidR="00D12EEF">
        <w:t>, composition, and</w:t>
      </w:r>
      <w:r w:rsidR="001B3C95">
        <w:t xml:space="preserve"> microbial load, Absolute </w:t>
      </w:r>
      <w:proofErr w:type="spellStart"/>
      <w:r w:rsidR="001B3C95">
        <w:t>Unifrac</w:t>
      </w:r>
      <w:proofErr w:type="spellEnd"/>
      <w:r w:rsidR="00D12EEF">
        <w:t xml:space="preserve"> </w:t>
      </w:r>
      <w:r w:rsidR="0060654F">
        <w:t>integrates three dimensions of ecological change, better equipping microbial ecologists to quantitatively compare microbial communities.</w:t>
      </w:r>
    </w:p>
    <w:p w14:paraId="604717D4" w14:textId="77777777" w:rsidR="00615405" w:rsidRDefault="00615405" w:rsidP="008F6E0E">
      <w:pPr>
        <w:spacing w:line="360" w:lineRule="auto"/>
        <w:rPr>
          <w:b/>
          <w:bCs/>
        </w:rPr>
      </w:pPr>
    </w:p>
    <w:p w14:paraId="18E7A8AB" w14:textId="60D276D1" w:rsidR="0007048F" w:rsidRPr="0007048F" w:rsidRDefault="00615405" w:rsidP="008F6E0E">
      <w:pPr>
        <w:spacing w:line="360" w:lineRule="auto"/>
      </w:pPr>
      <w:r w:rsidRPr="0007048F">
        <w:rPr>
          <w:b/>
          <w:bCs/>
        </w:rPr>
        <w:t>Keywords:</w:t>
      </w:r>
      <w:r w:rsidRPr="0007048F">
        <w:t xml:space="preserve"> Microbial Ecology - Beta Diversity - Absolute Abundance - Bioinformatics - </w:t>
      </w:r>
      <w:proofErr w:type="spellStart"/>
      <w:r w:rsidRPr="0007048F">
        <w:t>UniFrac</w:t>
      </w:r>
      <w:proofErr w:type="spellEnd"/>
      <w:r w:rsidR="0007048F" w:rsidRPr="0007048F">
        <w:br w:type="page"/>
      </w:r>
    </w:p>
    <w:p w14:paraId="0A3E7646" w14:textId="77777777" w:rsidR="0007048F" w:rsidRPr="00496696" w:rsidRDefault="0007048F" w:rsidP="008F6E0E">
      <w:pPr>
        <w:spacing w:line="360" w:lineRule="auto"/>
        <w:rPr>
          <w:b/>
          <w:bCs/>
        </w:rPr>
      </w:pPr>
      <w:bookmarkStart w:id="2" w:name="main-text"/>
      <w:bookmarkEnd w:id="1"/>
      <w:r w:rsidRPr="00496696">
        <w:rPr>
          <w:b/>
          <w:bCs/>
        </w:rPr>
        <w:lastRenderedPageBreak/>
        <w:t>Main Text</w:t>
      </w:r>
    </w:p>
    <w:p w14:paraId="194C2037" w14:textId="50FD83BF" w:rsidR="0007048F" w:rsidRDefault="0007048F" w:rsidP="008F6E0E">
      <w:pPr>
        <w:spacing w:line="360" w:lineRule="auto"/>
        <w:ind w:firstLine="720"/>
      </w:pPr>
      <w:r w:rsidRPr="0007048F">
        <w:t xml:space="preserve">Microbial ecologists routinely compare communities using </w:t>
      </w:r>
      <m:oMath>
        <m:r>
          <w:rPr>
            <w:rFonts w:ascii="Cambria Math" w:hAnsi="Cambria Math"/>
          </w:rPr>
          <m:t>β</m:t>
        </m:r>
      </m:oMath>
      <w:r w:rsidRPr="0007048F">
        <w:t>-diversity metrics derived from relative abundances. Yet this approach overlooks a critical ecological dimension: microbial load. High-throughput sequencing produces compositional data, in which each taxon’s abundance is constrained by all others</w:t>
      </w:r>
      <w:r w:rsidR="00496696">
        <w:t xml:space="preserve"> </w:t>
      </w:r>
      <w:r w:rsidR="00496696">
        <w:fldChar w:fldCharType="begin"/>
      </w:r>
      <w:r w:rsidR="00496696">
        <w:instrText xml:space="preserve"> ADDIN ZOTERO_ITEM CSL_CITATION {"citationID":"x2ZDVmkj","properties":{"formattedCitation":"[1]","plainCitation":"[1]","noteIndex":0},"citationItems":[{"id":2069,"uris":["http://zotero.org/groups/5077571/items/97IX3MNG"],"itemData":{"id":2069,"type":"article-journal","abstract":"Datasets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J."}],"issued":{"date-parts":[["2017",11,15]]},"citation-key":"gloorMicrobiomeDatasetsAre2017"}}],"schema":"https://github.com/citation-style-language/schema/raw/master/csl-citation.json"} </w:instrText>
      </w:r>
      <w:r w:rsidR="00496696">
        <w:fldChar w:fldCharType="separate"/>
      </w:r>
      <w:r w:rsidR="00496696">
        <w:rPr>
          <w:noProof/>
        </w:rPr>
        <w:t>[1]</w:t>
      </w:r>
      <w:r w:rsidR="00496696">
        <w:fldChar w:fldCharType="end"/>
      </w:r>
      <w:r w:rsidRPr="0007048F">
        <w:t>. However, quantitative profiling studies show that cell abundance, not only composition, can drive major community differences</w:t>
      </w:r>
      <w:r w:rsidR="00496696">
        <w:t xml:space="preserve"> </w:t>
      </w:r>
      <w:r w:rsidR="00496696">
        <w:fldChar w:fldCharType="begin"/>
      </w:r>
      <w:r w:rsidR="00496696">
        <w:instrText xml:space="preserve"> ADDIN ZOTERO_ITEM CSL_CITATION {"citationID":"rMehl6Ws","properties":{"formattedCitation":"[2]","plainCitation":"[2]","noteIndex":0},"citationItems":[{"id":1089,"uris":["http://zotero.org/groups/5077571/items/DEZ9LS8N"],"itemData":{"id":1089,"type":"article-journal","abstract":"Objective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[2]</w:t>
      </w:r>
      <w:r w:rsidR="00496696">
        <w:fldChar w:fldCharType="end"/>
      </w:r>
      <w:r w:rsidRPr="0007048F">
        <w:t>. In low-biomass samples, relying on relative abundance can allow contaminants to appear biologically meaningful despite absolute counts too low for concern</w:t>
      </w:r>
      <w:r w:rsidR="00496696">
        <w:t xml:space="preserve"> </w:t>
      </w:r>
      <w:r w:rsidR="00496696">
        <w:fldChar w:fldCharType="begin"/>
      </w:r>
      <w:r w:rsidR="00496696">
        <w:instrText xml:space="preserve"> ADDIN ZOTERO_ITEM CSL_CITATION {"citationID":"K4EeajLk","properties":{"formattedCitation":"[3]","plainCitation":"[3]","noteIndex":0},"citationItems":[{"id":2078,"uris":["http://zotero.org/groups/5077571/items/9FC6PKRB"],"itemData":{"id":2078,"type":"article-journal","abstract":"A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496696">
        <w:fldChar w:fldCharType="separate"/>
      </w:r>
      <w:r w:rsidR="00496696">
        <w:rPr>
          <w:noProof/>
        </w:rPr>
        <w:t>[3]</w:t>
      </w:r>
      <w:r w:rsidR="00496696">
        <w:fldChar w:fldCharType="end"/>
      </w:r>
      <w:r w:rsidRPr="0007048F">
        <w:t>.</w:t>
      </w:r>
    </w:p>
    <w:p w14:paraId="7D93E219" w14:textId="28B41253" w:rsidR="00444E42" w:rsidRDefault="00444E42" w:rsidP="008F6E0E">
      <w:pPr>
        <w:spacing w:line="360" w:lineRule="auto"/>
        <w:ind w:firstLine="720"/>
      </w:pPr>
      <w:r>
        <w:t xml:space="preserve">Sequencing-based microbiome studies therefore rely on relative abundance even when the hypotheses of interest implicitly concern absolute changes in biomass. This creates a mismatch between ecological framing (growth, bloom magnitude, pathogen proliferation, disturbance recovery, or colonization pressure) and the information the </w:t>
      </w:r>
      <m:oMath>
        <m:r>
          <w:rPr>
            <w:rFonts w:ascii="Cambria Math" w:hAnsi="Cambria Math"/>
          </w:rPr>
          <m:t>β</m:t>
        </m:r>
      </m:oMath>
      <w:r w:rsidRPr="0007048F">
        <w:t>-</w:t>
      </w:r>
      <w:r>
        <w:t>diversity metric encodes</w:t>
      </w:r>
      <w:r w:rsidR="00A20B2F">
        <w:t xml:space="preserve"> </w:t>
      </w:r>
      <w:r w:rsidR="00A20B2F">
        <w:fldChar w:fldCharType="begin"/>
      </w:r>
      <w:r w:rsidR="00A20B2F">
        <w:instrText xml:space="preserve"> ADDIN ZOTERO_ITEM CSL_CITATION {"citationID":"kNaiXzB6","properties":{"formattedCitation":"[4]","plainCitation":"[4]","noteIndex":0},"citationItems":[{"id":2062,"uris":["http://zotero.org/groups/5077571/items/WYESXR85"],"itemData":{"id":2062,"type":"article-journal","abstract":"High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As a result, </w:t>
      </w:r>
      <m:oMath>
        <m:r>
          <w:rPr>
            <w:rFonts w:ascii="Cambria Math" w:hAnsi="Cambria Math"/>
          </w:rPr>
          <m:t>β</m:t>
        </m:r>
      </m:oMath>
      <w:r w:rsidRPr="0007048F">
        <w:t>-</w:t>
      </w:r>
      <w:r>
        <w:t xml:space="preserve">diversity is often treated as if it includes biomass, even when absolute abundance is either not measured at all or is measured but excluded from the calculation (as in conventional </w:t>
      </w:r>
      <w:proofErr w:type="spellStart"/>
      <w:r>
        <w:t>UniFrac</w:t>
      </w:r>
      <w:proofErr w:type="spellEnd"/>
      <w:r>
        <w:t>). Many studies therefore test biomass-linked hypotheses using a metric that normalizes biomass away</w:t>
      </w:r>
      <w:r w:rsidR="00A20B2F">
        <w:t xml:space="preserve"> </w:t>
      </w:r>
      <w:r w:rsidR="00A20B2F">
        <w:fldChar w:fldCharType="begin"/>
      </w:r>
      <w:r w:rsidR="00A20B2F">
        <w:instrText xml:space="preserve"> ADDIN ZOTERO_ITEM CSL_CITATION {"citationID":"gdWPZVe8","properties":{"formattedCitation":"[4]","plainCitation":"[4]","noteIndex":0},"citationItems":[{"id":2062,"uris":["http://zotero.org/groups/5077571/items/WYESXR85"],"itemData":{"id":2062,"type":"article-journal","abstract":"High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 conceptual correction is needed in which </w:t>
      </w:r>
      <m:oMath>
        <m:r>
          <w:rPr>
            <w:rFonts w:ascii="Cambria Math" w:hAnsi="Cambria Math"/>
          </w:rPr>
          <m:t>β</m:t>
        </m:r>
      </m:oMath>
      <w:r w:rsidRPr="0007048F">
        <w:t>-diversity</w:t>
      </w:r>
      <w:r>
        <w:t xml:space="preserve"> is understood as variation along three axes: composition, phylogeny and absolute abundance. </w:t>
      </w:r>
    </w:p>
    <w:p w14:paraId="52C89511" w14:textId="172606BA" w:rsidR="00BE0623" w:rsidRDefault="00444E42" w:rsidP="008F6E0E">
      <w:pPr>
        <w:spacing w:line="360" w:lineRule="auto"/>
        <w:ind w:firstLine="720"/>
      </w:pPr>
      <w:r>
        <w:t>Absolute microbial load measurements are now increasingly obtainable through</w:t>
      </w:r>
      <w:r w:rsidR="0007048F" w:rsidRPr="0007048F">
        <w:t xml:space="preserve"> flow cytometry, qPCR, and genomic spike-ins</w:t>
      </w:r>
      <w:r w:rsidR="00BE0623">
        <w:t>, allowing biomass to be quanti</w:t>
      </w:r>
      <w:r w:rsidR="00A20B2F">
        <w:t>fi</w:t>
      </w:r>
      <w:r w:rsidR="00BE0623">
        <w:t xml:space="preserve">ed alongside taxonomic composition </w:t>
      </w:r>
      <w:r w:rsidR="00496696">
        <w:fldChar w:fldCharType="begin"/>
      </w:r>
      <w:r w:rsidR="00496696">
        <w:instrText xml:space="preserve"> ADDIN ZOTERO_ITEM CSL_CITATION {"citationID":"Ps2OTEsT","properties":{"formattedCitation":"[4, 5]","plainCitation":"[4, 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496696">
        <w:fldChar w:fldCharType="separate"/>
      </w:r>
      <w:r w:rsidR="00496696">
        <w:rPr>
          <w:noProof/>
        </w:rPr>
        <w:t>[4, 5]</w:t>
      </w:r>
      <w:r w:rsidR="00496696">
        <w:fldChar w:fldCharType="end"/>
      </w:r>
      <w:r w:rsidR="0007048F" w:rsidRPr="0007048F">
        <w:t xml:space="preserve">. These </w:t>
      </w:r>
      <w:r w:rsidR="00BE0623">
        <w:t>approaches</w:t>
      </w:r>
      <w:r w:rsidR="0007048F" w:rsidRPr="0007048F">
        <w:t xml:space="preserve"> improve detection of functionally relevant taxa and mitigate the compositional constraints imposed by sequencing </w:t>
      </w:r>
      <w:r w:rsidR="00496696">
        <w:fldChar w:fldCharType="begin"/>
      </w:r>
      <w:r w:rsidR="00496696">
        <w:instrText xml:space="preserve"> ADDIN ZOTERO_ITEM CSL_CITATION {"citationID":"LnXECe42","properties":{"formattedCitation":"[1, 2]","plainCitation":"[1, 2]","noteIndex":0},"citationItems":[{"id":2069,"uris":["http://zotero.org/groups/5077571/items/97IX3MNG"],"itemData":{"id":2069,"type":"article-journal","abstract":"Datasets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[1, 2]</w:t>
      </w:r>
      <w:r w:rsidR="00496696">
        <w:fldChar w:fldCharType="end"/>
      </w:r>
      <w:r w:rsidR="0007048F" w:rsidRPr="0007048F">
        <w:t xml:space="preserve">. Most studies </w:t>
      </w:r>
      <w:r w:rsidR="00BE0623">
        <w:t xml:space="preserve">that incorporate </w:t>
      </w:r>
      <w:r w:rsidR="0007048F" w:rsidRPr="0007048F">
        <w:t xml:space="preserve">absolute </w:t>
      </w:r>
      <w:r w:rsidR="00BE0623">
        <w:t>abundance counts currently rely on</w:t>
      </w:r>
      <w:r w:rsidR="0007048F" w:rsidRPr="0007048F">
        <w:t xml:space="preserve"> Bray-Curtis dissimilarity, which </w:t>
      </w:r>
      <w:r w:rsidR="00BE0623">
        <w:t>can capture load but does not consider phylogenetic similarit</w:t>
      </w:r>
      <w:r w:rsidR="00A20B2F">
        <w:t xml:space="preserve">y </w:t>
      </w:r>
      <w:r w:rsidR="00327654">
        <w:fldChar w:fldCharType="begin"/>
      </w:r>
      <w:r w:rsidR="00A20B2F">
        <w:instrText xml:space="preserve"> ADDIN ZOTERO_ITEM CSL_CITATION {"citationID":"IGDIhePP","properties":{"formattedCitation":"[5\\uc0\\u8211{}7]","plainCitation":"[5–7]","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id":2102,"uris":["http://zotero.org/groups/5077571/items/2RB7Y8HA"],"itemData":{"id":2102,"type":"article-journal","container-title":"Ecological Monographs","DOI":"10.2307/1942268","ISSN":"0012-9615","issue":"4","note":"publisher: Ecological Society of America","page":"326-349","source":"JSTOR","title":"An Ordination of the Upland Forest Communities of Southern Wisconsin","volume":"27","author":[{"family":"Bray","given":"J. Roger"},{"family":"Curtis","given":"J. T."}],"issued":{"date-parts":[["1957"]]},"citation-key":"brayOrdinationUplandForest1957"}}],"schema":"https://github.com/citation-style-language/schema/raw/master/csl-citation.json"} </w:instrText>
      </w:r>
      <w:r w:rsidR="00327654">
        <w:fldChar w:fldCharType="separate"/>
      </w:r>
      <w:r w:rsidR="00A20B2F" w:rsidRPr="00A20B2F">
        <w:rPr>
          <w:rFonts w:cs="Times New Roman"/>
          <w:kern w:val="0"/>
        </w:rPr>
        <w:t>[5–7]</w:t>
      </w:r>
      <w:r w:rsidR="00327654">
        <w:fldChar w:fldCharType="end"/>
      </w:r>
      <w:r w:rsidR="0007048F" w:rsidRPr="0007048F">
        <w:t xml:space="preserve">. </w:t>
      </w:r>
      <w:proofErr w:type="spellStart"/>
      <w:r w:rsidR="00BE0623">
        <w:t>Unifrac</w:t>
      </w:r>
      <w:proofErr w:type="spellEnd"/>
      <w:r w:rsidR="00BE0623">
        <w:t xml:space="preserve"> distances provide the opposite strength, incorporating phylogeny but discarding absolute abundance, as they are restricted to relative abundance data by construction</w:t>
      </w:r>
      <w:r w:rsidR="00A20B2F">
        <w:t xml:space="preserve"> </w:t>
      </w:r>
      <w:r w:rsidR="00A20B2F">
        <w:fldChar w:fldCharType="begin"/>
      </w:r>
      <w:r w:rsidR="00A20B2F">
        <w:instrText xml:space="preserve"> ADDIN ZOTERO_ITEM CSL_CITATION {"citationID":"kVO5ozRq","properties":{"formattedCitation":"[8]","plainCitation":"[8]","noteIndex":0},"citationItems":[{"id":2061,"uris":["http://zotero.org/groups/5077571/items/BA3Y8GL7"],"itemData":{"id":2061,"type":"article-journal","abstract":"The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A20B2F">
        <w:fldChar w:fldCharType="separate"/>
      </w:r>
      <w:r w:rsidR="00A20B2F">
        <w:rPr>
          <w:noProof/>
        </w:rPr>
        <w:t>[8]</w:t>
      </w:r>
      <w:r w:rsidR="00A20B2F">
        <w:fldChar w:fldCharType="end"/>
      </w:r>
      <w:r w:rsidR="00BE0623">
        <w:t xml:space="preserve">. This leaves </w:t>
      </w:r>
      <w:proofErr w:type="gramStart"/>
      <w:r w:rsidR="00BE0623">
        <w:t>no</w:t>
      </w:r>
      <w:proofErr w:type="gramEnd"/>
      <w:r w:rsidR="00BE0623">
        <w:t xml:space="preserve"> phylogenetically informed </w:t>
      </w:r>
      <w:r w:rsidR="00BE0623" w:rsidRPr="006A381E">
        <w:rPr>
          <w:i/>
          <w:iCs/>
        </w:rPr>
        <w:t>β</w:t>
      </w:r>
      <w:r w:rsidR="00BE0623">
        <w:t xml:space="preserve">-diversity metric that operates on absolute counts, </w:t>
      </w:r>
      <w:proofErr w:type="gramStart"/>
      <w:r w:rsidR="00BE0623">
        <w:t>despite the fact that</w:t>
      </w:r>
      <w:proofErr w:type="gramEnd"/>
      <w:r w:rsidR="00BE0623">
        <w:t xml:space="preserve"> biomass is central to many ecological hypotheses.</w:t>
      </w:r>
    </w:p>
    <w:p w14:paraId="3752C22E" w14:textId="11569508" w:rsidR="00BE0623" w:rsidRDefault="00BE0623" w:rsidP="008F6E0E">
      <w:pPr>
        <w:spacing w:line="360" w:lineRule="auto"/>
        <w:ind w:firstLine="720"/>
      </w:pPr>
      <w:r>
        <w:t xml:space="preserve">To evaluate the implications of incorporating absolute abundance into phylogenetic </w:t>
      </w:r>
      <m:oMath>
        <m:r>
          <w:rPr>
            <w:rFonts w:ascii="Cambria Math" w:hAnsi="Cambria Math"/>
          </w:rPr>
          <m:t>β</m:t>
        </m:r>
      </m:oMath>
      <w:r w:rsidRPr="0007048F">
        <w:t>-</w:t>
      </w:r>
      <w:r>
        <w:t xml:space="preserve">diversity, we use both simulations and reanalysis of four 16S rRNA amplicon datasets. The </w:t>
      </w:r>
      <w:r>
        <w:lastRenderedPageBreak/>
        <w:t xml:space="preserve">simulations use a simple four-taxon community with controlled abundance shifts to directly compare both Bray-Curtis and </w:t>
      </w:r>
      <w:proofErr w:type="spellStart"/>
      <w:r>
        <w:t>UniFrac</w:t>
      </w:r>
      <w:proofErr w:type="spellEnd"/>
      <w:r>
        <w:t xml:space="preserve"> in their relative and absolute forms, illustrating how each metric responds when abundance, composition, or evolutionary relatedness differ. We then reanalyze four real-world datasets spanning nuclear reactor cooling water </w:t>
      </w:r>
      <w:r>
        <w:fldChar w:fldCharType="begin"/>
      </w:r>
      <w:r w:rsidR="00A20B2F">
        <w:instrText xml:space="preserve"> ADDIN ZOTERO_ITEM CSL_CITATION {"citationID":"YXhePQcW","properties":{"formattedCitation":"[5]","plainCitation":"[5]","noteIndex":0},"citationItems":[{"id":1451,"uris":["http://zotero.org/groups/5077571/items/JAZBIWBQ"],"itemData":{"id":1451,"type":"article-journal","abstract":"High-throughput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fldChar w:fldCharType="separate"/>
      </w:r>
      <w:r w:rsidR="00A20B2F">
        <w:rPr>
          <w:noProof/>
        </w:rPr>
        <w:t>[5]</w:t>
      </w:r>
      <w:r>
        <w:fldChar w:fldCharType="end"/>
      </w:r>
      <w:r>
        <w:t xml:space="preserve">, the mouse gut </w:t>
      </w:r>
      <w:r>
        <w:fldChar w:fldCharType="begin"/>
      </w:r>
      <w:r>
        <w:instrText xml:space="preserve"> ADDIN ZOTERO_ITEM CSL_CITATION {"citationID":"n4RMJQYI","properties":{"formattedCitation":"[3]","plainCitation":"[3]","noteIndex":0},"citationItems":[{"id":2078,"uris":["http://zotero.org/groups/5077571/items/9FC6PKRB"],"itemData":{"id":2078,"type":"article-journal","abstract":"A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fldChar w:fldCharType="separate"/>
      </w:r>
      <w:r>
        <w:rPr>
          <w:noProof/>
        </w:rPr>
        <w:t>[3]</w:t>
      </w:r>
      <w:r>
        <w:fldChar w:fldCharType="end"/>
      </w:r>
      <w:r>
        <w:t xml:space="preserve">, a freshwater lake </w:t>
      </w:r>
      <w:r>
        <w:fldChar w:fldCharType="begin"/>
      </w:r>
      <w:r w:rsidR="00A20B2F">
        <w:instrText xml:space="preserve"> ADDIN ZOTERO_ITEM CSL_CITATION {"citationID":"Ar3tFVi0","properties":{"formattedCitation":"[9]","plainCitation":"[9]","noteIndex":0},"citationItems":[{"id":2063,"uris":["http://zotero.org/groups/5077571/items/XECMGR9Y"],"itemData":{"id":2063,"type":"article","abstract":"The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fldChar w:fldCharType="separate"/>
      </w:r>
      <w:r w:rsidR="00A20B2F">
        <w:rPr>
          <w:noProof/>
        </w:rPr>
        <w:t>[9]</w:t>
      </w:r>
      <w:r>
        <w:fldChar w:fldCharType="end"/>
      </w:r>
      <w:r>
        <w:t xml:space="preserve">, and rhizosphere soil </w:t>
      </w:r>
      <w:r>
        <w:fldChar w:fldCharType="begin"/>
      </w:r>
      <w:r w:rsidR="00A20B2F">
        <w:instrText xml:space="preserve"> ADDIN ZOTERO_ITEM CSL_CITATION {"citationID":"q9iaTt58","properties":{"formattedCitation":"[10]","plainCitation":"[10]","noteIndex":0},"citationItems":[{"id":2082,"uris":["http://zotero.org/groups/5077571/items/7DSKNWDW"],"itemData":{"id":2082,"type":"article-journal","abstract":"High-throughput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fldChar w:fldCharType="separate"/>
      </w:r>
      <w:r w:rsidR="00A20B2F">
        <w:rPr>
          <w:noProof/>
        </w:rPr>
        <w:t>[10]</w:t>
      </w:r>
      <w:r>
        <w:fldChar w:fldCharType="end"/>
      </w:r>
      <w:r>
        <w:t xml:space="preserve">. These differ widely in richness, biomass range, and ecological context, allowing us to test when absolute abundance changes align with or diverge from phylogenetic turnover. Together, these simulations and </w:t>
      </w:r>
      <w:proofErr w:type="spellStart"/>
      <w:r>
        <w:t>reanalyses</w:t>
      </w:r>
      <w:proofErr w:type="spellEnd"/>
      <w:r>
        <w:t xml:space="preserve"> provide the empirical foundation for interpreting Absolute </w:t>
      </w:r>
      <w:proofErr w:type="spellStart"/>
      <w:r>
        <w:t>UniFrac</w:t>
      </w:r>
      <w:proofErr w:type="spellEnd"/>
      <w:r>
        <w:t xml:space="preserve"> relative to existing </w:t>
      </w:r>
      <m:oMath>
        <m:r>
          <w:rPr>
            <w:rFonts w:ascii="Cambria Math" w:hAnsi="Cambria Math"/>
          </w:rPr>
          <m:t>β</m:t>
        </m:r>
      </m:oMath>
      <w:r w:rsidRPr="0007048F">
        <w:t>-</w:t>
      </w:r>
      <w:r>
        <w:t>diversity measures across the three axes of ecological difference: abundance, composition, and phylogeny.</w:t>
      </w:r>
      <w:r w:rsidRPr="0007048F">
        <w:t xml:space="preserve"> </w:t>
      </w:r>
    </w:p>
    <w:p w14:paraId="1DB89F03" w14:textId="5041D0B5" w:rsidR="00BE0623" w:rsidRDefault="00BE0623" w:rsidP="008F6E0E">
      <w:pPr>
        <w:spacing w:line="360" w:lineRule="auto"/>
        <w:ind w:firstLine="720"/>
      </w:pPr>
      <w:r>
        <w:t xml:space="preserve">We also extend </w:t>
      </w:r>
      <w:r w:rsidRPr="001061A5">
        <w:t xml:space="preserve">Absolute </w:t>
      </w:r>
      <w:proofErr w:type="spellStart"/>
      <w:r w:rsidRPr="001061A5">
        <w:t>UniFrac</w:t>
      </w:r>
      <w:proofErr w:type="spellEnd"/>
      <w:r>
        <w:t xml:space="preserve"> as was proposed by </w:t>
      </w:r>
      <w:r w:rsidR="00C45617">
        <w:fldChar w:fldCharType="begin"/>
      </w:r>
      <w:r w:rsidR="00A20B2F">
        <w:instrText xml:space="preserve"> ADDIN ZOTERO_ITEM CSL_CITATION {"citationID":"V2qHmKL1","properties":{"formattedCitation":"[11]","plainCitation":"[11]","noteIndex":0},"citationItems":[{"id":2017,"uris":["http://zotero.org/groups/5077571/items/W4RRRQEL"],"itemData":{"id":2017,"type":"article-journal","abstract":"Motivation: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C45617">
        <w:fldChar w:fldCharType="separate"/>
      </w:r>
      <w:r w:rsidR="00A20B2F">
        <w:rPr>
          <w:noProof/>
        </w:rPr>
        <w:t>[11]</w:t>
      </w:r>
      <w:r w:rsidR="00C45617">
        <w:fldChar w:fldCharType="end"/>
      </w:r>
      <w:r>
        <w:t xml:space="preserve"> </w:t>
      </w:r>
      <w:r w:rsidR="00C45617">
        <w:t xml:space="preserve">to </w:t>
      </w:r>
      <w:r>
        <w:t xml:space="preserve">Generalized </w:t>
      </w:r>
      <w:r w:rsidR="00C45617">
        <w:t>Absolute</w:t>
      </w:r>
      <w:r w:rsidRPr="0007048F">
        <w:t xml:space="preserve"> </w:t>
      </w:r>
      <w:proofErr w:type="spellStart"/>
      <w:r w:rsidRPr="0007048F">
        <w:t>UniFrac</w:t>
      </w:r>
      <w:proofErr w:type="spellEnd"/>
      <w:r w:rsidRPr="0007048F">
        <w:t xml:space="preserve"> that incorporates </w:t>
      </w:r>
      <w:r>
        <w:t xml:space="preserve">a tunable ecological dimension, </w:t>
      </w:r>
      <m:oMath>
        <m:r>
          <w:rPr>
            <w:rFonts w:ascii="Cambria Math" w:hAnsi="Cambria Math"/>
          </w:rPr>
          <m:t xml:space="preserve">α, </m:t>
        </m:r>
      </m:oMath>
      <w:r w:rsidRPr="0007048F">
        <w:t>and evaluate its impact across simulated and real-world datasets.</w:t>
      </w:r>
      <w:r>
        <w:t xml:space="preserve"> </w:t>
      </w:r>
      <w:r>
        <w:rPr>
          <w:rFonts w:eastAsiaTheme="minorEastAsia"/>
        </w:rPr>
        <w:t xml:space="preserve">As </w:t>
      </w:r>
      <m:oMath>
        <m:r>
          <w:rPr>
            <w:rFonts w:ascii="Cambria Math" w:hAnsi="Cambria Math"/>
          </w:rPr>
          <m:t>α</m:t>
        </m:r>
      </m:oMath>
      <w:r>
        <w:rPr>
          <w:rFonts w:eastAsiaTheme="minorEastAsia"/>
        </w:rPr>
        <w:t xml:space="preserve"> increases, </w:t>
      </w:r>
      <m:oMath>
        <m:r>
          <w:rPr>
            <w:rFonts w:ascii="Cambria Math" w:hAnsi="Cambria Math"/>
          </w:rPr>
          <m:t>β</m:t>
        </m:r>
      </m:oMath>
      <w:r w:rsidR="00C45617" w:rsidRPr="0007048F">
        <w:t>-</w:t>
      </w:r>
      <w:r w:rsidR="00C45617">
        <w:t>diversity is increasingly correlated with differ</w:t>
      </w:r>
      <w:r w:rsidR="00A20B2F">
        <w:t>e</w:t>
      </w:r>
      <w:r w:rsidR="00C45617">
        <w:t>nces in absolute abundance, allowing researcher</w:t>
      </w:r>
      <w:r w:rsidR="00A20B2F">
        <w:t>s</w:t>
      </w:r>
      <w:r w:rsidR="00C45617">
        <w:t xml:space="preserve"> to fine tune the relative weight their analyses place on microbial load versus composition.</w:t>
      </w:r>
      <w:r>
        <w:t xml:space="preserve"> </w:t>
      </w:r>
    </w:p>
    <w:p w14:paraId="4EB8F135" w14:textId="77777777" w:rsidR="00BE0623" w:rsidRPr="006A381E" w:rsidRDefault="00BE0623" w:rsidP="008F6E0E">
      <w:pPr>
        <w:spacing w:line="360" w:lineRule="auto"/>
        <w:rPr>
          <w:b/>
          <w:bCs/>
        </w:rPr>
      </w:pPr>
      <w:r w:rsidRPr="006A381E">
        <w:rPr>
          <w:b/>
          <w:bCs/>
        </w:rPr>
        <w:t xml:space="preserve">Defining Absolute </w:t>
      </w:r>
      <w:proofErr w:type="spellStart"/>
      <w:r w:rsidRPr="006A381E">
        <w:rPr>
          <w:b/>
          <w:bCs/>
        </w:rPr>
        <w:t>UniFrac</w:t>
      </w:r>
      <w:proofErr w:type="spellEnd"/>
    </w:p>
    <w:p w14:paraId="022F15C7" w14:textId="385C95BB" w:rsidR="0007048F" w:rsidRPr="0007048F" w:rsidRDefault="0007048F" w:rsidP="008F6E0E">
      <w:pPr>
        <w:spacing w:line="360" w:lineRule="auto"/>
        <w:ind w:firstLine="720"/>
      </w:pPr>
      <w:r w:rsidRPr="0007048F">
        <w:t xml:space="preserve">The </w:t>
      </w:r>
      <w:proofErr w:type="spellStart"/>
      <w:r w:rsidRPr="0007048F">
        <w:t>UniFrac</w:t>
      </w:r>
      <w:proofErr w:type="spellEnd"/>
      <w:r w:rsidRPr="0007048F">
        <w:t xml:space="preserve"> distance was first introduced by </w:t>
      </w:r>
      <w:proofErr w:type="spellStart"/>
      <w:r w:rsidRPr="0007048F">
        <w:t>Lozupone</w:t>
      </w:r>
      <w:proofErr w:type="spellEnd"/>
      <w:r w:rsidRPr="0007048F">
        <w:t xml:space="preserve"> &amp; Knight (2005) and has since become enormously popular as a measure of </w:t>
      </w:r>
      <m:oMath>
        <m:r>
          <w:rPr>
            <w:rFonts w:ascii="Cambria Math" w:hAnsi="Cambria Math"/>
          </w:rPr>
          <m:t>β</m:t>
        </m:r>
      </m:oMath>
      <w:r w:rsidRPr="0007048F">
        <w:t>-diversity within the field of microbial ecology</w:t>
      </w:r>
      <w:r w:rsidR="00327654">
        <w:t xml:space="preserve"> </w:t>
      </w:r>
      <w:r w:rsidR="00327654">
        <w:fldChar w:fldCharType="begin"/>
      </w:r>
      <w:r w:rsidR="00A20B2F">
        <w:instrText xml:space="preserve"> ADDIN ZOTERO_ITEM CSL_CITATION {"citationID":"nc4wb8dQ","properties":{"formattedCitation":"[12]","plainCitation":"[12]","noteIndex":0},"citationItems":[{"id":2053,"uris":["http://zotero.org/groups/5077571/items/VYUIMKS7"],"itemData":{"id":2053,"type":"article-journal","abstract":"We introduce here a new method for computing differences between microbial communities based on phylogenetic information. This method, UniFrac, measures the phylogenetic distance between sets of taxa in a phylogenetic tree as the fraction of the branch length of the tree that leads to descendants from either one environment or the other, but not both. UniFrac can be used to determine whether communities are significantly different, to compare many communities simultaneously using clustering and ordination techniques, and to measure the relative contributions of different factors, such as chemistry and geography, to similarities between samples. We demonstrate the utility of UniFrac by applying it to published 16S rRNA gene libraries from cultured isolates and environmental clones of bacteria in marine sediment, water, and ice. Our results reveal that (i) cultured isolates from ice, water, and sediment resemble each other and environmental clone sequences from sea ice, but not environmental clone sequences from sediment and water; (ii) the geographical location does not correlate strongly with bacterial community differences in ice and sediment from the Arctic and Antarctic; and (iii) bacterial communities differ between terrestrially impacted seawater (whether polar or temperate) and warm oligotrophic seawater, whereas those in individual seawater samples are not more similar to each other than to those in sediment or ice samples. These results illustrate that UniFrac provides a new way of characterizing microbial communities, using the wealth of environmental rRNA sequences, and allows quantitative insight into the factors that underlie the distribution of lineages among environments.","container-title":"Applied and Environmental Microbiology","DOI":"10.1128/AEM.71.12.8228-8235.2005","issue":"12","note":"publisher: American Society for Microbiology","page":"8228-8235","source":"journals.asm.org (Atypon)","title":"UniFrac: a New Phylogenetic Method for Comparing Microbial Communities","title-short":"UniFrac","volume":"71","author":[{"family":"Lozupone","given":"Catherine"},{"family":"Knight","given":"Rob"}],"issued":{"date-parts":[["2005",12]]},"citation-key":"lozuponeUniFracNewPhylogenetic2005"}}],"schema":"https://github.com/citation-style-language/schema/raw/master/csl-citation.json"} </w:instrText>
      </w:r>
      <w:r w:rsidR="00327654">
        <w:fldChar w:fldCharType="separate"/>
      </w:r>
      <w:r w:rsidR="00A20B2F">
        <w:rPr>
          <w:noProof/>
        </w:rPr>
        <w:t>[12]</w:t>
      </w:r>
      <w:r w:rsidR="00327654">
        <w:fldChar w:fldCharType="end"/>
      </w:r>
      <w:r w:rsidRPr="0007048F">
        <w:t xml:space="preserve">. A benefit of the </w:t>
      </w:r>
      <w:proofErr w:type="spellStart"/>
      <w:r w:rsidRPr="0007048F">
        <w:t>UniFrac</w:t>
      </w:r>
      <w:proofErr w:type="spellEnd"/>
      <w:r w:rsidRPr="0007048F">
        <w:t xml:space="preserve"> distance is that i</w:t>
      </w:r>
      <w:r w:rsidR="00A20B2F">
        <w:t>t</w:t>
      </w:r>
      <w:r w:rsidRPr="0007048F">
        <w:t xml:space="preserve"> considers phylogenetic information when estimating the distance between two communities. After first generating a phylogenetic tree representing species (or amplicon sequence variants, “ASVs”) from all samples, the </w:t>
      </w:r>
      <w:proofErr w:type="spellStart"/>
      <w:r w:rsidRPr="0007048F">
        <w:t>UniFrac</w:t>
      </w:r>
      <w:proofErr w:type="spellEnd"/>
      <w:r w:rsidRPr="0007048F">
        <w:t xml:space="preserve"> distance computes the fraction of branch-lengths which is </w:t>
      </w:r>
      <w:r w:rsidRPr="0007048F">
        <w:rPr>
          <w:i/>
          <w:iCs/>
        </w:rPr>
        <w:t>shared</w:t>
      </w:r>
      <w:r w:rsidRPr="0007048F">
        <w:t xml:space="preserve"> between communities, relative to the total branch length represented in the tree. </w:t>
      </w:r>
      <w:proofErr w:type="spellStart"/>
      <w:r w:rsidRPr="0007048F">
        <w:t>UniFrac</w:t>
      </w:r>
      <w:proofErr w:type="spellEnd"/>
      <w:r w:rsidRPr="0007048F">
        <w:t xml:space="preserve"> can be both unweighted, in which only the incidence of species is considered, or weighted, wherein a branch’s contribution is weighted by the proportional abundance of taxa on that branch</w:t>
      </w:r>
      <w:r w:rsidR="00327654">
        <w:t xml:space="preserve"> </w:t>
      </w:r>
      <w:r w:rsidR="00327654">
        <w:fldChar w:fldCharType="begin"/>
      </w:r>
      <w:r w:rsidR="00A20B2F">
        <w:instrText xml:space="preserve"> ADDIN ZOTERO_ITEM CSL_CITATION {"citationID":"ck1HUnt4","properties":{"formattedCitation":"[8]","plainCitation":"[8]","noteIndex":0},"citationItems":[{"id":2061,"uris":["http://zotero.org/groups/5077571/items/BA3Y8GL7"],"itemData":{"id":2061,"type":"article-journal","abstract":"The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327654">
        <w:fldChar w:fldCharType="separate"/>
      </w:r>
      <w:r w:rsidR="00A20B2F">
        <w:rPr>
          <w:noProof/>
        </w:rPr>
        <w:t>[8]</w:t>
      </w:r>
      <w:r w:rsidR="00327654">
        <w:fldChar w:fldCharType="end"/>
      </w:r>
      <w:r w:rsidRPr="0007048F">
        <w:t xml:space="preserve">. The </w:t>
      </w:r>
      <w:r w:rsidR="00327654">
        <w:t>W</w:t>
      </w:r>
      <w:r w:rsidRPr="0007048F">
        <w:t xml:space="preserve">eighted </w:t>
      </w:r>
      <w:proofErr w:type="spellStart"/>
      <w:r w:rsidRPr="0007048F">
        <w:t>UniFrac</w:t>
      </w:r>
      <w:proofErr w:type="spellEnd"/>
      <w:r w:rsidRPr="0007048F">
        <w:t xml:space="preserve"> is derived:</w:t>
      </w:r>
    </w:p>
    <w:p w14:paraId="636324F8" w14:textId="77777777" w:rsidR="0007048F" w:rsidRPr="0007048F" w:rsidRDefault="00000000" w:rsidP="008F6E0E">
      <w:pPr>
        <w:spacing w:line="360" w:lineRule="auto"/>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den>
          </m:f>
        </m:oMath>
      </m:oMathPara>
    </w:p>
    <w:p w14:paraId="6D8E2858" w14:textId="4D6B3926" w:rsidR="0007048F" w:rsidRPr="0007048F" w:rsidRDefault="0007048F" w:rsidP="008F6E0E">
      <w:pPr>
        <w:spacing w:line="360" w:lineRule="auto"/>
      </w:pPr>
      <w:r w:rsidRPr="0007048F">
        <w:t xml:space="preserve">where </w:t>
      </w:r>
      <w:r w:rsidR="00A20B2F">
        <w:t>the contribution</w:t>
      </w:r>
      <w:r w:rsidRPr="0007048F">
        <w:t xml:space="preserve"> of each branch</w:t>
      </w:r>
      <w:r w:rsidR="005C02A0">
        <w:t xml:space="preserve"> length</w:t>
      </w:r>
      <w:r w:rsidRPr="0007048F">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w:t>
      </w:r>
      <w:r w:rsidR="005C02A0">
        <w:t xml:space="preserve"> is weighted</w:t>
      </w:r>
      <w:r w:rsidRPr="0007048F">
        <w:t xml:space="preserve"> by the difference in the relative abundance of all species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7048F">
        <w:t xml:space="preserve">) descended from that branch in sample </w:t>
      </w:r>
      <m:oMath>
        <m:r>
          <w:rPr>
            <w:rFonts w:ascii="Cambria Math" w:hAnsi="Cambria Math"/>
          </w:rPr>
          <m:t>a</m:t>
        </m:r>
      </m:oMath>
      <w:r w:rsidRPr="0007048F">
        <w:t xml:space="preserve"> or sample </w:t>
      </w:r>
      <m:oMath>
        <m:r>
          <w:rPr>
            <w:rFonts w:ascii="Cambria Math" w:hAnsi="Cambria Math"/>
          </w:rPr>
          <m:t>b</m:t>
        </m:r>
      </m:oMath>
      <w:r w:rsidRPr="0007048F">
        <w:t xml:space="preserve">. Here, we denote this distance as </w:t>
      </w:r>
      <w:r w:rsidRPr="0007048F">
        <w:rPr>
          <w:i/>
          <w:iCs/>
        </w:rPr>
        <w:t>U</w:t>
      </w:r>
      <w:r w:rsidRPr="0007048F">
        <w:rPr>
          <w:i/>
          <w:iCs/>
          <w:vertAlign w:val="superscript"/>
        </w:rPr>
        <w:t>R</w:t>
      </w:r>
      <w:r w:rsidRPr="0007048F">
        <w:t xml:space="preserve">, for “Relative </w:t>
      </w:r>
      <w:proofErr w:type="spellStart"/>
      <w:r w:rsidRPr="0007048F">
        <w:t>Uni</w:t>
      </w:r>
      <w:r w:rsidR="00B431C1">
        <w:t>F</w:t>
      </w:r>
      <w:r w:rsidRPr="0007048F">
        <w:t>rac</w:t>
      </w:r>
      <w:proofErr w:type="spellEnd"/>
      <w:r w:rsidRPr="0007048F">
        <w:t xml:space="preserve">”. Popular packages which calculate weighted </w:t>
      </w:r>
      <w:proofErr w:type="spellStart"/>
      <w:r w:rsidRPr="0007048F">
        <w:lastRenderedPageBreak/>
        <w:t>Unifrac</w:t>
      </w:r>
      <w:proofErr w:type="spellEnd"/>
      <w:r w:rsidR="00327654">
        <w:t>—</w:t>
      </w:r>
      <w:r w:rsidRPr="0007048F">
        <w:t xml:space="preserve">including </w:t>
      </w:r>
      <w:r w:rsidR="00327654">
        <w:t xml:space="preserve">the </w:t>
      </w:r>
      <w:r w:rsidRPr="0007048F">
        <w:rPr>
          <w:rStyle w:val="VerbatimChar"/>
          <w:rFonts w:ascii="Times New Roman" w:hAnsi="Times New Roman" w:cs="Times New Roman"/>
          <w:sz w:val="24"/>
        </w:rPr>
        <w:t>diversity-lib</w:t>
      </w:r>
      <w:r w:rsidRPr="0007048F">
        <w:t xml:space="preserve"> QIIME plug-in and the R packages </w:t>
      </w:r>
      <w:proofErr w:type="spellStart"/>
      <w:r w:rsidRPr="0007048F">
        <w:rPr>
          <w:rStyle w:val="VerbatimChar"/>
          <w:rFonts w:ascii="Times New Roman" w:hAnsi="Times New Roman" w:cs="Times New Roman"/>
          <w:sz w:val="24"/>
        </w:rPr>
        <w:t>phyloseq</w:t>
      </w:r>
      <w:proofErr w:type="spellEnd"/>
      <w:r w:rsidRPr="0007048F">
        <w:t xml:space="preserve"> and </w:t>
      </w:r>
      <w:proofErr w:type="spellStart"/>
      <w:r w:rsidRPr="0007048F">
        <w:rPr>
          <w:rStyle w:val="VerbatimChar"/>
          <w:rFonts w:ascii="Times New Roman" w:hAnsi="Times New Roman" w:cs="Times New Roman"/>
          <w:sz w:val="24"/>
        </w:rPr>
        <w:t>GUniFrac</w:t>
      </w:r>
      <w:proofErr w:type="spellEnd"/>
      <w:r w:rsidR="00327654">
        <w:t>—</w:t>
      </w:r>
      <w:r w:rsidRPr="0007048F">
        <w:t>run this normalization by default</w:t>
      </w:r>
      <w:r w:rsidR="00C45617">
        <w:t xml:space="preserve"> </w:t>
      </w:r>
      <w:r w:rsidR="00C45617">
        <w:fldChar w:fldCharType="begin"/>
      </w:r>
      <w:r w:rsidR="00A20B2F">
        <w:instrText xml:space="preserve"> ADDIN ZOTERO_ITEM CSL_CITATION {"citationID":"CZx9BWCH","properties":{"formattedCitation":"[11, 13, 14]","plainCitation":"[11, 13, 14]","noteIndex":0},"citationItems":[{"id":2017,"uris":["http://zotero.org/groups/5077571/items/W4RRRQEL"],"itemData":{"id":2017,"type":"article-journal","abstract":"Motivation: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J."},{"family":"Holmes","given":"Susan"}],"issued":{"date-parts":[["2013"]]},"citation-key":"mcmurdiePhyloseqPackageReproducible2013"}},{"id":2101,"uris":["http://zotero.org/groups/5077571/items/IVMF5P83"],"itemData":{"id":2101,"type":"article-journal","container-title":"Nature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Gregory"}],"issued":{"date-parts":[["2019",8]]},"citation-key":"bolyenReproducibleInteractiveScalable2019"}}],"schema":"https://github.com/citation-style-language/schema/raw/master/csl-citation.json"} </w:instrText>
      </w:r>
      <w:r w:rsidR="00C45617">
        <w:fldChar w:fldCharType="separate"/>
      </w:r>
      <w:r w:rsidR="00A20B2F">
        <w:rPr>
          <w:noProof/>
        </w:rPr>
        <w:t>[11, 13, 14]</w:t>
      </w:r>
      <w:r w:rsidR="00C45617">
        <w:fldChar w:fldCharType="end"/>
      </w:r>
      <w:r w:rsidRPr="0007048F">
        <w:t>.</w:t>
      </w:r>
    </w:p>
    <w:p w14:paraId="01AE982E" w14:textId="17CA68C1" w:rsidR="0007048F" w:rsidRPr="0007048F" w:rsidRDefault="00B431C1" w:rsidP="008F6E0E">
      <w:pPr>
        <w:spacing w:line="360" w:lineRule="auto"/>
        <w:ind w:firstLine="720"/>
      </w:pPr>
      <w:r>
        <w:t>Importantly,</w:t>
      </w:r>
      <w:r w:rsidR="0007048F"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is most sensitive to changes in abundant lineages, </w:t>
      </w:r>
      <w:r>
        <w:t>which</w:t>
      </w:r>
      <w:r w:rsidR="0007048F" w:rsidRPr="0007048F">
        <w:t xml:space="preserve"> can sometimes obscure compositional differences driven by rare to moderately-abundant taxa</w:t>
      </w:r>
      <w:r w:rsidR="00327654">
        <w:t xml:space="preserve"> </w:t>
      </w:r>
      <w:r w:rsidR="00327654">
        <w:fldChar w:fldCharType="begin"/>
      </w:r>
      <w:r w:rsidR="00A20B2F">
        <w:instrText xml:space="preserve"> ADDIN ZOTERO_ITEM CSL_CITATION {"citationID":"A3Hhn8QB","properties":{"formattedCitation":"[11]","plainCitation":"[11]","noteIndex":0},"citationItems":[{"id":2017,"uris":["http://zotero.org/groups/5077571/items/W4RRRQEL"],"itemData":{"id":2017,"type":"article-journal","abstract":"Motivation: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327654">
        <w:fldChar w:fldCharType="separate"/>
      </w:r>
      <w:r w:rsidR="00A20B2F">
        <w:rPr>
          <w:noProof/>
        </w:rPr>
        <w:t>[11]</w:t>
      </w:r>
      <w:r w:rsidR="00327654">
        <w:fldChar w:fldCharType="end"/>
      </w:r>
      <w:r w:rsidR="00327654">
        <w:t>.</w:t>
      </w:r>
      <w:r w:rsidR="0007048F" w:rsidRPr="0007048F">
        <w:t xml:space="preserve"> To address this weakness, Chen et al. (2012) introduced the generalized </w:t>
      </w:r>
      <w:proofErr w:type="spellStart"/>
      <w:r w:rsidR="0007048F" w:rsidRPr="0007048F">
        <w:t>UniFrac</w:t>
      </w:r>
      <w:proofErr w:type="spellEnd"/>
      <w:r w:rsidR="0007048F" w:rsidRPr="0007048F">
        <w:t xml:space="preserve"> distance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in which the impact of abundant lineages can be mitigated by decreasing the parameter </w:t>
      </w:r>
      <m:oMath>
        <m:r>
          <w:rPr>
            <w:rFonts w:ascii="Cambria Math" w:hAnsi="Cambria Math"/>
          </w:rPr>
          <m:t>α</m:t>
        </m:r>
      </m:oMath>
      <w:r w:rsidR="0007048F" w:rsidRPr="0007048F">
        <w:t>:</w:t>
      </w:r>
    </w:p>
    <w:p w14:paraId="2210D8E1" w14:textId="77777777" w:rsidR="0007048F" w:rsidRPr="0007048F" w:rsidRDefault="0007048F" w:rsidP="008F6E0E">
      <w:pPr>
        <w:spacing w:line="360" w:lineRule="auto"/>
      </w:pPr>
      <m:oMathPara>
        <m:oMathParaPr>
          <m:jc m:val="center"/>
        </m:oMathParaP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en>
          </m:f>
        </m:oMath>
      </m:oMathPara>
    </w:p>
    <w:p w14:paraId="7B5D041B" w14:textId="1AA1E69C" w:rsidR="0007048F" w:rsidRPr="0007048F" w:rsidRDefault="0007048F" w:rsidP="008F6E0E">
      <w:pPr>
        <w:spacing w:line="360" w:lineRule="auto"/>
      </w:pPr>
      <w:r w:rsidRPr="0007048F">
        <w:t xml:space="preserve">where </w:t>
      </w:r>
      <m:oMath>
        <m:r>
          <w:rPr>
            <w:rFonts w:ascii="Cambria Math" w:hAnsi="Cambria Math"/>
          </w:rPr>
          <m:t>α</m:t>
        </m:r>
      </m:oMath>
      <w:r w:rsidRPr="0007048F">
        <w:t xml:space="preserve"> ranges from 0 (close to </w:t>
      </w:r>
      <w:r w:rsidR="00327654">
        <w:t>U</w:t>
      </w:r>
      <w:r w:rsidRPr="0007048F">
        <w:t xml:space="preserve">nweighted </w:t>
      </w:r>
      <w:proofErr w:type="spellStart"/>
      <w:r w:rsidRPr="0007048F">
        <w:t>UniFrac</w:t>
      </w:r>
      <w:proofErr w:type="spellEnd"/>
      <w:r w:rsidRPr="0007048F">
        <w:t xml:space="preserve">) up to 1 (identical to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above). However, if one wishes to use absolute abundances, both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can be derived without normalizing to proportions:</w:t>
      </w:r>
    </w:p>
    <w:p w14:paraId="3A7384E2" w14:textId="77777777" w:rsidR="0007048F" w:rsidRPr="0007048F" w:rsidRDefault="00000000" w:rsidP="008F6E0E">
      <w:pPr>
        <w:spacing w:line="360" w:lineRule="auto"/>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den>
                </m:f>
                <m:r>
                  <w:rPr>
                    <w:rFonts w:ascii="Cambria Math" w:hAnsi="Cambria Math"/>
                  </w:rPr>
                  <m:t>  </m:t>
                </m:r>
              </m:e>
              <m:e/>
              <m:e>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en>
                </m:f>
              </m:e>
            </m:mr>
          </m:m>
        </m:oMath>
      </m:oMathPara>
    </w:p>
    <w:p w14:paraId="7CBD9C5A" w14:textId="7FBF1832" w:rsidR="0007048F" w:rsidRDefault="0007048F" w:rsidP="008F6E0E">
      <w:pPr>
        <w:spacing w:line="360" w:lineRule="auto"/>
      </w:pPr>
      <w:r w:rsidRPr="0007048F">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oMath>
      <w:r w:rsidRPr="0007048F">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oMath>
      <w:r w:rsidRPr="0007048F">
        <w:t xml:space="preserve"> </w:t>
      </w:r>
      <w:r w:rsidR="00B431C1">
        <w:t>denote</w:t>
      </w:r>
      <w:r w:rsidRPr="0007048F">
        <w:t xml:space="preserve"> for the absolute counts of species descend</w:t>
      </w:r>
      <w:r w:rsidR="00B431C1">
        <w:t>ing</w:t>
      </w:r>
      <w:r w:rsidRPr="0007048F">
        <w:t xml:space="preserve"> from branch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 xml:space="preserve"> in communit</w:t>
      </w:r>
      <w:r w:rsidR="00B431C1">
        <w:t>ies</w:t>
      </w:r>
      <w:r w:rsidRPr="0007048F">
        <w:t xml:space="preserve"> </w:t>
      </w:r>
      <m:oMath>
        <m:r>
          <w:rPr>
            <w:rFonts w:ascii="Cambria Math" w:hAnsi="Cambria Math"/>
          </w:rPr>
          <m:t>a</m:t>
        </m:r>
      </m:oMath>
      <w:r w:rsidRPr="0007048F">
        <w:t xml:space="preserve"> and </w:t>
      </w:r>
      <m:oMath>
        <m:r>
          <w:rPr>
            <w:rFonts w:ascii="Cambria Math" w:hAnsi="Cambria Math"/>
          </w:rPr>
          <m:t>b</m:t>
        </m:r>
      </m:oMath>
      <w:r w:rsidRPr="0007048F">
        <w:t xml:space="preserve">, respectively. We refer to these distances as </w:t>
      </w:r>
      <w:r w:rsidRPr="0007048F">
        <w:rPr>
          <w:i/>
          <w:iCs/>
        </w:rPr>
        <w:t xml:space="preserve">Absolute </w:t>
      </w:r>
      <w:proofErr w:type="spellStart"/>
      <w:r w:rsidRPr="0007048F">
        <w:rPr>
          <w:i/>
          <w:iCs/>
        </w:rPr>
        <w:t>Uni</w:t>
      </w:r>
      <w:r w:rsidR="00B431C1">
        <w:rPr>
          <w:i/>
          <w:iCs/>
        </w:rPr>
        <w:t>F</w:t>
      </w:r>
      <w:r w:rsidRPr="0007048F">
        <w:rPr>
          <w:i/>
          <w:iCs/>
        </w:rPr>
        <w:t>rac</w:t>
      </w:r>
      <w:proofErr w:type="spellEnd"/>
      <w:r w:rsidR="00B431C1">
        <w:rPr>
          <w:i/>
          <w:iCs/>
        </w:rPr>
        <w:t xml:space="preserve"> </w:t>
      </w:r>
      <w:r w:rsidR="00B431C1">
        <w:t>(</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t>)</w:t>
      </w:r>
      <w:r w:rsidRPr="0007048F">
        <w:t xml:space="preserve">and </w:t>
      </w:r>
      <w:r w:rsidRPr="0007048F">
        <w:rPr>
          <w:i/>
          <w:iCs/>
        </w:rPr>
        <w:t xml:space="preserve">Generalized Absolute </w:t>
      </w:r>
      <w:proofErr w:type="spellStart"/>
      <w:r w:rsidRPr="0007048F">
        <w:rPr>
          <w:i/>
          <w:iCs/>
        </w:rPr>
        <w:t>Unifrac</w:t>
      </w:r>
      <w:proofErr w:type="spellEnd"/>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w:t>
      </w:r>
      <w:r w:rsidR="00686055">
        <w:t xml:space="preserve"> </w:t>
      </w:r>
      <w:r w:rsidR="00B431C1">
        <w:t xml:space="preserve">Although substituting absolute for relative abundances is mathematically straightforward, </w:t>
      </w:r>
      <w:r w:rsidR="00944367">
        <w:t>to our knowledge there is</w:t>
      </w:r>
      <w:r w:rsidR="00B431C1">
        <w:t xml:space="preserve"> no prior work that examines </w:t>
      </w:r>
      <w:proofErr w:type="spellStart"/>
      <w:r w:rsidR="00B431C1">
        <w:t>UniFrac</w:t>
      </w:r>
      <w:proofErr w:type="spellEnd"/>
      <w:r w:rsidR="00B431C1">
        <w:t xml:space="preserve"> in the context of absolute abundance, either conceptually or in application. Incorporating absolut</w:t>
      </w:r>
      <w:r w:rsidR="005C02A0">
        <w:t>e</w:t>
      </w:r>
      <w:r w:rsidR="00B431C1">
        <w:t xml:space="preserve"> abundances introduces a third axis of ecological variation: beyond differences in composition and phylogenetic similarity,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rPr>
          <w:rFonts w:eastAsiaTheme="minorEastAsia"/>
        </w:rPr>
        <w:t xml:space="preserve"> </w:t>
      </w:r>
      <w:r w:rsidR="00475C3E">
        <w:rPr>
          <w:rFonts w:eastAsiaTheme="minorEastAsia"/>
        </w:rPr>
        <w:t xml:space="preserve">also captures divergence in microbial load. This makes interpretation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rsidR="00475C3E">
        <w:rPr>
          <w:rFonts w:eastAsiaTheme="minorEastAsia"/>
        </w:rPr>
        <w:t>nontrivial, particularly in complex microbiomes.</w:t>
      </w:r>
      <w:r w:rsidR="00686055">
        <w:t xml:space="preserve"> </w:t>
      </w:r>
    </w:p>
    <w:p w14:paraId="36B7C9FE" w14:textId="77777777" w:rsidR="00406B1B" w:rsidRDefault="00406B1B" w:rsidP="008F6E0E">
      <w:pPr>
        <w:spacing w:line="360" w:lineRule="auto"/>
      </w:pPr>
    </w:p>
    <w:p w14:paraId="2835298F" w14:textId="016672FD" w:rsidR="00475C3E" w:rsidRPr="006A381E" w:rsidRDefault="00475C3E" w:rsidP="008F6E0E">
      <w:pPr>
        <w:spacing w:line="360" w:lineRule="auto"/>
        <w:rPr>
          <w:b/>
          <w:bCs/>
        </w:rPr>
      </w:pPr>
      <w:r>
        <w:rPr>
          <w:b/>
          <w:bCs/>
        </w:rPr>
        <w:t xml:space="preserve">Demonstrating </w:t>
      </w:r>
      <m:oMath>
        <m:r>
          <m:rPr>
            <m:sty m:val="bi"/>
          </m:rPr>
          <w:rPr>
            <w:rFonts w:ascii="Cambria Math" w:hAnsi="Cambria Math"/>
          </w:rPr>
          <m:t>β</m:t>
        </m:r>
      </m:oMath>
      <w:r w:rsidRPr="001061A5">
        <w:rPr>
          <w:b/>
          <w:bCs/>
        </w:rPr>
        <w:t>-diversity</w:t>
      </w:r>
      <w:r>
        <w:rPr>
          <w:b/>
          <w:bCs/>
        </w:rPr>
        <w:t xml:space="preserve"> metrics’ behavior </w:t>
      </w:r>
      <w:r w:rsidRPr="00DB4875">
        <w:rPr>
          <w:b/>
          <w:bCs/>
        </w:rPr>
        <w:t>with a simple s</w:t>
      </w:r>
      <w:r w:rsidRPr="006A381E">
        <w:rPr>
          <w:b/>
          <w:bCs/>
        </w:rPr>
        <w:t>imulation</w:t>
      </w:r>
    </w:p>
    <w:p w14:paraId="11242920" w14:textId="5CC2EE29" w:rsidR="0007048F" w:rsidRPr="0007048F" w:rsidRDefault="00475C3E" w:rsidP="008F6E0E">
      <w:pPr>
        <w:spacing w:line="360" w:lineRule="auto"/>
        <w:ind w:firstLine="720"/>
      </w:pPr>
      <w:r w:rsidRPr="0007048F">
        <w:t xml:space="preserve">To </w:t>
      </w:r>
      <w:r>
        <w:t xml:space="preserve">clarify </w:t>
      </w:r>
      <w:r w:rsidRPr="0007048F">
        <w:t xml:space="preserve">how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behaves relative to existing </w:t>
      </w:r>
      <m:oMath>
        <m:r>
          <w:rPr>
            <w:rFonts w:ascii="Cambria Math" w:hAnsi="Cambria Math"/>
          </w:rPr>
          <m:t>β</m:t>
        </m:r>
      </m:oMath>
      <w:r w:rsidRPr="0007048F">
        <w:t>-diversity</w:t>
      </w:r>
      <w:r>
        <w:t xml:space="preserve"> metrics</w:t>
      </w:r>
      <w:r w:rsidRPr="0007048F">
        <w:t xml:space="preserve">, we </w:t>
      </w:r>
      <w:r>
        <w:t xml:space="preserve">first </w:t>
      </w:r>
      <w:r w:rsidRPr="0007048F">
        <w:t xml:space="preserve">constructed a </w:t>
      </w:r>
      <w:r>
        <w:t xml:space="preserve">simple four-taxon </w:t>
      </w:r>
      <w:r w:rsidRPr="0007048F">
        <w:t xml:space="preserve">simulated community arranged in a </w:t>
      </w:r>
      <w:r>
        <w:t>small</w:t>
      </w:r>
      <w:r w:rsidRPr="0007048F">
        <w:t xml:space="preserve"> phylogeny (Fig. 1A).</w:t>
      </w:r>
      <w:r>
        <w:t xml:space="preserve"> </w:t>
      </w:r>
      <w:r w:rsidR="0007048F" w:rsidRPr="0007048F">
        <w:t xml:space="preserve">By varying the absolute abundance of each ASV (1, 10, or 100), we generated 81 samples and 3,240 pairwise </w:t>
      </w:r>
      <w:r w:rsidR="0007048F" w:rsidRPr="0007048F">
        <w:lastRenderedPageBreak/>
        <w:t>comparisons. For each pair, we computed four dissimilarity metrics: Bray-Curtis with relative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07048F" w:rsidRPr="0007048F">
        <w:t>), Bray-Curtis with absolute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Weighted UniFrac with relative abundance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and Weighted UniFrac with absolute abundance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w:t>
      </w:r>
      <w:r>
        <w:t xml:space="preserve"> These comparisons help to illustrate how each axis of ecological difference—abundance, composition, and phylogeny—is expressed by the different metrics.</w:t>
      </w:r>
    </w:p>
    <w:p w14:paraId="334A70D7" w14:textId="146C17A0" w:rsidR="0007048F" w:rsidRPr="0007048F" w:rsidRDefault="00000000" w:rsidP="008F6E0E">
      <w:pPr>
        <w:spacing w:line="360" w:lineRule="auto"/>
        <w:ind w:firstLine="720"/>
      </w:pP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does not consistently yield higher or lower distances</w:t>
      </w:r>
      <w:r w:rsidR="005C02A0">
        <w:t xml:space="preserve"> compared to other </w:t>
      </w:r>
      <w:proofErr w:type="gramStart"/>
      <w:r w:rsidR="005C02A0">
        <w:t>metrics,</w:t>
      </w:r>
      <w:r w:rsidR="0007048F" w:rsidRPr="0007048F">
        <w:t xml:space="preserve"> but</w:t>
      </w:r>
      <w:proofErr w:type="gramEnd"/>
      <w:r w:rsidR="0007048F" w:rsidRPr="0007048F">
        <w:t xml:space="preserve"> instead varies depending on how abundance and phylogeny intersect (Fig. 1B). In the improbable scenario that all branch lengths are equal,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xml:space="preserve"> (Fig. S1). These comparisons emphasize that</w:t>
      </w:r>
      <w:r w:rsidR="00475C3E">
        <w:t xml:space="preserve"> once branch length</w:t>
      </w:r>
      <w:r w:rsidR="005C02A0">
        <w:t>s</w:t>
      </w:r>
      <w:r w:rsidR="00475C3E">
        <w:t xml:space="preserve"> differ,</w:t>
      </w:r>
      <w:r w:rsidR="0007048F" w:rsidRPr="0007048F">
        <w:t xml:space="preserve"> incorporating phylogeny and absolute abundance</w:t>
      </w:r>
      <w:r w:rsidR="00475C3E">
        <w:t xml:space="preserve"> alters the structure of the distance space. The direction and magnitude of that change depend on which branches carry the abundance shifts.</w:t>
      </w:r>
      <w:r w:rsidR="005C02A0">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5C02A0" w:rsidRPr="0007048F">
        <w:t xml:space="preserve"> is </w:t>
      </w:r>
      <w:r w:rsidR="005C02A0">
        <w:t xml:space="preserve">also </w:t>
      </w:r>
      <w:r w:rsidR="005C02A0" w:rsidRPr="0007048F">
        <w:t xml:space="preserve">usually smaller than </w:t>
      </w:r>
      <w:r w:rsidR="005C02A0">
        <w:rPr>
          <w:i/>
          <w:iCs/>
        </w:rPr>
        <w:t>BC</w:t>
      </w:r>
      <w:r w:rsidR="005C02A0">
        <w:rPr>
          <w:i/>
          <w:iCs/>
          <w:vertAlign w:val="superscript"/>
        </w:rPr>
        <w:t>A</w:t>
      </w:r>
      <w:r w:rsidR="005C02A0">
        <w:rPr>
          <w:i/>
          <w:iCs/>
        </w:rPr>
        <w:t xml:space="preserve"> </w:t>
      </w:r>
      <w:r w:rsidR="005C02A0" w:rsidRPr="0007048F">
        <w:t xml:space="preserve">and </w:t>
      </w:r>
      <w:r w:rsidR="005C02A0">
        <w:t xml:space="preserve">is more </w:t>
      </w:r>
      <w:r w:rsidR="005C02A0" w:rsidRPr="0007048F">
        <w:t xml:space="preserve">strongly correlated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5C02A0" w:rsidRPr="0007048F">
        <w:t xml:space="preserve"> (Pearsons </w:t>
      </w:r>
      <m:oMath>
        <m:r>
          <w:rPr>
            <w:rFonts w:ascii="Cambria Math" w:hAnsi="Cambria Math"/>
          </w:rPr>
          <m:t>r</m:t>
        </m:r>
      </m:oMath>
      <w:r w:rsidR="005C02A0" w:rsidRPr="0007048F">
        <w:t xml:space="preserve"> = 0.82, </w:t>
      </w:r>
      <m:oMath>
        <m:r>
          <w:rPr>
            <w:rFonts w:ascii="Cambria Math" w:hAnsi="Cambria Math"/>
          </w:rPr>
          <m:t>p</m:t>
        </m:r>
      </m:oMath>
      <w:r w:rsidR="005C02A0" w:rsidRPr="0007048F">
        <w:t xml:space="preserve"> &lt; 0.0001) than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0.41)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0.55)</w:t>
      </w:r>
      <w:r w:rsidR="005C02A0">
        <w:t>.</w:t>
      </w:r>
    </w:p>
    <w:p w14:paraId="582144C2" w14:textId="12558DB4" w:rsidR="005C02A0" w:rsidRDefault="0007048F" w:rsidP="008F6E0E">
      <w:pPr>
        <w:spacing w:line="360" w:lineRule="auto"/>
        <w:ind w:firstLine="720"/>
      </w:pPr>
      <w:r w:rsidRPr="0007048F">
        <w:t xml:space="preserve">To better understand how these metrics diverge, we examined individual sample pairs (Fig. 1C). Scenario 1 (gold star) illustrates the classic advantage of </w:t>
      </w:r>
      <w:proofErr w:type="spellStart"/>
      <w:r w:rsidRPr="0007048F">
        <w:t>UniFrac</w:t>
      </w:r>
      <w:proofErr w:type="spellEnd"/>
      <w:r w:rsidRPr="0007048F">
        <w:t xml:space="preserve">: ASV_1 and ASV_2 are phylogenetically close, so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discern greater similarity between samples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which ignore phylogenetic structure. Scenario 2 (red star) highlights a limitation of relative metrics: two samples with identical relative composition but a 100-fold difference in biomass appear identical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but not to their absolute counterparts. In Scenario 3 (green star), incorporating absolute abundance decreases dissimilarity.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are lower than their relative counterparts because half the community is identical in absolute </w:t>
      </w:r>
      <w:r w:rsidR="00475C3E">
        <w:t>abundance, even though their proportions differ</w:t>
      </w:r>
      <w:r w:rsidRPr="0007048F">
        <w:t xml:space="preserve">. In contrast, Scenario 4 (blue star) shows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can </w:t>
      </w:r>
      <w:r w:rsidR="00475C3E">
        <w:t xml:space="preserve">exceed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when abundance differences occur on long branches, amplifying phylogenetic dissimilarity.</w:t>
      </w:r>
      <w:r w:rsidR="00AE18EA">
        <w:t xml:space="preserve"> </w:t>
      </w:r>
    </w:p>
    <w:p w14:paraId="36028C7A" w14:textId="113A666F" w:rsidR="00AE18EA" w:rsidRDefault="005C02A0" w:rsidP="008F6E0E">
      <w:pPr>
        <w:spacing w:line="360" w:lineRule="auto"/>
        <w:ind w:firstLine="720"/>
      </w:pPr>
      <w:r w:rsidRPr="0007048F">
        <w:t xml:space="preserve">These scenarios demonstrate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integrates variation along three ecologically relevant axes: composition, phylogenetic similarity, and microbial load, rather than isolating any single dimension. Because a given </w:t>
      </w:r>
      <m:oMath>
        <m:sSup>
          <m:sSupPr>
            <m:ctrlPr>
              <w:rPr>
                <w:rFonts w:ascii="Cambria Math" w:hAnsi="Cambria Math"/>
              </w:rPr>
            </m:ctrlPr>
          </m:sSupPr>
          <m:e>
            <m:r>
              <w:rPr>
                <w:rFonts w:ascii="Cambria Math" w:hAnsi="Cambria Math"/>
              </w:rPr>
              <m:t>U</m:t>
            </m:r>
          </m:e>
          <m:sup>
            <m:r>
              <w:rPr>
                <w:rFonts w:ascii="Cambria Math" w:hAnsi="Cambria Math"/>
              </w:rPr>
              <m:t>A</m:t>
            </m:r>
          </m:sup>
        </m:sSup>
      </m:oMath>
      <w:r>
        <w:t xml:space="preserve"> value can reflect multiple drivers of community change, interpreting it requires downstream analyses to disentangle the relative contributions of these three axes. To evaluate how this plays out in real systems we next reanalyzed four previously published datasets spanning diverse microbial environments. </w:t>
      </w:r>
    </w:p>
    <w:p w14:paraId="05CE7710" w14:textId="5027802F" w:rsidR="006237CB" w:rsidRPr="006A381E" w:rsidRDefault="006237CB" w:rsidP="008F6E0E">
      <w:pPr>
        <w:spacing w:line="360" w:lineRule="auto"/>
        <w:rPr>
          <w:b/>
          <w:bCs/>
        </w:rPr>
      </w:pPr>
      <w:r>
        <w:rPr>
          <w:b/>
          <w:bCs/>
        </w:rPr>
        <w:lastRenderedPageBreak/>
        <w:t xml:space="preserve">Application of Absolute </w:t>
      </w:r>
      <w:proofErr w:type="spellStart"/>
      <w:r>
        <w:rPr>
          <w:b/>
          <w:bCs/>
        </w:rPr>
        <w:t>UniFrac</w:t>
      </w:r>
      <w:proofErr w:type="spellEnd"/>
      <w:r>
        <w:rPr>
          <w:b/>
          <w:bCs/>
        </w:rPr>
        <w:t xml:space="preserve"> to Four Real-World Microbiome Datasets</w:t>
      </w:r>
    </w:p>
    <w:p w14:paraId="7A0417CA" w14:textId="6804ADDB" w:rsidR="00CA4E44" w:rsidRDefault="00CC3C53" w:rsidP="008F6E0E">
      <w:pPr>
        <w:spacing w:line="360" w:lineRule="auto"/>
        <w:ind w:firstLine="720"/>
      </w:pPr>
      <w:r>
        <w:t xml:space="preserve">To illustrate the sensitivity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t xml:space="preserve">to </w:t>
      </w:r>
      <w:r w:rsidR="006237CB">
        <w:t xml:space="preserve">both </w:t>
      </w:r>
      <w:r>
        <w:t>variation in composition and absolute abundance, we re-analy</w:t>
      </w:r>
      <w:r w:rsidR="008729F6">
        <w:t>z</w:t>
      </w:r>
      <w:r>
        <w:t xml:space="preserve">ed four previously published datasets from diverse microbial systems. </w:t>
      </w:r>
      <w:r w:rsidR="008729F6">
        <w:t xml:space="preserve">These datasets included: </w:t>
      </w:r>
      <w:r w:rsidR="006237CB">
        <w:t>(</w:t>
      </w:r>
      <w:proofErr w:type="spellStart"/>
      <w:r w:rsidR="006237CB">
        <w:t>i</w:t>
      </w:r>
      <w:proofErr w:type="spellEnd"/>
      <w:r w:rsidR="006237CB">
        <w:t xml:space="preserve">) </w:t>
      </w:r>
      <w:r w:rsidR="008729F6">
        <w:t xml:space="preserve">nuclear reactor cooling water </w:t>
      </w:r>
      <w:r w:rsidR="006237CB">
        <w:t xml:space="preserve">sampled </w:t>
      </w:r>
      <w:r w:rsidR="008729F6">
        <w:t xml:space="preserve">across three reactor cycle phases </w:t>
      </w:r>
      <w:r w:rsidR="008729F6">
        <w:fldChar w:fldCharType="begin"/>
      </w:r>
      <w:r w:rsidR="00A20B2F">
        <w:instrText xml:space="preserve"> ADDIN ZOTERO_ITEM CSL_CITATION {"citationID":"cjTz9RrO","properties":{"formattedCitation":"[5]","plainCitation":"[5]","noteIndex":0},"citationItems":[{"id":1451,"uris":["http://zotero.org/groups/5077571/items/JAZBIWBQ"],"itemData":{"id":1451,"type":"article-journal","abstract":"High-throughput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rsidR="008729F6">
        <w:fldChar w:fldCharType="separate"/>
      </w:r>
      <w:r w:rsidR="00A20B2F">
        <w:rPr>
          <w:noProof/>
        </w:rPr>
        <w:t>[5]</w:t>
      </w:r>
      <w:r w:rsidR="008729F6">
        <w:fldChar w:fldCharType="end"/>
      </w:r>
      <w:r w:rsidR="008729F6">
        <w:t xml:space="preserve">; </w:t>
      </w:r>
      <w:r w:rsidR="006237CB">
        <w:t xml:space="preserve">(ii) the </w:t>
      </w:r>
      <w:r w:rsidR="008729F6">
        <w:t>mouse gut sample</w:t>
      </w:r>
      <w:r w:rsidR="003973E9">
        <w:t>d</w:t>
      </w:r>
      <w:r w:rsidR="008729F6">
        <w:t xml:space="preserve"> across multiple </w:t>
      </w:r>
      <w:r w:rsidR="003973E9">
        <w:t>regions</w:t>
      </w:r>
      <w:r w:rsidR="00BB7799">
        <w:t xml:space="preserve"> and</w:t>
      </w:r>
      <w:r w:rsidR="008729F6">
        <w:t xml:space="preserve"> between two diets </w:t>
      </w:r>
      <w:r w:rsidR="008729F6">
        <w:fldChar w:fldCharType="begin"/>
      </w:r>
      <w:r w:rsidR="00C45617">
        <w:instrText xml:space="preserve"> ADDIN ZOTERO_ITEM CSL_CITATION {"citationID":"TYVMoQJy","properties":{"formattedCitation":"[3]","plainCitation":"[3]","noteIndex":0},"citationItems":[{"id":2078,"uris":["http://zotero.org/groups/5077571/items/9FC6PKRB"],"itemData":{"id":2078,"type":"article-journal","abstract":"A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8729F6">
        <w:fldChar w:fldCharType="separate"/>
      </w:r>
      <w:r w:rsidR="008729F6">
        <w:rPr>
          <w:noProof/>
        </w:rPr>
        <w:t>[3]</w:t>
      </w:r>
      <w:r w:rsidR="008729F6">
        <w:fldChar w:fldCharType="end"/>
      </w:r>
      <w:r w:rsidR="008729F6">
        <w:t xml:space="preserve">; </w:t>
      </w:r>
      <w:r w:rsidR="003973E9">
        <w:t>(iii) depth-stratified freshwater communities sampled across two months</w:t>
      </w:r>
      <w:r w:rsidR="008729F6">
        <w:t xml:space="preserve"> </w:t>
      </w:r>
      <w:r w:rsidR="008729F6">
        <w:fldChar w:fldCharType="begin"/>
      </w:r>
      <w:r w:rsidR="00A20B2F">
        <w:instrText xml:space="preserve"> ADDIN ZOTERO_ITEM CSL_CITATION {"citationID":"oYw3GPst","properties":{"formattedCitation":"[9]","plainCitation":"[9]","noteIndex":0},"citationItems":[{"id":2063,"uris":["http://zotero.org/groups/5077571/items/XECMGR9Y"],"itemData":{"id":2063,"type":"article","abstract":"The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8729F6">
        <w:fldChar w:fldCharType="separate"/>
      </w:r>
      <w:r w:rsidR="00A20B2F">
        <w:rPr>
          <w:noProof/>
        </w:rPr>
        <w:t>[9]</w:t>
      </w:r>
      <w:r w:rsidR="008729F6">
        <w:fldChar w:fldCharType="end"/>
      </w:r>
      <w:r w:rsidR="008729F6">
        <w:t>; and</w:t>
      </w:r>
      <w:r w:rsidR="003973E9">
        <w:t xml:space="preserve"> (iv)</w:t>
      </w:r>
      <w:r w:rsidR="008729F6">
        <w:t xml:space="preserve"> peanut rhizo</w:t>
      </w:r>
      <w:r w:rsidR="003973E9">
        <w:t>s</w:t>
      </w:r>
      <w:r w:rsidR="008729F6">
        <w:t>pher</w:t>
      </w:r>
      <w:r w:rsidR="003973E9">
        <w:t>es under tw</w:t>
      </w:r>
      <w:r w:rsidR="008729F6">
        <w:t>o crop rotation schemes (conventional rotation (CR) vs. sod-based rotation (SBR)</w:t>
      </w:r>
      <w:r w:rsidR="003973E9">
        <w:t>)</w:t>
      </w:r>
      <w:r w:rsidR="00BB7799">
        <w:t xml:space="preserve">, plant maturities, and irrigation </w:t>
      </w:r>
      <w:r w:rsidR="003973E9">
        <w:t>treatments</w:t>
      </w:r>
      <w:r w:rsidR="008729F6">
        <w:t xml:space="preserve"> </w:t>
      </w:r>
      <w:r w:rsidR="008729F6">
        <w:fldChar w:fldCharType="begin"/>
      </w:r>
      <w:r w:rsidR="00A20B2F">
        <w:instrText xml:space="preserve"> ADDIN ZOTERO_ITEM CSL_CITATION {"citationID":"YA20tb0p","properties":{"formattedCitation":"[10]","plainCitation":"[10]","noteIndex":0},"citationItems":[{"id":2082,"uris":["http://zotero.org/groups/5077571/items/7DSKNWDW"],"itemData":{"id":2082,"type":"article-journal","abstract":"High-throughput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8729F6">
        <w:fldChar w:fldCharType="separate"/>
      </w:r>
      <w:r w:rsidR="00A20B2F">
        <w:rPr>
          <w:noProof/>
        </w:rPr>
        <w:t>[10]</w:t>
      </w:r>
      <w:r w:rsidR="008729F6">
        <w:fldChar w:fldCharType="end"/>
      </w:r>
      <w:r w:rsidR="008729F6">
        <w:t xml:space="preserve">. </w:t>
      </w:r>
      <w:r w:rsidR="00CA4E44">
        <w:t>Absolute abundance was quantified by flow cytometry for the cooling water and freshwater datasets, droplet digital PCR for the mouse gut, and by qPCR for the rhizosphere dataset. Together these span a wide range of richness–from 215 ASVs in the cooling water to 24,000 ASVs in the soil–and microbial load–from as low as 4x10</w:t>
      </w:r>
      <w:r w:rsidR="00CA4E44" w:rsidRPr="001061A5">
        <w:rPr>
          <w:vertAlign w:val="superscript"/>
        </w:rPr>
        <w:t>5</w:t>
      </w:r>
      <w:r w:rsidR="00CA4E44">
        <w:t xml:space="preserve"> cells/ml (cooling water) up to 2x10</w:t>
      </w:r>
      <w:r w:rsidR="00CA4E44">
        <w:rPr>
          <w:vertAlign w:val="superscript"/>
        </w:rPr>
        <w:t>12</w:t>
      </w:r>
      <w:r w:rsidR="00CA4E44">
        <w:t xml:space="preserve"> 16S rRNA copies/gram (mouse gut). Additional details of the re-analysis workflow, including ASV generation and phylogenetic inference, are provided in the Supporting Methods.</w:t>
      </w:r>
    </w:p>
    <w:p w14:paraId="0A11A17D" w14:textId="532E8CE9" w:rsidR="00CA4E44" w:rsidRDefault="00CA4E44" w:rsidP="008F6E0E">
      <w:pPr>
        <w:spacing w:line="360" w:lineRule="auto"/>
        <w:ind w:firstLine="720"/>
      </w:pPr>
      <w:r>
        <w:t>We first calculated four</w:t>
      </w:r>
      <w:r w:rsidRPr="001061A5">
        <w:t xml:space="preserve"> β-diversity</w:t>
      </w:r>
      <w:r>
        <w:t xml:space="preserve"> metrics for all sample pairs in each dataset and compared them to </w:t>
      </w:r>
      <w:r>
        <w:rPr>
          <w:i/>
          <w:iCs/>
        </w:rPr>
        <w:t>U</w:t>
      </w:r>
      <w:r>
        <w:rPr>
          <w:i/>
          <w:iCs/>
          <w:vertAlign w:val="superscript"/>
        </w:rPr>
        <w:t>A</w:t>
      </w:r>
      <w:r>
        <w:t xml:space="preserve"> (Fig. 2). The degree of concordance </w:t>
      </w:r>
      <w:r w:rsidRPr="006B42C1">
        <w:t xml:space="preserve">between </w:t>
      </w:r>
      <w:r>
        <w:rPr>
          <w:i/>
          <w:iCs/>
        </w:rPr>
        <w:t>U</w:t>
      </w:r>
      <w:r>
        <w:rPr>
          <w:i/>
          <w:iCs/>
          <w:vertAlign w:val="superscript"/>
        </w:rPr>
        <w:t>A</w:t>
      </w:r>
      <w:r>
        <w:t xml:space="preserve"> and other metrics was</w:t>
      </w:r>
      <w:r w:rsidRPr="006B42C1">
        <w:t xml:space="preserve"> highly context dependent</w:t>
      </w:r>
      <w:r w:rsidRPr="001061A5">
        <w:rPr>
          <w:i/>
          <w:iCs/>
        </w:rPr>
        <w:t xml:space="preserve">. </w:t>
      </w:r>
      <w:r>
        <w:t xml:space="preserve">In the cooling water dataset, </w:t>
      </w:r>
      <w:r>
        <w:rPr>
          <w:i/>
          <w:iCs/>
        </w:rPr>
        <w:t>U</w:t>
      </w:r>
      <w:r>
        <w:rPr>
          <w:i/>
          <w:iCs/>
          <w:vertAlign w:val="superscript"/>
        </w:rPr>
        <w:t>A</w:t>
      </w:r>
      <w:r>
        <w:rPr>
          <w:i/>
          <w:iCs/>
        </w:rPr>
        <w:t xml:space="preserve"> </w:t>
      </w:r>
      <w:r>
        <w:t xml:space="preserve">closely tracked all three alternatives, whereas in the remaining systems it diverged substantially. </w:t>
      </w:r>
      <w:r>
        <w:rPr>
          <w:i/>
          <w:iCs/>
        </w:rPr>
        <w:t>U</w:t>
      </w:r>
      <w:r>
        <w:rPr>
          <w:i/>
          <w:iCs/>
          <w:vertAlign w:val="superscript"/>
        </w:rPr>
        <w:t>A</w:t>
      </w:r>
      <w:r>
        <w:t xml:space="preserve"> also spanned a similar or wider range of distances than the other metrics. For example, in the soil dataset </w:t>
      </w:r>
      <w:r>
        <w:rPr>
          <w:i/>
          <w:iCs/>
        </w:rPr>
        <w:t>BC</w:t>
      </w:r>
      <w:r>
        <w:rPr>
          <w:i/>
          <w:iCs/>
          <w:vertAlign w:val="superscript"/>
        </w:rPr>
        <w:t>R</w:t>
      </w:r>
      <w:r>
        <w:rPr>
          <w:i/>
          <w:iCs/>
        </w:rPr>
        <w:t xml:space="preserve"> </w:t>
      </w:r>
      <w:r>
        <w:t xml:space="preserve">and </w:t>
      </w:r>
      <w:r>
        <w:rPr>
          <w:i/>
          <w:iCs/>
        </w:rPr>
        <w:t>U</w:t>
      </w:r>
      <w:r>
        <w:rPr>
          <w:i/>
          <w:iCs/>
          <w:vertAlign w:val="superscript"/>
        </w:rPr>
        <w:t>R</w:t>
      </w:r>
      <w:r>
        <w:t xml:space="preserve"> occupied a narrow range relative to the broad separation observed under </w:t>
      </w:r>
      <w:r>
        <w:rPr>
          <w:i/>
          <w:iCs/>
        </w:rPr>
        <w:t>U</w:t>
      </w:r>
      <w:r>
        <w:rPr>
          <w:i/>
          <w:iCs/>
          <w:vertAlign w:val="superscript"/>
        </w:rPr>
        <w:t>A</w:t>
      </w:r>
      <w:r>
        <w:rPr>
          <w:i/>
          <w:iCs/>
        </w:rPr>
        <w:t>.</w:t>
      </w:r>
    </w:p>
    <w:p w14:paraId="6CC29618" w14:textId="77777777" w:rsidR="00CA4E44" w:rsidRDefault="00CA4E44" w:rsidP="008F6E0E">
      <w:pPr>
        <w:spacing w:line="360" w:lineRule="auto"/>
        <w:ind w:firstLine="720"/>
      </w:pPr>
      <w:r>
        <w:rPr>
          <w:i/>
          <w:iCs/>
        </w:rPr>
        <w:t>U</w:t>
      </w:r>
      <w:r>
        <w:rPr>
          <w:i/>
          <w:iCs/>
          <w:vertAlign w:val="superscript"/>
        </w:rPr>
        <w:t>A</w:t>
      </w:r>
      <w:r>
        <w:rPr>
          <w:i/>
          <w:iCs/>
        </w:rPr>
        <w:t xml:space="preserve"> </w:t>
      </w:r>
      <w:r>
        <w:t xml:space="preserve">generally reported distances that were </w:t>
      </w:r>
      <w:proofErr w:type="gramStart"/>
      <w:r>
        <w:t>similar to</w:t>
      </w:r>
      <w:proofErr w:type="gramEnd"/>
      <w:r>
        <w:t xml:space="preserve"> or greater than </w:t>
      </w:r>
      <w:r>
        <w:rPr>
          <w:i/>
          <w:iCs/>
        </w:rPr>
        <w:t>U</w:t>
      </w:r>
      <w:r>
        <w:rPr>
          <w:i/>
          <w:iCs/>
          <w:vertAlign w:val="superscript"/>
        </w:rPr>
        <w:t>R</w:t>
      </w:r>
      <w:r>
        <w:rPr>
          <w:i/>
          <w:iCs/>
        </w:rPr>
        <w:t xml:space="preserve">, </w:t>
      </w:r>
      <w:r>
        <w:t xml:space="preserve">consistent with the simulations shown in Fig. 1B. This reflects the ability of </w:t>
      </w:r>
      <w:r>
        <w:rPr>
          <w:i/>
          <w:iCs/>
        </w:rPr>
        <w:t>U</w:t>
      </w:r>
      <w:r>
        <w:rPr>
          <w:i/>
          <w:iCs/>
          <w:vertAlign w:val="superscript"/>
        </w:rPr>
        <w:t>A</w:t>
      </w:r>
      <w:r>
        <w:rPr>
          <w:i/>
          <w:iCs/>
        </w:rPr>
        <w:t xml:space="preserve"> </w:t>
      </w:r>
      <w:r>
        <w:t xml:space="preserve">to discern dissimilarity due to differences in microbial load, even when community composition is conserved. In contrast, </w:t>
      </w:r>
      <w:r>
        <w:rPr>
          <w:i/>
          <w:iCs/>
        </w:rPr>
        <w:t>U</w:t>
      </w:r>
      <w:r>
        <w:rPr>
          <w:i/>
          <w:iCs/>
          <w:vertAlign w:val="superscript"/>
        </w:rPr>
        <w:t>A</w:t>
      </w:r>
      <w:r>
        <w:rPr>
          <w:i/>
          <w:iCs/>
        </w:rPr>
        <w:t xml:space="preserve"> </w:t>
      </w:r>
      <w:r>
        <w:t xml:space="preserve">yielded distances that were </w:t>
      </w:r>
      <w:proofErr w:type="gramStart"/>
      <w:r>
        <w:t>similar to</w:t>
      </w:r>
      <w:proofErr w:type="gramEnd"/>
      <w:r>
        <w:t xml:space="preserve"> or lower than </w:t>
      </w:r>
      <w:r>
        <w:rPr>
          <w:i/>
          <w:iCs/>
        </w:rPr>
        <w:t>BC</w:t>
      </w:r>
      <w:r>
        <w:rPr>
          <w:i/>
          <w:iCs/>
          <w:vertAlign w:val="superscript"/>
        </w:rPr>
        <w:t>A</w:t>
      </w:r>
      <w:r>
        <w:rPr>
          <w:i/>
          <w:iCs/>
        </w:rPr>
        <w:t xml:space="preserve">, </w:t>
      </w:r>
      <w:r>
        <w:t xml:space="preserve">again matching the simulated behavior in Fig 1B. In these cases, phylogenetic proximity between abundant, </w:t>
      </w:r>
      <w:proofErr w:type="gramStart"/>
      <w:r>
        <w:t>closely-related</w:t>
      </w:r>
      <w:proofErr w:type="gramEnd"/>
      <w:r>
        <w:t xml:space="preserve"> ASVs leads </w:t>
      </w:r>
      <w:r>
        <w:rPr>
          <w:i/>
          <w:iCs/>
        </w:rPr>
        <w:t>U</w:t>
      </w:r>
      <w:r>
        <w:rPr>
          <w:i/>
          <w:iCs/>
          <w:vertAlign w:val="superscript"/>
        </w:rPr>
        <w:t>A</w:t>
      </w:r>
      <w:r>
        <w:t xml:space="preserve"> to register greater similarity than </w:t>
      </w:r>
      <w:r>
        <w:rPr>
          <w:i/>
          <w:iCs/>
        </w:rPr>
        <w:t>BC</w:t>
      </w:r>
      <w:r>
        <w:rPr>
          <w:i/>
          <w:iCs/>
          <w:vertAlign w:val="superscript"/>
        </w:rPr>
        <w:t>A</w:t>
      </w:r>
      <w:r>
        <w:rPr>
          <w:i/>
          <w:iCs/>
        </w:rPr>
        <w:t>.</w:t>
      </w:r>
    </w:p>
    <w:p w14:paraId="0004FF8C" w14:textId="7505EE4E" w:rsidR="00CA4E44" w:rsidRDefault="00CA4E44" w:rsidP="008F6E0E">
      <w:pPr>
        <w:spacing w:line="360" w:lineRule="auto"/>
        <w:ind w:firstLine="720"/>
        <w:rPr>
          <w:rFonts w:eastAsiaTheme="minorEastAsia"/>
        </w:rPr>
      </w:pPr>
      <w:r>
        <w:t>Given these differences, we next quantified how well each metric discriminates among categorical sample groups. For each dataset, we ran PERMANOVAs to measure the proportion of variance (</w:t>
      </w:r>
      <w:r w:rsidRPr="001061A5">
        <w:rPr>
          <w:i/>
          <w:iCs/>
        </w:rPr>
        <w:t>R</w:t>
      </w:r>
      <w:r w:rsidRPr="001061A5">
        <w:rPr>
          <w:i/>
          <w:iCs/>
          <w:vertAlign w:val="superscript"/>
        </w:rPr>
        <w:t>2</w:t>
      </w:r>
      <w:r>
        <w:t>) and statistical power (</w:t>
      </w:r>
      <w:r w:rsidRPr="001061A5">
        <w:rPr>
          <w:i/>
          <w:iCs/>
        </w:rPr>
        <w:t>pseudo-F</w:t>
      </w:r>
      <w:r>
        <w:rPr>
          <w:i/>
          <w:iCs/>
        </w:rPr>
        <w:t>, p-</w:t>
      </w:r>
      <w:r w:rsidRPr="001061A5">
        <w:t>value</w:t>
      </w:r>
      <w:r>
        <w:t xml:space="preserve">) attributable to group structure, using groupings that were determined to be significant in the original publications. To evaluate how </w:t>
      </w:r>
      <w:r>
        <w:lastRenderedPageBreak/>
        <w:t xml:space="preserve">strongly absolute abundance contributed to this discrimination, we also calculated </w:t>
      </w:r>
      <w:r>
        <w:rPr>
          <w:i/>
          <w:iCs/>
        </w:rPr>
        <w:t>GU</w:t>
      </w:r>
      <w:r>
        <w:rPr>
          <w:i/>
          <w:iCs/>
          <w:vertAlign w:val="superscript"/>
        </w:rPr>
        <w:t>A</w:t>
      </w:r>
      <w:r>
        <w:rPr>
          <w:i/>
          <w:iCs/>
        </w:rPr>
        <w:t xml:space="preserve"> </w:t>
      </w:r>
      <w:r>
        <w:t xml:space="preserve">across a range of </w:t>
      </w:r>
      <m:oMath>
        <m:r>
          <w:rPr>
            <w:rFonts w:ascii="Cambria Math" w:hAnsi="Cambria Math"/>
          </w:rPr>
          <m:t>α</m:t>
        </m:r>
      </m:oMath>
      <w:r>
        <w:rPr>
          <w:rFonts w:eastAsiaTheme="minorEastAsia"/>
        </w:rPr>
        <w:t xml:space="preserve"> values. The resulting </w:t>
      </w:r>
      <w:r>
        <w:rPr>
          <w:rFonts w:eastAsiaTheme="minorEastAsia"/>
          <w:i/>
          <w:iCs/>
        </w:rPr>
        <w:t>R</w:t>
      </w:r>
      <w:r>
        <w:rPr>
          <w:rFonts w:eastAsiaTheme="minorEastAsia"/>
          <w:i/>
          <w:iCs/>
          <w:vertAlign w:val="superscript"/>
        </w:rPr>
        <w:t>2</w:t>
      </w:r>
      <w:r>
        <w:rPr>
          <w:rFonts w:eastAsiaTheme="minorEastAsia"/>
        </w:rPr>
        <w:t xml:space="preserve"> values are displayed in Fig. 3A, with the corresponding </w:t>
      </w:r>
      <w:r>
        <w:rPr>
          <w:rFonts w:eastAsiaTheme="minorEastAsia"/>
          <w:i/>
          <w:iCs/>
        </w:rPr>
        <w:t xml:space="preserve">pseudo-F </w:t>
      </w:r>
      <w:r>
        <w:rPr>
          <w:rFonts w:eastAsiaTheme="minorEastAsia"/>
        </w:rPr>
        <w:t xml:space="preserve">statistics and </w:t>
      </w:r>
      <w:r>
        <w:rPr>
          <w:rFonts w:eastAsiaTheme="minorEastAsia"/>
          <w:i/>
          <w:iCs/>
        </w:rPr>
        <w:t>p</w:t>
      </w:r>
      <w:r>
        <w:rPr>
          <w:rFonts w:eastAsiaTheme="minorEastAsia"/>
        </w:rPr>
        <w:t xml:space="preserve">-values provided in Fig. S2. </w:t>
      </w:r>
    </w:p>
    <w:p w14:paraId="772E1E7B" w14:textId="0062F88D" w:rsidR="00CA4E44" w:rsidRDefault="00CA4E44" w:rsidP="008F6E0E">
      <w:pPr>
        <w:spacing w:line="360" w:lineRule="auto"/>
        <w:ind w:firstLine="720"/>
        <w:rPr>
          <w:rFonts w:eastAsiaTheme="minorEastAsia"/>
        </w:rPr>
      </w:pPr>
      <w:r>
        <w:rPr>
          <w:rFonts w:eastAsiaTheme="minorEastAsia"/>
        </w:rPr>
        <w:t>As in Fig. 2, the performance of each metric was strongly context dependent (Fig. 3A). In the mouse gut and freshwater datasets, absolute-abundance-aware metrics (</w:t>
      </w:r>
      <w:r>
        <w:rPr>
          <w:rFonts w:eastAsiaTheme="minorEastAsia"/>
          <w:i/>
          <w:iCs/>
        </w:rPr>
        <w:t>BC</w:t>
      </w:r>
      <w:r>
        <w:rPr>
          <w:rFonts w:eastAsiaTheme="minorEastAsia"/>
          <w:i/>
          <w:iCs/>
          <w:vertAlign w:val="superscript"/>
        </w:rPr>
        <w:t>A</w:t>
      </w:r>
      <w:r>
        <w:rPr>
          <w:rFonts w:eastAsiaTheme="minorEastAsia"/>
          <w:i/>
          <w:iCs/>
        </w:rPr>
        <w:t xml:space="preserve"> </w:t>
      </w:r>
      <w:r>
        <w:rPr>
          <w:rFonts w:eastAsiaTheme="minorEastAsia"/>
        </w:rPr>
        <w:t>and</w:t>
      </w:r>
      <w:r>
        <w:rPr>
          <w:rFonts w:eastAsiaTheme="minorEastAsia"/>
          <w:i/>
          <w:iCs/>
        </w:rPr>
        <w:t xml:space="preserve"> GU</w:t>
      </w:r>
      <w:r>
        <w:rPr>
          <w:rFonts w:eastAsiaTheme="minorEastAsia"/>
          <w:i/>
          <w:iCs/>
          <w:vertAlign w:val="superscript"/>
        </w:rPr>
        <w:t>A</w:t>
      </w:r>
      <w:r>
        <w:rPr>
          <w:rFonts w:eastAsiaTheme="minorEastAsia"/>
        </w:rPr>
        <w:t>) explained the greatest proportion of variance (</w:t>
      </w:r>
      <w:r>
        <w:rPr>
          <w:rFonts w:eastAsiaTheme="minorEastAsia"/>
          <w:i/>
          <w:iCs/>
        </w:rPr>
        <w:t>R</w:t>
      </w:r>
      <w:r>
        <w:rPr>
          <w:rFonts w:eastAsiaTheme="minorEastAsia"/>
          <w:i/>
          <w:iCs/>
          <w:vertAlign w:val="superscript"/>
        </w:rPr>
        <w:t>2</w:t>
      </w:r>
      <w:r>
        <w:rPr>
          <w:rFonts w:eastAsiaTheme="minorEastAsia"/>
          <w:iCs/>
        </w:rPr>
        <w:t xml:space="preserve">), and </w:t>
      </w:r>
      <w:r>
        <w:rPr>
          <w:rFonts w:eastAsiaTheme="minorEastAsia"/>
          <w:i/>
          <w:iCs/>
        </w:rPr>
        <w:t>R</w:t>
      </w:r>
      <w:r>
        <w:rPr>
          <w:rFonts w:eastAsiaTheme="minorEastAsia"/>
          <w:i/>
          <w:iCs/>
          <w:vertAlign w:val="superscript"/>
        </w:rPr>
        <w:t xml:space="preserve">2 </w:t>
      </w:r>
      <w:r>
        <w:rPr>
          <w:rFonts w:eastAsiaTheme="minorEastAsia"/>
        </w:rPr>
        <w:t xml:space="preserve">generally increasing as </w:t>
      </w:r>
      <m:oMath>
        <m:r>
          <w:rPr>
            <w:rFonts w:ascii="Cambria Math" w:hAnsi="Cambria Math"/>
          </w:rPr>
          <m:t>α</m:t>
        </m:r>
      </m:oMath>
      <w:r>
        <w:rPr>
          <w:rFonts w:eastAsiaTheme="minorEastAsia"/>
        </w:rPr>
        <w:t xml:space="preserve"> increased. In contrast, relative metrics captured more variation in the cooling water dataset (again at higher </w:t>
      </w:r>
      <m:oMath>
        <m:r>
          <w:rPr>
            <w:rFonts w:ascii="Cambria Math" w:hAnsi="Cambria Math"/>
          </w:rPr>
          <m:t>α)</m:t>
        </m:r>
      </m:oMath>
      <w:r>
        <w:rPr>
          <w:rFonts w:eastAsiaTheme="minorEastAsia"/>
        </w:rPr>
        <w:t xml:space="preserve">, and all metrics explained comparably little variance in the soil dataset. Taken at face value, these trends might suggest that higher </w:t>
      </w:r>
      <m:oMath>
        <m:r>
          <w:rPr>
            <w:rFonts w:ascii="Cambria Math" w:hAnsi="Cambria Math"/>
          </w:rPr>
          <m:t>α</m:t>
        </m:r>
      </m:oMath>
      <w:r>
        <w:rPr>
          <w:rFonts w:eastAsiaTheme="minorEastAsia"/>
        </w:rPr>
        <w:t xml:space="preserve"> values typically improve group differentiation. </w:t>
      </w:r>
    </w:p>
    <w:p w14:paraId="56080E16" w14:textId="76308881" w:rsidR="00CA4E44" w:rsidRDefault="00CA4E44" w:rsidP="008F6E0E">
      <w:pPr>
        <w:spacing w:line="360" w:lineRule="auto"/>
        <w:ind w:firstLine="720"/>
      </w:pPr>
      <w:r>
        <w:rPr>
          <w:rFonts w:eastAsiaTheme="minorEastAsia"/>
        </w:rPr>
        <w:t xml:space="preserve">However, this comes with a major caveat: </w:t>
      </w:r>
      <w:r w:rsidRPr="0007048F">
        <w:t xml:space="preserve">at high </w:t>
      </w:r>
      <w:bookmarkStart w:id="3" w:name="_Hlk214542613"/>
      <m:oMath>
        <m:r>
          <w:rPr>
            <w:rFonts w:ascii="Cambria Math" w:hAnsi="Cambria Math"/>
          </w:rPr>
          <m:t>α</m:t>
        </m:r>
      </m:oMath>
      <w:bookmarkEnd w:id="3"/>
      <w:r w:rsidRPr="0007048F">
        <w:t xml:space="preserve"> values,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bec</w:t>
      </w:r>
      <w:r>
        <w:t>o</w:t>
      </w:r>
      <w:r w:rsidRPr="0007048F">
        <w:t>me</w:t>
      </w:r>
      <w:r>
        <w:t>s</w:t>
      </w:r>
      <w:r w:rsidRPr="0007048F">
        <w:t xml:space="preserve"> strongly correlated with total cell count alone (Fig. </w:t>
      </w:r>
      <w:r>
        <w:t>3B</w:t>
      </w:r>
      <w:r w:rsidRPr="0007048F">
        <w:t xml:space="preserve">). Mantel tests </w:t>
      </w:r>
      <w:r>
        <w:t>confirmed</w:t>
      </w:r>
      <w:r w:rsidRPr="0007048F">
        <w:t xml:space="preserve"> that absolute</w:t>
      </w:r>
      <w:r>
        <w:t xml:space="preserve">-abundance </w:t>
      </w:r>
      <w:r w:rsidRPr="0007048F">
        <w:t xml:space="preserve">metrics are </w:t>
      </w:r>
      <w:r>
        <w:t>far</w:t>
      </w:r>
      <w:r w:rsidRPr="0007048F">
        <w:t xml:space="preserve"> more sensitive to differences in </w:t>
      </w:r>
      <w:r>
        <w:t>microbial load</w:t>
      </w:r>
      <w:r w:rsidRPr="0007048F">
        <w:t xml:space="preserve"> than their relative counterparts. This </w:t>
      </w:r>
      <w:r>
        <w:t xml:space="preserve">behavior </w:t>
      </w:r>
      <w:r w:rsidRPr="0007048F">
        <w:t xml:space="preserve">is intuitive, and to </w:t>
      </w:r>
      <w:r>
        <w:t>some extent desirable,</w:t>
      </w:r>
      <w:r w:rsidRPr="0007048F">
        <w:t xml:space="preserve"> </w:t>
      </w:r>
      <w:r>
        <w:t xml:space="preserve">because </w:t>
      </w:r>
      <w:r w:rsidRPr="0007048F">
        <w:t xml:space="preserve">these metrics </w:t>
      </w:r>
      <w:r>
        <w:t>are designed</w:t>
      </w:r>
      <w:r w:rsidRPr="0007048F">
        <w:t xml:space="preserve"> to detect changes in </w:t>
      </w:r>
      <w:r>
        <w:t>microbial load</w:t>
      </w:r>
      <w:r w:rsidRPr="0007048F">
        <w:t xml:space="preserve"> even when composition remains constant. Yet at </w:t>
      </w:r>
      <m:oMath>
        <m:r>
          <w:rPr>
            <w:rFonts w:ascii="Cambria Math" w:hAnsi="Cambria Math"/>
          </w:rPr>
          <m:t>α</m:t>
        </m:r>
      </m:oMath>
      <w:r w:rsidRPr="0007048F">
        <w:t xml:space="preserve"> = 1,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approaches</w:t>
      </w:r>
      <w:r w:rsidRPr="0007048F">
        <w:t xml:space="preserve"> a proxy for sample </w:t>
      </w:r>
      <w:r>
        <w:t>absolute abundance itself</w:t>
      </w:r>
      <w:r w:rsidRPr="0007048F">
        <w:t>. In ordination space</w:t>
      </w:r>
      <w:r>
        <w:t xml:space="preserve"> (Fig. S3)</w:t>
      </w:r>
      <w:r w:rsidRPr="0007048F">
        <w:t xml:space="preserve">, this </w:t>
      </w:r>
      <w:r>
        <w:t>can cause</w:t>
      </w:r>
      <w:r w:rsidRPr="0007048F">
        <w:t xml:space="preserve"> Axis 1 </w:t>
      </w:r>
      <w:r>
        <w:t>to</w:t>
      </w:r>
      <w:r w:rsidRPr="0007048F">
        <w:t xml:space="preserve"> correlate with absolute abundance</w:t>
      </w:r>
      <w:r>
        <w:t xml:space="preserve"> and in some cases (freshwater and soil) produces strong horseshoe effects </w:t>
      </w:r>
      <w:r>
        <w:fldChar w:fldCharType="begin"/>
      </w:r>
      <w:r w:rsidR="00A20B2F">
        <w:instrText xml:space="preserve"> ADDIN ZOTERO_ITEM CSL_CITATION {"citationID":"aJLkmMWk","properties":{"formattedCitation":"[15]","plainCitation":"[15]","noteIndex":0},"citationItems":[{"id":2064,"uris":["http://zotero.org/groups/5077571/items/93267LKJ"],"itemData":{"id":2064,"type":"article-journal","abstract":"The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r>
        <w:fldChar w:fldCharType="separate"/>
      </w:r>
      <w:r w:rsidR="00A20B2F">
        <w:rPr>
          <w:noProof/>
        </w:rPr>
        <w:t>[15]</w:t>
      </w:r>
      <w:r>
        <w:fldChar w:fldCharType="end"/>
      </w:r>
      <w:r>
        <w:t xml:space="preserve">, </w:t>
      </w:r>
      <w:r w:rsidRPr="0007048F">
        <w:t>potentially distorting ecological interpretation</w:t>
      </w:r>
      <w:r>
        <w:rPr>
          <w:rFonts w:eastAsiaTheme="minorEastAsia"/>
        </w:rPr>
        <w:t>.</w:t>
      </w:r>
      <w:r w:rsidR="00210DF7">
        <w:rPr>
          <w:rFonts w:eastAsiaTheme="minorEastAsia"/>
        </w:rPr>
        <w:t xml:space="preserve"> </w:t>
      </w:r>
      <w:r w:rsidR="00B25A30">
        <w:rPr>
          <w:rFonts w:eastAsiaTheme="minorEastAsia"/>
        </w:rPr>
        <w:t xml:space="preserve">Beyond tuning </w:t>
      </w:r>
      <m:oMath>
        <m:r>
          <w:rPr>
            <w:rFonts w:ascii="Cambria Math" w:hAnsi="Cambria Math"/>
          </w:rPr>
          <m:t>α</m:t>
        </m:r>
      </m:oMath>
      <w:r w:rsidR="00B25A30">
        <w:rPr>
          <w:rFonts w:eastAsiaTheme="minorEastAsia"/>
        </w:rPr>
        <w:t xml:space="preserve"> to modify the influence of abundances, approaches such as NMDS or partial ordination can also be used to modulate the sensitivity of ordinations to microbial load </w:t>
      </w:r>
      <w:r w:rsidR="00B25A30">
        <w:rPr>
          <w:rFonts w:eastAsiaTheme="minorEastAsia"/>
        </w:rPr>
        <w:fldChar w:fldCharType="begin"/>
      </w:r>
      <w:r w:rsidR="00B25A30">
        <w:rPr>
          <w:rFonts w:eastAsiaTheme="minorEastAsia"/>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00B25A30">
        <w:rPr>
          <w:rFonts w:eastAsiaTheme="minorEastAsia"/>
        </w:rPr>
        <w:fldChar w:fldCharType="separate"/>
      </w:r>
      <w:r w:rsidR="00B25A30">
        <w:rPr>
          <w:rFonts w:eastAsiaTheme="minorEastAsia"/>
          <w:noProof/>
        </w:rPr>
        <w:t>[16]</w:t>
      </w:r>
      <w:r w:rsidR="00B25A30">
        <w:rPr>
          <w:rFonts w:eastAsiaTheme="minorEastAsia"/>
        </w:rPr>
        <w:fldChar w:fldCharType="end"/>
      </w:r>
      <w:r w:rsidR="00B25A30">
        <w:rPr>
          <w:rFonts w:eastAsiaTheme="minorEastAsia"/>
        </w:rPr>
        <w:t>.</w:t>
      </w:r>
    </w:p>
    <w:p w14:paraId="4F0CD58C" w14:textId="3BAAEEDE" w:rsidR="008A350F" w:rsidRDefault="0007048F" w:rsidP="008F6E0E">
      <w:pPr>
        <w:spacing w:line="360" w:lineRule="auto"/>
        <w:ind w:firstLine="720"/>
      </w:pPr>
      <w:r w:rsidRPr="0007048F">
        <w:t xml:space="preserve">We </w:t>
      </w:r>
      <w:r w:rsidR="008A350F">
        <w:t xml:space="preserve">recommend calibrating </w:t>
      </w:r>
      <m:oMath>
        <m:r>
          <w:rPr>
            <w:rFonts w:ascii="Cambria Math" w:hAnsi="Cambria Math"/>
          </w:rPr>
          <m:t>α</m:t>
        </m:r>
      </m:oMath>
      <w:r w:rsidRPr="0007048F">
        <w:t xml:space="preserve"> based on research goals, </w:t>
      </w:r>
      <w:r w:rsidR="008A350F">
        <w:t xml:space="preserve">modulating </w:t>
      </w:r>
      <w:r w:rsidRPr="0007048F">
        <w:t>this effect</w:t>
      </w:r>
      <w:r w:rsidR="00F86279">
        <w:t xml:space="preserve"> by</w:t>
      </w:r>
      <w:r w:rsidRPr="0007048F">
        <w:t xml:space="preserve"> using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F86279">
        <w:t>a</w:t>
      </w:r>
      <w:r w:rsidR="00AA63C5">
        <w:t>cross</w:t>
      </w:r>
      <w:r w:rsidR="00F86279">
        <w:t xml:space="preserve"> a range of </w:t>
      </w:r>
      <m:oMath>
        <m:r>
          <w:rPr>
            <w:rFonts w:ascii="Cambria Math" w:hAnsi="Cambria Math"/>
          </w:rPr>
          <m:t>α</m:t>
        </m:r>
      </m:oMath>
      <w:r w:rsidR="00F86279" w:rsidRPr="0007048F">
        <w:t xml:space="preserve"> </w:t>
      </w:r>
      <w:r w:rsidRPr="0007048F">
        <w:t>rather than</w:t>
      </w:r>
      <w:r w:rsidR="008A350F">
        <w:t xml:space="preserve"> relying on</w:t>
      </w:r>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8A350F">
        <w:rPr>
          <w:rFonts w:eastAsiaTheme="minorEastAsia"/>
        </w:rPr>
        <w:t xml:space="preserve"> (</w:t>
      </w:r>
      <m:oMath>
        <m:r>
          <w:rPr>
            <w:rFonts w:ascii="Cambria Math" w:hAnsi="Cambria Math"/>
          </w:rPr>
          <m:t>α=1)</m:t>
        </m:r>
      </m:oMath>
      <w:r w:rsidRPr="0007048F">
        <w:t>.</w:t>
      </w:r>
      <w:r w:rsidR="008A350F">
        <w:t xml:space="preserve"> </w:t>
      </w:r>
      <w:r w:rsidRPr="0007048F">
        <w:t>Researchers should consider how much emphasis they want their dissimilarity metric to place on microbial load</w:t>
      </w:r>
      <w:r w:rsidR="008A350F">
        <w:t xml:space="preserve"> (Box 1)</w:t>
      </w:r>
      <w:r w:rsidRPr="0007048F">
        <w:t xml:space="preserve">. </w:t>
      </w:r>
      <w:r w:rsidR="008A350F">
        <w:t xml:space="preserve">When biomass differences are central to the hypothesis being tested (for example, detecting cyanobacterial blooms), high </w:t>
      </w:r>
      <m:oMath>
        <m:r>
          <w:rPr>
            <w:rFonts w:ascii="Cambria Math" w:hAnsi="Cambria Math"/>
          </w:rPr>
          <m:t>α</m:t>
        </m:r>
      </m:oMath>
      <w:r w:rsidR="008A350F">
        <w:rPr>
          <w:rFonts w:eastAsiaTheme="minorEastAsia"/>
        </w:rPr>
        <w:t xml:space="preserve"> are recommended. In contrast, if microbial load is irrelevant or independent of the hypothesis in question, low </w:t>
      </w:r>
      <m:oMath>
        <m:r>
          <w:rPr>
            <w:rFonts w:ascii="Cambria Math" w:hAnsi="Cambria Math"/>
          </w:rPr>
          <m:t>α</m:t>
        </m:r>
      </m:oMath>
      <w:r w:rsidR="008A350F">
        <w:rPr>
          <w:rFonts w:eastAsiaTheme="minorEastAsia"/>
        </w:rPr>
        <w:t xml:space="preserve"> (or </w:t>
      </w:r>
      <w:r w:rsidR="008A350F">
        <w:rPr>
          <w:i/>
          <w:iCs/>
        </w:rPr>
        <w:t>U</w:t>
      </w:r>
      <w:r w:rsidR="008A350F">
        <w:rPr>
          <w:i/>
          <w:iCs/>
          <w:vertAlign w:val="superscript"/>
        </w:rPr>
        <w:t>R</w:t>
      </w:r>
      <w:r w:rsidR="008A350F">
        <w:t xml:space="preserve">) may be preferred; for </w:t>
      </w:r>
      <w:proofErr w:type="gramStart"/>
      <w:r w:rsidR="008A350F">
        <w:t>example</w:t>
      </w:r>
      <w:proofErr w:type="gramEnd"/>
      <w:r w:rsidR="008A350F">
        <w:t xml:space="preserve"> in the soil dataset, fine-scale differences in composition may be obscured by random variation in microbial load. </w:t>
      </w:r>
    </w:p>
    <w:p w14:paraId="7133A012" w14:textId="602AEB1D" w:rsidR="0007048F" w:rsidRDefault="008A350F" w:rsidP="008F6E0E">
      <w:pPr>
        <w:spacing w:line="360" w:lineRule="auto"/>
        <w:ind w:firstLine="720"/>
      </w:pPr>
      <w:r>
        <w:t>In many systems, microbial biomass is one piece of the story, likely correlated to other variables being tested</w:t>
      </w:r>
      <w:r>
        <w:rPr>
          <w:rFonts w:eastAsiaTheme="minorEastAsia"/>
        </w:rPr>
        <w:t>.</w:t>
      </w:r>
      <w:r>
        <w:t xml:space="preserve"> If the importance of microbia</w:t>
      </w:r>
      <w:r w:rsidR="008E17D7">
        <w:t>l</w:t>
      </w:r>
      <w:r>
        <w:t xml:space="preserve"> load in the system is unknown, o</w:t>
      </w:r>
      <w:r w:rsidR="00042DC3">
        <w:t xml:space="preserve">ne </w:t>
      </w:r>
      <w:r w:rsidR="00042DC3">
        <w:lastRenderedPageBreak/>
        <w:t>potential approac</w:t>
      </w:r>
      <w:r>
        <w:t>h</w:t>
      </w:r>
      <w:r w:rsidR="00042DC3">
        <w:t xml:space="preserve"> is to calculate correlations as demonstrated in Fig. 3B and select an </w:t>
      </w:r>
      <m:oMath>
        <m:r>
          <w:rPr>
            <w:rFonts w:ascii="Cambria Math" w:hAnsi="Cambria Math"/>
          </w:rPr>
          <m:t>α</m:t>
        </m:r>
      </m:oMath>
      <w:r w:rsidR="00042DC3">
        <w:t xml:space="preserve"> prior to any ordinations or statistical testing. </w:t>
      </w:r>
      <w:r w:rsidR="00DB4875">
        <w:t xml:space="preserve">Again, correlation to cell count is valuable and is intrinsic to absolute abundance-aware measures, </w:t>
      </w:r>
      <w:r w:rsidR="00042DC3">
        <w:t>especially when microbial load is relevant to the hypotheses being tested. C</w:t>
      </w:r>
      <w:r w:rsidR="00F86279">
        <w:t xml:space="preserve">orrelations to cell count in </w:t>
      </w:r>
      <w:r w:rsidR="00F86279">
        <w:rPr>
          <w:i/>
          <w:iCs/>
        </w:rPr>
        <w:t>BC</w:t>
      </w:r>
      <w:r w:rsidR="00F86279">
        <w:rPr>
          <w:i/>
          <w:iCs/>
          <w:vertAlign w:val="superscript"/>
        </w:rPr>
        <w:t>A</w:t>
      </w:r>
      <w:r w:rsidR="00F86279">
        <w:rPr>
          <w:i/>
          <w:iCs/>
        </w:rPr>
        <w:t>,</w:t>
      </w:r>
      <w:r w:rsidR="00F86279">
        <w:t xml:space="preserve"> an accepted approach in the literature</w:t>
      </w:r>
      <w:r w:rsidR="00042DC3">
        <w:t>,</w:t>
      </w:r>
      <w:r w:rsidR="00F86279">
        <w:t xml:space="preserve"> range</w:t>
      </w:r>
      <w:r w:rsidR="00042DC3">
        <w:t>d</w:t>
      </w:r>
      <w:r w:rsidR="00F86279">
        <w:t xml:space="preserve"> from ~0.5 up to ~0.8</w:t>
      </w:r>
      <w:r w:rsidR="00042DC3">
        <w:t xml:space="preserve">. As a general recommendation from these analyses, we recommend </w:t>
      </w:r>
      <m:oMath>
        <m:r>
          <w:rPr>
            <w:rFonts w:ascii="Cambria Math" w:hAnsi="Cambria Math"/>
          </w:rPr>
          <m:t>α</m:t>
        </m:r>
      </m:oMath>
      <w:r w:rsidR="00042DC3">
        <w:t xml:space="preserve"> values in an intermediate range from 0.</w:t>
      </w:r>
      <w:r w:rsidR="008E17D7">
        <w:t>1</w:t>
      </w:r>
      <w:r w:rsidR="00042DC3">
        <w:t xml:space="preserve"> up to 0.</w:t>
      </w:r>
      <w:r w:rsidR="008E17D7">
        <w:t>6</w:t>
      </w:r>
      <w:r w:rsidR="00DB4875">
        <w:t xml:space="preserve">, wherein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00DB4875">
        <w:rPr>
          <w:rFonts w:eastAsiaTheme="minorEastAsia"/>
        </w:rPr>
        <w:t xml:space="preserve"> has similar correlation to cell count as </w:t>
      </w:r>
      <w:r w:rsidR="00DB4875">
        <w:rPr>
          <w:i/>
          <w:iCs/>
        </w:rPr>
        <w:t>BC</w:t>
      </w:r>
      <w:r w:rsidR="00DB4875">
        <w:rPr>
          <w:i/>
          <w:iCs/>
          <w:vertAlign w:val="superscript"/>
        </w:rPr>
        <w:t>A</w:t>
      </w:r>
      <w:r w:rsidR="00042DC3">
        <w:t>.</w:t>
      </w:r>
      <w:r w:rsidR="00B64A34" w:rsidRPr="0007048F" w:rsidDel="00B64A34">
        <w:t xml:space="preserve"> </w:t>
      </w:r>
    </w:p>
    <w:p w14:paraId="008924E5" w14:textId="7D4C7C7D" w:rsidR="008E17D7" w:rsidRPr="006A381E" w:rsidRDefault="008E17D7" w:rsidP="008F6E0E">
      <w:pPr>
        <w:spacing w:line="360" w:lineRule="auto"/>
        <w:rPr>
          <w:b/>
          <w:bCs/>
        </w:rPr>
      </w:pPr>
      <w:r>
        <w:rPr>
          <w:b/>
          <w:bCs/>
        </w:rPr>
        <w:t xml:space="preserve">Computational and Methodological Considerations </w:t>
      </w:r>
    </w:p>
    <w:p w14:paraId="190E19DD" w14:textId="77777777" w:rsidR="00B25A30" w:rsidRDefault="00B25A30" w:rsidP="008F6E0E">
      <w:pPr>
        <w:spacing w:line="360" w:lineRule="auto"/>
        <w:ind w:firstLine="720"/>
      </w:pPr>
      <w:r>
        <w:t xml:space="preserve">Applying </w:t>
      </w:r>
      <w:r>
        <w:rPr>
          <w:i/>
          <w:iCs/>
        </w:rPr>
        <w:t>GU</w:t>
      </w:r>
      <w:r>
        <w:rPr>
          <w:i/>
          <w:iCs/>
          <w:vertAlign w:val="superscript"/>
        </w:rPr>
        <w:t>A</w:t>
      </w:r>
      <w:r>
        <w:t xml:space="preserve"> in practice raises several considerations related to sequencing depth, richness, and computational cost. Both Bray-Curtis and </w:t>
      </w:r>
      <w:proofErr w:type="spellStart"/>
      <w:r>
        <w:t>UniFrac</w:t>
      </w:r>
      <w:proofErr w:type="spellEnd"/>
      <w:r>
        <w:t xml:space="preserve"> can be sensitive to sequencing depth because richness varies with read count </w:t>
      </w:r>
      <w:r>
        <w:fldChar w:fldCharType="begin"/>
      </w:r>
      <w:r>
        <w: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fldChar w:fldCharType="separate"/>
      </w:r>
      <w:r w:rsidRPr="00210DF7">
        <w:rPr>
          <w:rFonts w:cs="Times New Roman"/>
          <w:kern w:val="0"/>
        </w:rPr>
        <w:t>[17–19]</w:t>
      </w:r>
      <w:r>
        <w:fldChar w:fldCharType="end"/>
      </w:r>
      <w:r>
        <w:t xml:space="preserve">. To address this, we provide a workflow and accompanying code describing how we incorporated rarefaction into our own analyses (Box 2; available code). This approach minimizes sequencing-depth biases while preserving abundance scaling for downstream </w:t>
      </w:r>
      <m:oMath>
        <m:r>
          <w:rPr>
            <w:rFonts w:ascii="Cambria Math" w:hAnsi="Cambria Math"/>
          </w:rPr>
          <m:t>β</m:t>
        </m:r>
      </m:oMath>
      <w:r>
        <w:t xml:space="preserve">-diversity analysis. </w:t>
      </w:r>
    </w:p>
    <w:p w14:paraId="08449A29" w14:textId="08C8AD26" w:rsidR="00F81530" w:rsidRPr="00620593" w:rsidRDefault="00B25A30" w:rsidP="008F6E0E">
      <w:pPr>
        <w:spacing w:line="360" w:lineRule="auto"/>
        <w:ind w:firstLine="720"/>
        <w:rPr>
          <w:iCs/>
        </w:rPr>
      </w:pPr>
      <w:r>
        <w:t xml:space="preserve">To explore the sensitivity of </w:t>
      </w:r>
      <w:r>
        <w:rPr>
          <w:i/>
          <w:iCs/>
        </w:rPr>
        <w:t>GU</w:t>
      </w:r>
      <w:r>
        <w:rPr>
          <w:i/>
          <w:iCs/>
          <w:vertAlign w:val="superscript"/>
        </w:rPr>
        <w:t>A</w:t>
      </w:r>
      <w:r>
        <w:t xml:space="preserve"> to rarefaction, we calculated </w:t>
      </w:r>
      <w:r>
        <w:rPr>
          <w:i/>
          <w:iCs/>
        </w:rPr>
        <w:t>GU</w:t>
      </w:r>
      <w:r>
        <w:rPr>
          <w:i/>
          <w:iCs/>
          <w:vertAlign w:val="superscript"/>
        </w:rPr>
        <w:t>A</w:t>
      </w:r>
      <w:r>
        <w:t xml:space="preserve"> using rarefaction at multiple sequencing </w:t>
      </w:r>
      <w:proofErr w:type="gramStart"/>
      <w:r>
        <w:t>depths, and</w:t>
      </w:r>
      <w:proofErr w:type="gramEnd"/>
      <w:r>
        <w:t xml:space="preserve"> used Mantel tests to assess the correlation between the rarefied </w:t>
      </w:r>
      <w:r>
        <w:rPr>
          <w:i/>
          <w:iCs/>
        </w:rPr>
        <w:t>GU</w:t>
      </w:r>
      <w:r>
        <w:rPr>
          <w:i/>
          <w:iCs/>
          <w:vertAlign w:val="superscript"/>
        </w:rPr>
        <w:t>A</w:t>
      </w:r>
      <w:r>
        <w:t xml:space="preserve"> distance matrices the non-rarefied control (Fig. S4; supplemental methods). </w:t>
      </w:r>
      <w:r>
        <w:rPr>
          <w:i/>
          <w:iCs/>
        </w:rPr>
        <w:t>GU</w:t>
      </w:r>
      <w:r>
        <w:rPr>
          <w:i/>
          <w:iCs/>
          <w:vertAlign w:val="superscript"/>
        </w:rPr>
        <w:t>A</w:t>
      </w:r>
      <w:r>
        <w:t xml:space="preserve"> was largely insensitive to rarefaction at high </w:t>
      </w:r>
      <m:oMath>
        <m:r>
          <w:rPr>
            <w:rFonts w:ascii="Cambria Math" w:hAnsi="Cambria Math"/>
          </w:rPr>
          <m:t>α</m:t>
        </m:r>
      </m:oMath>
      <w:r>
        <w:t xml:space="preserve"> values</w:t>
      </w:r>
      <w:r>
        <w:rPr>
          <w:rFonts w:eastAsiaTheme="minorEastAsia"/>
        </w:rPr>
        <w:t>, even at depths as low as 250 reads per sample, but sensitivity increased as</w:t>
      </w:r>
      <w:r>
        <w:t xml:space="preserve"> </w:t>
      </w:r>
      <m:oMath>
        <m:r>
          <w:rPr>
            <w:rFonts w:ascii="Cambria Math" w:hAnsi="Cambria Math"/>
          </w:rPr>
          <m:t>α</m:t>
        </m:r>
      </m:oMath>
      <w:r>
        <w:t xml:space="preserve"> decreased (Fig. S4). When rarefying to the minimum sequencing depth, as recommended, the effect of rarefaction was negligible (all Mantel’s R &gt; 0.95, Fig. S4).</w:t>
      </w:r>
    </w:p>
    <w:p w14:paraId="7BFE8391" w14:textId="6141833E" w:rsidR="00F81530" w:rsidRDefault="00F81530" w:rsidP="008F6E0E">
      <w:pPr>
        <w:spacing w:line="360" w:lineRule="auto"/>
      </w:pPr>
      <w:r>
        <w:tab/>
      </w:r>
      <w:r>
        <w:rPr>
          <w:i/>
          <w:iCs/>
        </w:rPr>
        <w:t>GU</w:t>
      </w:r>
      <w:r>
        <w:rPr>
          <w:i/>
          <w:iCs/>
          <w:vertAlign w:val="superscript"/>
        </w:rPr>
        <w:t xml:space="preserve">A </w:t>
      </w:r>
      <w:r>
        <w:t xml:space="preserve">is slower </w:t>
      </w:r>
      <w:r w:rsidR="00FF50D0">
        <w:t xml:space="preserve">to compute </w:t>
      </w:r>
      <w:r>
        <w:t>than</w:t>
      </w:r>
      <w:r w:rsidR="00425EC1">
        <w:t xml:space="preserve"> both</w:t>
      </w:r>
      <w:r>
        <w:t xml:space="preserve"> </w:t>
      </w:r>
      <w:r w:rsidR="00FF50D0">
        <w:rPr>
          <w:i/>
          <w:iCs/>
        </w:rPr>
        <w:t>BC</w:t>
      </w:r>
      <w:r w:rsidR="00FF50D0">
        <w:rPr>
          <w:i/>
          <w:iCs/>
          <w:vertAlign w:val="superscript"/>
        </w:rPr>
        <w:t xml:space="preserve">A </w:t>
      </w:r>
      <w:r w:rsidR="00FF50D0">
        <w:t xml:space="preserve">and </w:t>
      </w:r>
      <w:r w:rsidR="00FF50D0">
        <w:rPr>
          <w:i/>
          <w:iCs/>
        </w:rPr>
        <w:t>U</w:t>
      </w:r>
      <w:r w:rsidR="00FF50D0">
        <w:rPr>
          <w:i/>
          <w:iCs/>
          <w:vertAlign w:val="superscript"/>
        </w:rPr>
        <w:t xml:space="preserve">R </w:t>
      </w:r>
      <w:r w:rsidR="001D13C8">
        <w:t>because it must traverse the phylogenetic tree to calculate branch lengths for each iteration</w:t>
      </w:r>
      <w:r w:rsidR="00FF50D0">
        <w:t xml:space="preserve">. </w:t>
      </w:r>
      <w:r w:rsidR="001D13C8">
        <w:t>Computational time of</w:t>
      </w:r>
      <w:r w:rsidR="00FF50D0">
        <w:t xml:space="preserve"> </w:t>
      </w:r>
      <w:r w:rsidR="00FF50D0">
        <w:rPr>
          <w:i/>
          <w:iCs/>
        </w:rPr>
        <w:t>GU</w:t>
      </w:r>
      <w:r w:rsidR="00FF50D0">
        <w:rPr>
          <w:i/>
          <w:iCs/>
          <w:vertAlign w:val="superscript"/>
        </w:rPr>
        <w:t>A</w:t>
      </w:r>
      <w:r w:rsidR="00FF50D0">
        <w:rPr>
          <w:i/>
          <w:iCs/>
        </w:rPr>
        <w:t xml:space="preserve"> </w:t>
      </w:r>
      <w:r w:rsidR="001D13C8">
        <w:t xml:space="preserve">increases quadratically with ASV number and </w:t>
      </w:r>
      <w:r w:rsidR="00FF50D0">
        <w:t xml:space="preserve">is </w:t>
      </w:r>
      <w:r w:rsidR="00FE2461">
        <w:t xml:space="preserve">10-20 times slower, though up to 50 times slower, than </w:t>
      </w:r>
      <w:r w:rsidR="00FE2461">
        <w:rPr>
          <w:i/>
          <w:iCs/>
        </w:rPr>
        <w:t>BC</w:t>
      </w:r>
      <w:r w:rsidR="00FE2461">
        <w:rPr>
          <w:i/>
          <w:iCs/>
          <w:vertAlign w:val="superscript"/>
        </w:rPr>
        <w:t>A</w:t>
      </w:r>
      <w:r w:rsidR="001D13C8">
        <w:rPr>
          <w:i/>
          <w:iCs/>
          <w:vertAlign w:val="superscript"/>
        </w:rPr>
        <w:t xml:space="preserve"> </w:t>
      </w:r>
      <w:r w:rsidR="001D13C8">
        <w:t>(Fig. 4A-B).</w:t>
      </w:r>
      <w:r w:rsidR="00FF50D0">
        <w:t xml:space="preserve"> </w:t>
      </w:r>
      <w:r w:rsidR="001D13C8">
        <w:t xml:space="preserve">The </w:t>
      </w:r>
      <w:r w:rsidR="00FF50D0">
        <w:t xml:space="preserve">number of samples or </w:t>
      </w:r>
      <m:oMath>
        <m:r>
          <w:rPr>
            <w:rFonts w:ascii="Cambria Math" w:hAnsi="Cambria Math"/>
          </w:rPr>
          <m:t>α</m:t>
        </m:r>
      </m:oMath>
      <w:r w:rsidR="00FF50D0">
        <w:t xml:space="preserve"> values</w:t>
      </w:r>
      <w:r w:rsidR="001D13C8">
        <w:t>, however, have relatively little effect on runtime (</w:t>
      </w:r>
      <w:r w:rsidR="00620593">
        <w:t>Fig. S5</w:t>
      </w:r>
      <w:r w:rsidR="001D13C8">
        <w:t>).</w:t>
      </w:r>
      <w:r w:rsidR="00FF50D0">
        <w:t xml:space="preserve"> </w:t>
      </w:r>
      <w:r w:rsidR="001D13C8">
        <w:t>For a dataset of</w:t>
      </w:r>
      <w:r w:rsidR="00FF50D0">
        <w:t xml:space="preserve"> </w:t>
      </w:r>
      <w:r w:rsidR="00FE2461">
        <w:t>24</w:t>
      </w:r>
      <w:r w:rsidR="00FF50D0">
        <w:t>,000 ASV</w:t>
      </w:r>
      <w:r w:rsidR="001D13C8">
        <w:t>s, computing on a single CPU is still reasonable</w:t>
      </w:r>
      <w:r w:rsidR="00FF50D0">
        <w:t xml:space="preserve"> (</w:t>
      </w:r>
      <w:r w:rsidR="00FE2461">
        <w:t>1.4</w:t>
      </w:r>
      <w:r w:rsidR="00FF50D0">
        <w:t xml:space="preserve"> minutes), </w:t>
      </w:r>
      <w:r w:rsidR="001D13C8">
        <w:t>but repeated rarefaction increases runtime substantially because</w:t>
      </w:r>
      <w:r w:rsidR="00FF50D0">
        <w:t xml:space="preserve"> branch lengths are redundantly calculated </w:t>
      </w:r>
      <w:r w:rsidR="001D13C8">
        <w:t>with each iteration</w:t>
      </w:r>
      <w:r w:rsidR="00FF50D0">
        <w:t xml:space="preserve">. </w:t>
      </w:r>
      <w:r w:rsidR="001D13C8">
        <w:t xml:space="preserve">Allowing branch-length objects to be cached or incorporated directly </w:t>
      </w:r>
      <w:r w:rsidR="00FF50D0">
        <w:t xml:space="preserve">into the </w:t>
      </w:r>
      <w:proofErr w:type="spellStart"/>
      <w:r w:rsidR="00FF50D0">
        <w:t>GUnifrac</w:t>
      </w:r>
      <w:proofErr w:type="spellEnd"/>
      <w:r w:rsidR="00FF50D0">
        <w:t xml:space="preserve"> </w:t>
      </w:r>
      <w:r w:rsidR="001D13C8">
        <w:t xml:space="preserve">workflow would considerably </w:t>
      </w:r>
      <w:r w:rsidR="00FF50D0">
        <w:t xml:space="preserve">improve computational efficiency. </w:t>
      </w:r>
    </w:p>
    <w:p w14:paraId="5F0EF64C" w14:textId="21297B73" w:rsidR="001D13C8" w:rsidRPr="006A381E" w:rsidRDefault="001D13C8" w:rsidP="008F6E0E">
      <w:pPr>
        <w:spacing w:line="360" w:lineRule="auto"/>
        <w:ind w:firstLine="720"/>
      </w:pPr>
      <w:r>
        <w:lastRenderedPageBreak/>
        <w:t xml:space="preserve">We also evaluated the sensitivity of </w:t>
      </w:r>
      <w:r>
        <w:rPr>
          <w:i/>
          <w:iCs/>
        </w:rPr>
        <w:t>GU</w:t>
      </w:r>
      <w:r>
        <w:rPr>
          <w:i/>
          <w:iCs/>
          <w:vertAlign w:val="superscript"/>
        </w:rPr>
        <w:t>A</w:t>
      </w:r>
      <w:r>
        <w:t xml:space="preserve"> to measurement error in absolute abundance due to </w:t>
      </w:r>
      <w:r w:rsidR="00FF50D0">
        <w:t>uncertainty arising from the quantification of cell number o</w:t>
      </w:r>
      <w:r w:rsidR="00210DF7">
        <w:t>r</w:t>
      </w:r>
      <w:r w:rsidR="00FF50D0">
        <w:t xml:space="preserve"> 16S copy number. To assess the sensitivity of </w:t>
      </w:r>
      <w:r w:rsidR="00FF50D0">
        <w:rPr>
          <w:i/>
          <w:iCs/>
        </w:rPr>
        <w:t>GU</w:t>
      </w:r>
      <w:r w:rsidR="00FF50D0">
        <w:rPr>
          <w:i/>
          <w:iCs/>
          <w:vertAlign w:val="superscript"/>
        </w:rPr>
        <w:t xml:space="preserve">A </w:t>
      </w:r>
      <w:r w:rsidR="00FF50D0">
        <w:t xml:space="preserve">and </w:t>
      </w:r>
      <w:r w:rsidR="00FF50D0">
        <w:rPr>
          <w:i/>
          <w:iCs/>
        </w:rPr>
        <w:t>BC</w:t>
      </w:r>
      <w:r w:rsidR="00FF50D0">
        <w:rPr>
          <w:i/>
          <w:iCs/>
          <w:vertAlign w:val="superscript"/>
        </w:rPr>
        <w:t>A</w:t>
      </w:r>
      <w:r w:rsidR="00FF50D0">
        <w:rPr>
          <w:i/>
          <w:iCs/>
        </w:rPr>
        <w:t xml:space="preserve"> </w:t>
      </w:r>
      <w:r w:rsidR="00FF50D0">
        <w:t xml:space="preserve">to measurement error, we added random error to the 16S copy number measurements from the mouse gut dataset, limiting our analyses to the stool samples where copy numbers varied by an order of magnitude. Across 50 iterations, each copy number could randomly vary by a given percentage of error in either direction. We re-calculated </w:t>
      </w:r>
      <m:oMath>
        <m:r>
          <w:rPr>
            <w:rFonts w:ascii="Cambria Math" w:hAnsi="Cambria Math"/>
          </w:rPr>
          <m:t>β</m:t>
        </m:r>
      </m:oMath>
      <w:r w:rsidR="00FF50D0" w:rsidRPr="0007048F">
        <w:t>-diversity</w:t>
      </w:r>
      <w:r w:rsidR="00FF50D0">
        <w:t xml:space="preserve"> (</w:t>
      </w:r>
      <w:r w:rsidR="00FF50D0">
        <w:rPr>
          <w:i/>
          <w:iCs/>
        </w:rPr>
        <w:t>BC</w:t>
      </w:r>
      <w:r w:rsidR="00FF50D0">
        <w:rPr>
          <w:i/>
          <w:iCs/>
          <w:vertAlign w:val="superscript"/>
        </w:rPr>
        <w:t>A</w:t>
      </w:r>
      <w:r w:rsidR="00FF50D0">
        <w:rPr>
          <w:i/>
          <w:iCs/>
        </w:rPr>
        <w:t xml:space="preserve"> </w:t>
      </w:r>
      <w:r w:rsidR="00FF50D0" w:rsidRPr="006A381E">
        <w:t>and</w:t>
      </w:r>
      <w:r w:rsidR="00FF50D0">
        <w:rPr>
          <w:i/>
          <w:iCs/>
        </w:rPr>
        <w:t xml:space="preserve"> GU</w:t>
      </w:r>
      <w:r w:rsidR="00FF50D0">
        <w:rPr>
          <w:i/>
          <w:iCs/>
          <w:vertAlign w:val="superscript"/>
        </w:rPr>
        <w:t>A</w:t>
      </w:r>
      <w:r w:rsidR="00FF50D0">
        <w:rPr>
          <w:i/>
          <w:iCs/>
        </w:rPr>
        <w:t xml:space="preserve"> </w:t>
      </w:r>
      <w:r w:rsidR="00FF50D0" w:rsidRPr="006A381E">
        <w:t>at</w:t>
      </w:r>
      <w:r w:rsidR="00FF50D0">
        <w:rPr>
          <w:i/>
          <w:iCs/>
        </w:rPr>
        <w:t xml:space="preserve"> </w:t>
      </w:r>
      <m:oMath>
        <m:r>
          <w:rPr>
            <w:rFonts w:ascii="Cambria Math" w:hAnsi="Cambria Math"/>
          </w:rPr>
          <m:t>α</m:t>
        </m:r>
      </m:oMath>
      <w:r w:rsidR="00FF50D0">
        <w:t xml:space="preserve"> = 1 and </w:t>
      </w:r>
      <m:oMath>
        <m:r>
          <w:rPr>
            <w:rFonts w:ascii="Cambria Math" w:hAnsi="Cambria Math"/>
          </w:rPr>
          <m:t>α</m:t>
        </m:r>
      </m:oMath>
      <w:r w:rsidR="00FF50D0">
        <w:t xml:space="preserve"> = 0.2) and compared these measurements to the original dataset. </w:t>
      </w:r>
    </w:p>
    <w:p w14:paraId="6A1A37C0" w14:textId="4BE998D7" w:rsidR="00693D9A" w:rsidRDefault="001D13C8" w:rsidP="008F6E0E">
      <w:pPr>
        <w:spacing w:line="360" w:lineRule="auto"/>
        <w:ind w:firstLine="720"/>
        <w:rPr>
          <w:rFonts w:eastAsiaTheme="minorEastAsia"/>
        </w:rPr>
      </w:pPr>
      <w:r w:rsidRPr="006A381E">
        <w:rPr>
          <w:rFonts w:cs="Times New Roman"/>
          <w:kern w:val="0"/>
        </w:rPr>
        <w:t>Introducing random variation into measured 16S copy number altered</w:t>
      </w:r>
      <w:r>
        <w:rPr>
          <w:rFonts w:cs="Times New Roman"/>
          <w:kern w:val="0"/>
        </w:rPr>
        <w:t xml:space="preserve"> </w:t>
      </w:r>
      <w:r>
        <w:rPr>
          <w:i/>
          <w:iCs/>
        </w:rPr>
        <w:t>GU</w:t>
      </w:r>
      <w:r>
        <w:rPr>
          <w:i/>
          <w:iCs/>
          <w:vertAlign w:val="superscript"/>
        </w:rPr>
        <w:t>A</w:t>
      </w:r>
      <w:r w:rsidRPr="006A381E">
        <w:rPr>
          <w:rFonts w:cs="Times New Roman"/>
          <w:kern w:val="0"/>
        </w:rPr>
        <w:t xml:space="preserve"> values only modestly, and the effect was proportional to the magnitude of the added noise (Fig. 4C–D). At α = 1, each 1% of quantification error introduced an average difference of 0.0022 in </w:t>
      </w:r>
      <w:r w:rsidR="00DB4875">
        <w:rPr>
          <w:i/>
          <w:iCs/>
        </w:rPr>
        <w:t>GU</w:t>
      </w:r>
      <w:r w:rsidR="00DB4875">
        <w:rPr>
          <w:i/>
          <w:iCs/>
          <w:vertAlign w:val="superscript"/>
        </w:rPr>
        <w:t>A</w:t>
      </w:r>
      <w:r w:rsidRPr="006A381E">
        <w:rPr>
          <w:rFonts w:cs="Times New Roman"/>
          <w:kern w:val="0"/>
        </w:rPr>
        <w:t xml:space="preserve">; at α = 0.2, </w:t>
      </w:r>
      <w:r w:rsidR="00DB4875">
        <w:rPr>
          <w:i/>
          <w:iCs/>
        </w:rPr>
        <w:t>GU</w:t>
      </w:r>
      <w:r w:rsidR="00DB4875">
        <w:rPr>
          <w:i/>
          <w:iCs/>
          <w:vertAlign w:val="superscript"/>
        </w:rPr>
        <w:t>A</w:t>
      </w:r>
      <w:r w:rsidRPr="006A381E">
        <w:rPr>
          <w:rFonts w:cs="Times New Roman"/>
          <w:kern w:val="0"/>
        </w:rPr>
        <w:t xml:space="preserve"> was even less sensitive. Thus, moderate α values provide a balance between interpretability and robustness to noise in absolute quantification.</w:t>
      </w:r>
      <w:r>
        <w:rPr>
          <w:rFonts w:cs="Times New Roman"/>
        </w:rPr>
        <w:t xml:space="preserve"> </w:t>
      </w:r>
      <w:r w:rsidR="000E114E">
        <w:rPr>
          <w:rFonts w:eastAsiaTheme="minorEastAsia"/>
        </w:rPr>
        <w:t>The max d</w:t>
      </w:r>
      <w:r w:rsidR="006B7ABE">
        <w:rPr>
          <w:rFonts w:eastAsiaTheme="minorEastAsia"/>
        </w:rPr>
        <w:t>eviation from true</w:t>
      </w:r>
      <w:r w:rsidR="000E114E">
        <w:rPr>
          <w:rFonts w:eastAsiaTheme="minorEastAsia"/>
        </w:rPr>
        <w:t xml:space="preserve"> that added error could </w:t>
      </w:r>
      <w:r w:rsidR="006B7ABE">
        <w:rPr>
          <w:rFonts w:eastAsiaTheme="minorEastAsia"/>
        </w:rPr>
        <w:t>inflict on a given metric was also proportional (and always less) than the magnitude of the error itself (Fig. 4D)</w:t>
      </w:r>
      <w:r>
        <w:rPr>
          <w:rFonts w:eastAsiaTheme="minorEastAsia"/>
        </w:rPr>
        <w:t xml:space="preserve">. </w:t>
      </w:r>
      <w:r w:rsidR="006B7ABE">
        <w:rPr>
          <w:rFonts w:eastAsiaTheme="minorEastAsia"/>
        </w:rPr>
        <w:t>A more rigorous approach to assessing error propagation within these metrics, including mathematical proofs of the relationships estimated above, is outside the scope of this paper but would be helpful.</w:t>
      </w:r>
    </w:p>
    <w:p w14:paraId="0CFAD39F" w14:textId="77777777" w:rsidR="00B25A30" w:rsidRPr="00206EE1" w:rsidRDefault="00B25A30" w:rsidP="008F6E0E">
      <w:pPr>
        <w:spacing w:line="360" w:lineRule="auto"/>
        <w:ind w:firstLine="720"/>
        <w:rPr>
          <w:rFonts w:eastAsiaTheme="minorEastAsia"/>
        </w:rPr>
      </w:pPr>
      <w:r>
        <w:rPr>
          <w:i/>
          <w:iCs/>
        </w:rPr>
        <w:t>GU</w:t>
      </w:r>
      <w:r>
        <w:rPr>
          <w:i/>
          <w:iCs/>
          <w:vertAlign w:val="superscript"/>
        </w:rPr>
        <w:t>A</w:t>
      </w:r>
      <w:r>
        <w:rPr>
          <w:i/>
          <w:iCs/>
        </w:rPr>
        <w:t xml:space="preserve"> </w:t>
      </w:r>
      <w:r>
        <w:t xml:space="preserve">was also insensitive to normalization approaches that adjust ASV abundances based on the predicted 16S rRNA gene copy number (Fig. S6; supplemental methods). We used PICRUSt2 (v2.6) to normalize ASV abundances within each dataset based on predicted 16S copy number per genome, and then applied our standard rarefaction pipeline prior to </w:t>
      </w:r>
      <w:r>
        <w:rPr>
          <w:i/>
          <w:iCs/>
        </w:rPr>
        <w:t>GU</w:t>
      </w:r>
      <w:r>
        <w:rPr>
          <w:i/>
          <w:iCs/>
          <w:vertAlign w:val="superscript"/>
        </w:rPr>
        <w:t>A</w:t>
      </w:r>
      <w:r>
        <w:t xml:space="preserve"> calculation  (Box 2) </w:t>
      </w:r>
      <w:r>
        <w:fldChar w:fldCharType="begin"/>
      </w:r>
      <w:r>
        <w: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Correlations between </w:t>
      </w:r>
      <w:r>
        <w:rPr>
          <w:i/>
          <w:iCs/>
        </w:rPr>
        <w:t>GU</w:t>
      </w:r>
      <w:r>
        <w:rPr>
          <w:i/>
          <w:iCs/>
          <w:vertAlign w:val="superscript"/>
        </w:rPr>
        <w:t xml:space="preserve">A </w:t>
      </w:r>
      <w:r>
        <w:t xml:space="preserve">distance matrices calculated from 16S copy number-normalized datasets and those from the original, non-normalized datasets were consistently near unity across all datasets (Mantel’s R &gt; 0.98, Fig. S6A), demonstrating that 16S copy number-normalization had a negligible effect on </w:t>
      </w:r>
      <w:r>
        <w:rPr>
          <w:i/>
          <w:iCs/>
        </w:rPr>
        <w:t>GU</w:t>
      </w:r>
      <w:r>
        <w:rPr>
          <w:i/>
          <w:iCs/>
          <w:vertAlign w:val="superscript"/>
        </w:rPr>
        <w:t>A</w:t>
      </w:r>
      <w:r>
        <w:t xml:space="preserve">. Sensitivity of </w:t>
      </w:r>
      <w:r>
        <w:rPr>
          <w:i/>
          <w:iCs/>
        </w:rPr>
        <w:t>GU</w:t>
      </w:r>
      <w:r>
        <w:rPr>
          <w:i/>
          <w:iCs/>
          <w:vertAlign w:val="superscript"/>
        </w:rPr>
        <w:t>A</w:t>
      </w:r>
      <w:r>
        <w:t xml:space="preserve"> to 16S copy number-normalization generally decreased with increasing values of </w:t>
      </w:r>
      <m:oMath>
        <m:r>
          <w:rPr>
            <w:rFonts w:ascii="Cambria Math" w:hAnsi="Cambria Math"/>
          </w:rPr>
          <m:t>α</m:t>
        </m:r>
      </m:oMath>
      <w:r>
        <w:rPr>
          <w:rFonts w:eastAsiaTheme="minorEastAsia"/>
        </w:rPr>
        <w:t xml:space="preserve"> in the cooling reactor, freshwater, and soil datasets, but not in the mouse gut dataset (Fig. S6A). In the mouse gut dataset, several highly abundant ASVs belonging to the genus </w:t>
      </w:r>
      <w:proofErr w:type="spellStart"/>
      <w:r>
        <w:rPr>
          <w:rFonts w:eastAsiaTheme="minorEastAsia"/>
          <w:i/>
          <w:iCs/>
        </w:rPr>
        <w:t>Faecalibaculum</w:t>
      </w:r>
      <w:proofErr w:type="spellEnd"/>
      <w:r>
        <w:rPr>
          <w:rFonts w:eastAsiaTheme="minorEastAsia"/>
          <w:i/>
          <w:iCs/>
        </w:rPr>
        <w:t xml:space="preserve"> </w:t>
      </w:r>
      <w:r>
        <w:rPr>
          <w:rFonts w:eastAsiaTheme="minorEastAsia"/>
        </w:rPr>
        <w:t>had predicted 16S copy numbers of seven copies per genome, explaining the relatively greater (though still weak) sensitivity of this dataset to copy number-normalization (Fig. S6B). Finally, we note that 16S copy number-</w:t>
      </w:r>
      <w:r>
        <w:rPr>
          <w:rFonts w:eastAsiaTheme="minorEastAsia"/>
        </w:rPr>
        <w:lastRenderedPageBreak/>
        <w:t xml:space="preserve">normalization does not account for variation in genome copies per cell (ploidy), which can vary across several orders of magnitude between species and growth phase </w:t>
      </w:r>
      <w:r>
        <w:rPr>
          <w:rFonts w:eastAsiaTheme="minorEastAsia"/>
        </w:rPr>
        <w:fldChar w:fldCharType="begin"/>
      </w:r>
      <w:r>
        <w:rPr>
          <w:rFonts w:eastAsiaTheme="minorEastAsia"/>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Pr>
          <w:rFonts w:eastAsiaTheme="minorEastAsia"/>
        </w:rPr>
        <w:fldChar w:fldCharType="separate"/>
      </w:r>
      <w:r w:rsidRPr="009E56F5">
        <w:rPr>
          <w:rFonts w:cs="Times New Roman"/>
          <w:kern w:val="0"/>
        </w:rPr>
        <w:t>[22–24]</w:t>
      </w:r>
      <w:r>
        <w:rPr>
          <w:rFonts w:eastAsiaTheme="minorEastAsia"/>
        </w:rPr>
        <w:fldChar w:fldCharType="end"/>
      </w:r>
      <w:r>
        <w:rPr>
          <w:rFonts w:eastAsiaTheme="minorEastAsia"/>
        </w:rPr>
        <w:t>.</w:t>
      </w:r>
    </w:p>
    <w:p w14:paraId="37D7F57D" w14:textId="77777777" w:rsidR="001D13C8" w:rsidRPr="006A381E" w:rsidRDefault="001D13C8" w:rsidP="008F6E0E">
      <w:pPr>
        <w:spacing w:line="360" w:lineRule="auto"/>
        <w:rPr>
          <w:rFonts w:eastAsiaTheme="minorEastAsia"/>
          <w:b/>
          <w:bCs/>
        </w:rPr>
      </w:pPr>
      <w:r w:rsidRPr="006A381E">
        <w:rPr>
          <w:rFonts w:eastAsiaTheme="minorEastAsia"/>
          <w:b/>
          <w:bCs/>
        </w:rPr>
        <w:t>Ecological Interpretation and conceptual significance</w:t>
      </w:r>
    </w:p>
    <w:p w14:paraId="3479E1FD" w14:textId="3255C90C" w:rsidR="001D13C8" w:rsidRPr="006A381E" w:rsidRDefault="001D13C8" w:rsidP="008F6E0E">
      <w:pPr>
        <w:spacing w:line="360" w:lineRule="auto"/>
        <w:ind w:firstLine="504"/>
        <w:rPr>
          <w:sz w:val="20"/>
          <w:szCs w:val="20"/>
        </w:rPr>
      </w:pPr>
      <w:r>
        <w:t xml:space="preserve">Absolute </w:t>
      </w:r>
      <w:proofErr w:type="spellStart"/>
      <w:r>
        <w:t>Uni</w:t>
      </w:r>
      <w:r w:rsidR="000C73B5">
        <w:t>F</w:t>
      </w:r>
      <w:r>
        <w:t>rac</w:t>
      </w:r>
      <w:proofErr w:type="spellEnd"/>
      <w:r>
        <w:t xml:space="preserve"> reframes the interpretation of </w:t>
      </w:r>
      <w:r w:rsidRPr="001061A5">
        <w:rPr>
          <w:i/>
          <w:iCs/>
        </w:rPr>
        <w:t>β</w:t>
      </w:r>
      <w:r w:rsidRPr="00057D48">
        <w:t>-diversity</w:t>
      </w:r>
      <w:r>
        <w:t xml:space="preserve"> by making biomass an explicit ecological axis rather than an unmeasured or normalized-away quantity. Conventional </w:t>
      </w:r>
      <w:proofErr w:type="spellStart"/>
      <w:r>
        <w:t>UniFrac</w:t>
      </w:r>
      <w:proofErr w:type="spellEnd"/>
      <w:r>
        <w:t xml:space="preserve"> capture</w:t>
      </w:r>
      <w:r w:rsidR="00DB4875">
        <w:t>s</w:t>
      </w:r>
      <w:r>
        <w:t xml:space="preserve"> composition and shared evolutionary history but implicitly invites interpretation as if it also encodes differences on microbial load. By incorporating absolute abundance directly, Absolute </w:t>
      </w:r>
      <w:proofErr w:type="spellStart"/>
      <w:r>
        <w:t>UniFrac</w:t>
      </w:r>
      <w:proofErr w:type="spellEnd"/>
      <w:r>
        <w:t xml:space="preserve"> helps to resolve this mismatch and restores alignment between ecological hypotheses and the quantities represented in the metric. In this view, </w:t>
      </w:r>
      <w:r w:rsidRPr="00057D48">
        <w:t>β-diversity</w:t>
      </w:r>
      <w:r>
        <w:t xml:space="preserve"> becomes a three-axis ecological measure, incorporating composition, phylogeny and biomass, rather than a two-axis approximation. That said, the additional dimension of microbial load also increases the complexity of applying and interpreting this metric.</w:t>
      </w:r>
    </w:p>
    <w:p w14:paraId="54E17743" w14:textId="5348A11A" w:rsidR="006B42C1" w:rsidRDefault="00AA63C5" w:rsidP="008F6E0E">
      <w:pPr>
        <w:spacing w:line="360" w:lineRule="auto"/>
        <w:ind w:firstLine="504"/>
      </w:pPr>
      <w:r>
        <w:t>There are many cases where t</w:t>
      </w:r>
      <w:r w:rsidRPr="0007048F">
        <w:t xml:space="preserve">he incorporation of absolute abundance allows microbial ecologists to assess more realistic, </w:t>
      </w:r>
      <w:proofErr w:type="gramStart"/>
      <w:r w:rsidRPr="0007048F">
        <w:t>ecologically-relevant</w:t>
      </w:r>
      <w:proofErr w:type="gramEnd"/>
      <w:r w:rsidRPr="0007048F">
        <w:t xml:space="preserve"> differences in microbial communities, especially </w:t>
      </w:r>
      <w:r w:rsidR="001D13C8">
        <w:t>when</w:t>
      </w:r>
      <w:r w:rsidRPr="0007048F">
        <w:t xml:space="preserve"> </w:t>
      </w:r>
      <w:r w:rsidR="001D13C8">
        <w:t>microbial load is mechanistically central</w:t>
      </w:r>
      <w:r w:rsidRPr="0007048F">
        <w:t>.</w:t>
      </w:r>
      <w:r w:rsidR="006B42C1">
        <w:t xml:space="preserve"> Outside of the datasets re-analyzed here </w:t>
      </w:r>
      <w:r w:rsidR="006B42C1">
        <w:fldChar w:fldCharType="begin"/>
      </w:r>
      <w:r w:rsidR="00A20B2F">
        <w:instrText xml:space="preserve"> ADDIN ZOTERO_ITEM CSL_CITATION {"citationID":"uTULU8fZ","properties":{"formattedCitation":"[3, 5, 9, 10]","plainCitation":"[3, 5, 9, 10]","noteIndex":0},"citationItems":[{"id":1451,"uris":["http://zotero.org/groups/5077571/items/JAZBIWBQ"],"itemData":{"id":1451,"type":"article-journal","abstract":"High-throughput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6B42C1">
        <w:fldChar w:fldCharType="separate"/>
      </w:r>
      <w:r w:rsidR="00A20B2F">
        <w:rPr>
          <w:noProof/>
        </w:rPr>
        <w:t>[3, 5, 9, 10]</w:t>
      </w:r>
      <w:r w:rsidR="006B42C1">
        <w:fldChar w:fldCharType="end"/>
      </w:r>
      <w:r w:rsidR="006B42C1">
        <w:t>;</w:t>
      </w:r>
      <w:r w:rsidRPr="0007048F">
        <w:t xml:space="preserve"> the temporal development of the infant </w:t>
      </w:r>
      <w:r w:rsidR="001D13C8">
        <w:t xml:space="preserve">gut </w:t>
      </w:r>
      <w:r w:rsidRPr="0007048F">
        <w:t>microbiome involves both a rise in absolute abundance and compositional changes</w:t>
      </w:r>
      <w:r>
        <w:t xml:space="preserve"> </w:t>
      </w:r>
      <w:r>
        <w:fldChar w:fldCharType="begin"/>
      </w:r>
      <w:r>
        <w: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instrText>
      </w:r>
      <w:r>
        <w:fldChar w:fldCharType="separate"/>
      </w:r>
      <w:r>
        <w:rPr>
          <w:noProof/>
        </w:rPr>
        <w:t>[6]</w:t>
      </w:r>
      <w:r>
        <w:fldChar w:fldCharType="end"/>
      </w:r>
      <w:r w:rsidRPr="0007048F">
        <w:t xml:space="preserve">; bacteriophage predation in wastewater bioreactors can be understood only when microbial load is considered </w:t>
      </w:r>
      <w:r>
        <w:fldChar w:fldCharType="begin"/>
      </w:r>
      <w:r w:rsidR="009E56F5">
        <w:instrText xml:space="preserve"> ADDIN ZOTERO_ITEM CSL_CITATION {"citationID":"SoXYc4XP","properties":{"formattedCitation":"[25]","plainCitation":"[25]","noteIndex":0},"citationItems":[{"id":2066,"uris":["http://zotero.org/groups/5077571/items/T76SVMUI"],"itemData":{"id":2066,"type":"article-journal","abstract":"Changes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instrText>
      </w:r>
      <w:r>
        <w:fldChar w:fldCharType="separate"/>
      </w:r>
      <w:r w:rsidR="009E56F5">
        <w:rPr>
          <w:noProof/>
        </w:rPr>
        <w:t>[25]</w:t>
      </w:r>
      <w:r>
        <w:fldChar w:fldCharType="end"/>
      </w:r>
      <w:r>
        <w:t xml:space="preserve">; </w:t>
      </w:r>
      <w:r w:rsidRPr="0007048F">
        <w:t>and antibiotic-driven declines in specific swine gut taxa were missed using relative abundance approaches</w:t>
      </w:r>
      <w:r>
        <w:t xml:space="preserve"> </w:t>
      </w:r>
      <w:r>
        <w:fldChar w:fldCharType="begin"/>
      </w:r>
      <w:r w:rsidR="009E56F5">
        <w:instrText xml:space="preserve"> ADDIN ZOTERO_ITEM CSL_CITATION {"citationID":"iCFiKdIH","properties":{"formattedCitation":"[26]","plainCitation":"[26]","noteIndex":0},"citationItems":[{"id":2067,"uris":["http://zotero.org/groups/5077571/items/RCJKTQVA"],"itemData":{"id":2067,"type":"article-journal","abstract":"BackgroundThe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instrText>
      </w:r>
      <w:r>
        <w:fldChar w:fldCharType="separate"/>
      </w:r>
      <w:r w:rsidR="009E56F5">
        <w:rPr>
          <w:noProof/>
        </w:rPr>
        <w:t>[26]</w:t>
      </w:r>
      <w:r>
        <w:fldChar w:fldCharType="end"/>
      </w:r>
      <w:r w:rsidRPr="0007048F">
        <w:t xml:space="preserve">. As </w:t>
      </w:r>
      <m:oMath>
        <m:r>
          <w:rPr>
            <w:rFonts w:ascii="Cambria Math" w:hAnsi="Cambria Math"/>
          </w:rPr>
          <m:t>β</m:t>
        </m:r>
      </m:oMath>
      <w:r w:rsidRPr="0007048F">
        <w:t xml:space="preserve">-diversity metrics (and UniFrac specifically) remain central to microbial ecology, </w:t>
      </w:r>
      <w:r w:rsidR="0092229D">
        <w:t xml:space="preserve">these findings highlight how interpretation changes once biomass is incorporated. Broader adoption of absolute abundance profiling will also depend on data availability. Few studies currently make absolute quantification data publicly accessible, underscoring the need to deposit absolute measurements alongside sequencing reads for reproducibility, ideally as metadata within SRA submissions. </w:t>
      </w:r>
    </w:p>
    <w:p w14:paraId="25270F58" w14:textId="0FE0EBDD" w:rsidR="00AA63C5" w:rsidRDefault="00AA63C5" w:rsidP="008F6E0E">
      <w:pPr>
        <w:spacing w:line="360" w:lineRule="auto"/>
        <w:ind w:firstLine="504"/>
      </w:pPr>
      <w:r w:rsidRPr="0007048F">
        <w:t xml:space="preserve">While demonstrated here with 16S rRNA data, the approach </w:t>
      </w:r>
      <w:r>
        <w:t xml:space="preserve">should </w:t>
      </w:r>
      <w:r w:rsidR="0092229D">
        <w:t>extend</w:t>
      </w:r>
      <w:r w:rsidRPr="0007048F">
        <w:t xml:space="preserve"> to other marker genes or (meta)genomic features, provided absolute abundance estimates are available.</w:t>
      </w:r>
      <w:r w:rsidR="006B42C1">
        <w:t xml:space="preserve"> </w:t>
      </w:r>
      <w:r w:rsidRPr="0007048F">
        <w:t xml:space="preserve">In </w:t>
      </w:r>
      <w:r w:rsidR="0092229D">
        <w:t>this sense</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offers a more </w:t>
      </w:r>
      <w:r w:rsidR="0092229D">
        <w:t xml:space="preserve">ecologically </w:t>
      </w:r>
      <w:r w:rsidRPr="0007048F">
        <w:t xml:space="preserve">grounded </w:t>
      </w:r>
      <w:r w:rsidR="0092229D">
        <w:t>view</w:t>
      </w:r>
      <w:r w:rsidRPr="0007048F">
        <w:t xml:space="preserve"> of lineage </w:t>
      </w:r>
      <w:r w:rsidR="0092229D">
        <w:t>turnover by jointly reflecting variation in biomass and phylogenetic structure.</w:t>
      </w:r>
    </w:p>
    <w:p w14:paraId="666BB825" w14:textId="08F916E4" w:rsidR="00AA63C5" w:rsidRDefault="0092229D" w:rsidP="008F6E0E">
      <w:pPr>
        <w:spacing w:line="360" w:lineRule="auto"/>
        <w:ind w:firstLine="504"/>
        <w:rPr>
          <w:rFonts w:eastAsiaTheme="minorEastAsia"/>
        </w:rPr>
      </w:pPr>
      <w:r>
        <w:lastRenderedPageBreak/>
        <w:t>N</w:t>
      </w:r>
      <w:r w:rsidR="00AA63C5">
        <w:t>o</w:t>
      </w:r>
      <w:r>
        <w:t xml:space="preserve"> single</w:t>
      </w:r>
      <w:r w:rsidR="00AA63C5">
        <w:t xml:space="preserve"> metric (or </w:t>
      </w:r>
      <m:oMath>
        <m:r>
          <w:rPr>
            <w:rFonts w:ascii="Cambria Math" w:hAnsi="Cambria Math"/>
          </w:rPr>
          <m:t>α</m:t>
        </m:r>
      </m:oMath>
      <w:r w:rsidR="00693D9A">
        <w:rPr>
          <w:rFonts w:eastAsiaTheme="minorEastAsia"/>
        </w:rPr>
        <w:t xml:space="preserve"> in </w:t>
      </w:r>
      <w:r w:rsidR="00693D9A">
        <w:rPr>
          <w:rFonts w:eastAsiaTheme="minorEastAsia"/>
          <w:i/>
          <w:iCs/>
        </w:rPr>
        <w:t>GU</w:t>
      </w:r>
      <w:r w:rsidR="00693D9A">
        <w:rPr>
          <w:rFonts w:eastAsiaTheme="minorEastAsia"/>
          <w:i/>
          <w:iCs/>
          <w:vertAlign w:val="superscript"/>
        </w:rPr>
        <w:t>A</w:t>
      </w:r>
      <w:r w:rsidR="00AA63C5">
        <w:rPr>
          <w:noProof/>
        </w:rPr>
        <w:t>)</w:t>
      </w:r>
      <w:r>
        <w:rPr>
          <w:noProof/>
        </w:rPr>
        <w:t xml:space="preserve">, however, </w:t>
      </w:r>
      <w:r w:rsidR="00AA63C5">
        <w:rPr>
          <w:noProof/>
        </w:rPr>
        <w:t xml:space="preserve"> is</w:t>
      </w:r>
      <w:r>
        <w:rPr>
          <w:noProof/>
        </w:rPr>
        <w:t xml:space="preserve"> universally </w:t>
      </w:r>
      <w:r w:rsidR="00AA63C5">
        <w:rPr>
          <w:noProof/>
        </w:rPr>
        <w:t>“be</w:t>
      </w:r>
      <w:r>
        <w:rPr>
          <w:noProof/>
        </w:rPr>
        <w:t>st</w:t>
      </w:r>
      <w:r w:rsidR="00AA63C5">
        <w:rPr>
          <w:noProof/>
        </w:rPr>
        <w:t>”</w:t>
      </w:r>
      <w:r>
        <w:rPr>
          <w:noProof/>
        </w:rPr>
        <w:t xml:space="preserve">. Each </w:t>
      </w:r>
      <w:r w:rsidRPr="00057D48">
        <w:t>β-diversity</w:t>
      </w:r>
      <w:r>
        <w:rPr>
          <w:noProof/>
        </w:rPr>
        <w:t xml:space="preserve"> metric emphasizes a different dimension of community change. Researchers should therefore select </w:t>
      </w:r>
      <w:r>
        <w:t>metrics based on the ecological quantity that is hypothesized to matter most</w:t>
      </w:r>
      <w:r w:rsidR="00DB4875">
        <w:t xml:space="preserve"> (Box 1)</w:t>
      </w:r>
      <w:r>
        <w:t xml:space="preserve">. Here, we demonstrate </w:t>
      </w:r>
      <w:r w:rsidRPr="00C407FA">
        <w:t>not</w:t>
      </w:r>
      <w:r w:rsidRPr="001061A5">
        <w:rPr>
          <w:b/>
          <w:bCs/>
        </w:rPr>
        <w:t xml:space="preserve"> </w:t>
      </w:r>
      <w:r>
        <w:t xml:space="preserve">that </w:t>
      </w:r>
      <w:r w:rsidRPr="001061A5">
        <w:rPr>
          <w:i/>
          <w:iCs/>
        </w:rPr>
        <w:t>GU</w:t>
      </w:r>
      <w:r w:rsidRPr="001061A5">
        <w:rPr>
          <w:i/>
          <w:iCs/>
          <w:vertAlign w:val="superscript"/>
        </w:rPr>
        <w:t>A</w:t>
      </w:r>
      <w:r w:rsidRPr="001061A5">
        <w:rPr>
          <w:i/>
          <w:iCs/>
        </w:rPr>
        <w:t xml:space="preserve"> </w:t>
      </w:r>
      <w:r>
        <w:t xml:space="preserve">outperforms other measures, but that it faithfully incorporates the three axes of variation it was designed to incorporate: composition, phylogenetic similarity, and absolute abundance (Fig. 1 and Fig. 2). </w:t>
      </w:r>
      <w:r w:rsidR="00693D9A">
        <w:t xml:space="preserve">As with any </w:t>
      </w:r>
      <m:oMath>
        <m:r>
          <w:rPr>
            <w:rFonts w:ascii="Cambria Math" w:hAnsi="Cambria Math"/>
          </w:rPr>
          <m:t>β</m:t>
        </m:r>
      </m:oMath>
      <w:r w:rsidR="00693D9A" w:rsidRPr="0007048F">
        <w:t>-diversity</w:t>
      </w:r>
      <w:r w:rsidR="00693D9A">
        <w:t xml:space="preserve"> </w:t>
      </w:r>
      <w:r>
        <w:t>analysis</w:t>
      </w:r>
      <w:r w:rsidR="00693D9A">
        <w:t xml:space="preserve">, </w:t>
      </w:r>
      <w:r>
        <w:t xml:space="preserve">interpretation requires matching the metric to the ecological question </w:t>
      </w:r>
      <w:r w:rsidR="000C73B5">
        <w:t xml:space="preserve">at hand, </w:t>
      </w:r>
      <w:r>
        <w:t xml:space="preserve">and exploring sensitivity across </w:t>
      </w:r>
      <w:r w:rsidR="000C73B5">
        <w:t>different metrics</w:t>
      </w:r>
      <w:r>
        <w:t xml:space="preserve"> where appropriate</w:t>
      </w:r>
      <w:r w:rsidR="00693D9A">
        <w:rPr>
          <w:rFonts w:eastAsiaTheme="minorEastAsia"/>
        </w:rPr>
        <w:t xml:space="preserve"> </w:t>
      </w:r>
      <w:r w:rsidR="00693D9A">
        <w:rPr>
          <w:rFonts w:eastAsiaTheme="minorEastAsia"/>
        </w:rPr>
        <w:fldChar w:fldCharType="begin"/>
      </w:r>
      <w:r w:rsidR="009E56F5">
        <w:rPr>
          <w:rFonts w:eastAsiaTheme="minorEastAsia"/>
        </w:rPr>
        <w:instrText xml:space="preserve"> ADDIN ZOTERO_ITEM CSL_CITATION {"citationID":"cR3kDa6k","properties":{"formattedCitation":"[27]","plainCitation":"[27]","noteIndex":0},"citationItems":[{"id":2068,"uris":["http://zotero.org/groups/5077571/items/LHSHIHDL"],"itemData":{"id":2068,"type":"article-journal","abstract":"Background\nSince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instrText>
      </w:r>
      <w:r w:rsidR="00693D9A">
        <w:rPr>
          <w:rFonts w:eastAsiaTheme="minorEastAsia"/>
        </w:rPr>
        <w:fldChar w:fldCharType="separate"/>
      </w:r>
      <w:r w:rsidR="009E56F5">
        <w:rPr>
          <w:rFonts w:eastAsiaTheme="minorEastAsia"/>
          <w:noProof/>
        </w:rPr>
        <w:t>[27]</w:t>
      </w:r>
      <w:r w:rsidR="00693D9A">
        <w:rPr>
          <w:rFonts w:eastAsiaTheme="minorEastAsia"/>
        </w:rPr>
        <w:fldChar w:fldCharType="end"/>
      </w:r>
      <w:r w:rsidR="00FF313F">
        <w:rPr>
          <w:rFonts w:eastAsiaTheme="minorEastAsia"/>
        </w:rPr>
        <w:t xml:space="preserve">. By providing demonstrations and code for the application and interpretation of </w:t>
      </w:r>
      <w:r w:rsidR="00FF313F">
        <w:rPr>
          <w:rFonts w:eastAsiaTheme="minorEastAsia"/>
          <w:i/>
          <w:iCs/>
        </w:rPr>
        <w:t>U</w:t>
      </w:r>
      <w:r w:rsidR="00FF313F">
        <w:rPr>
          <w:rFonts w:eastAsiaTheme="minorEastAsia"/>
          <w:i/>
          <w:iCs/>
          <w:vertAlign w:val="superscript"/>
        </w:rPr>
        <w:t>A</w:t>
      </w:r>
      <w:r w:rsidR="00FF313F">
        <w:rPr>
          <w:rFonts w:eastAsiaTheme="minorEastAsia"/>
          <w:i/>
          <w:iCs/>
        </w:rPr>
        <w:t>/GU</w:t>
      </w:r>
      <w:r w:rsidR="00FF313F">
        <w:rPr>
          <w:rFonts w:eastAsiaTheme="minorEastAsia"/>
          <w:i/>
          <w:iCs/>
          <w:vertAlign w:val="superscript"/>
        </w:rPr>
        <w:t>A</w:t>
      </w:r>
      <w:r w:rsidR="00FF313F">
        <w:rPr>
          <w:rFonts w:eastAsiaTheme="minorEastAsia"/>
          <w:i/>
          <w:iCs/>
        </w:rPr>
        <w:t xml:space="preserve">, </w:t>
      </w:r>
      <w:r w:rsidR="00FF313F" w:rsidRPr="006A381E">
        <w:rPr>
          <w:rFonts w:eastAsiaTheme="minorEastAsia"/>
        </w:rPr>
        <w:t>we hope to encourage the use of these metrics as a tool of microbial ecology.</w:t>
      </w:r>
    </w:p>
    <w:p w14:paraId="28D739F6" w14:textId="07942D72" w:rsidR="0092229D" w:rsidRPr="001061A5" w:rsidRDefault="0092229D" w:rsidP="008F6E0E">
      <w:pPr>
        <w:spacing w:line="360" w:lineRule="auto"/>
        <w:rPr>
          <w:rFonts w:eastAsiaTheme="minorEastAsia"/>
          <w:b/>
          <w:bCs/>
        </w:rPr>
      </w:pPr>
      <w:r>
        <w:rPr>
          <w:rFonts w:eastAsiaTheme="minorEastAsia"/>
          <w:b/>
          <w:bCs/>
        </w:rPr>
        <w:t>Conclusion</w:t>
      </w:r>
    </w:p>
    <w:p w14:paraId="63D758B9" w14:textId="69B70515" w:rsidR="0092229D" w:rsidRDefault="0092229D" w:rsidP="008F6E0E">
      <w:pPr>
        <w:pStyle w:val="p1"/>
        <w:spacing w:line="360" w:lineRule="auto"/>
        <w:ind w:firstLine="504"/>
      </w:pPr>
      <w:r>
        <w:t xml:space="preserve">By explicitly incorporating absolute abundance, Absolute </w:t>
      </w:r>
      <w:proofErr w:type="spellStart"/>
      <w:r>
        <w:t>UniFrac</w:t>
      </w:r>
      <w:proofErr w:type="spellEnd"/>
      <w:r>
        <w:t xml:space="preserve"> shifts phylogenetic β-diversity from a two-axis approximation to a three-axis ecological measure. This reframing connects the metric to the underlying biological questions that motivate m</w:t>
      </w:r>
      <w:r w:rsidR="000C73B5">
        <w:t>any</w:t>
      </w:r>
      <w:r>
        <w:t xml:space="preserve"> microbiome studies. As methods for quantifying microbial load continue to expand, the ability to interpret β-diversity in a biomass-aware framework will become increasingly important for distinguishing true ecological turnover from proportional change alone. In this way, Absolute </w:t>
      </w:r>
      <w:proofErr w:type="spellStart"/>
      <w:r>
        <w:t>UniFrac</w:t>
      </w:r>
      <w:proofErr w:type="spellEnd"/>
      <w:r>
        <w:t xml:space="preserve"> is not simply an alternative distance metric but a tool for aligning statistical representation with ecological mechanism.</w:t>
      </w:r>
    </w:p>
    <w:p w14:paraId="18FE86AA" w14:textId="77777777" w:rsidR="00615405" w:rsidRPr="0007048F" w:rsidRDefault="00615405" w:rsidP="008F6E0E">
      <w:pPr>
        <w:spacing w:line="360" w:lineRule="auto"/>
      </w:pPr>
      <w:r w:rsidRPr="0007048F">
        <w:rPr>
          <w:b/>
          <w:bCs/>
        </w:rPr>
        <w:t>Author Contribution Statement:</w:t>
      </w:r>
      <w:r w:rsidRPr="0007048F">
        <w:t xml:space="preserve"> Both authors contributed equally to the manuscript.</w:t>
      </w:r>
    </w:p>
    <w:p w14:paraId="7780E5B8" w14:textId="77777777" w:rsidR="00615405" w:rsidRPr="00496696" w:rsidRDefault="00615405" w:rsidP="008F6E0E">
      <w:pPr>
        <w:spacing w:line="360" w:lineRule="auto"/>
        <w:rPr>
          <w:rFonts w:cs="Times New Roman"/>
        </w:rPr>
      </w:pPr>
      <w:r w:rsidRPr="0007048F">
        <w:rPr>
          <w:b/>
          <w:bCs/>
        </w:rPr>
        <w:t>Preprint servers:</w:t>
      </w:r>
      <w:r w:rsidRPr="0007048F">
        <w:t xml:space="preserve"> This article was submitted to </w:t>
      </w:r>
      <w:proofErr w:type="spellStart"/>
      <w:r w:rsidRPr="0007048F">
        <w:rPr>
          <w:i/>
          <w:iCs/>
        </w:rPr>
        <w:t>bioRxiv</w:t>
      </w:r>
      <w:proofErr w:type="spellEnd"/>
      <w:r w:rsidRPr="0007048F">
        <w:t xml:space="preserve"> (</w:t>
      </w:r>
      <w:proofErr w:type="spellStart"/>
      <w:r w:rsidRPr="0007048F">
        <w:t>doi</w:t>
      </w:r>
      <w:proofErr w:type="spellEnd"/>
      <w:r w:rsidRPr="00496696">
        <w:rPr>
          <w:rFonts w:cs="Times New Roman"/>
        </w:rPr>
        <w:t xml:space="preserve">: </w:t>
      </w:r>
      <w:r w:rsidRPr="00496696">
        <w:rPr>
          <w:rFonts w:cs="Times New Roman"/>
          <w:color w:val="333333"/>
          <w:shd w:val="clear" w:color="auto" w:fill="FFFFFF"/>
        </w:rPr>
        <w:t>10.1101/2025.07.18.665540</w:t>
      </w:r>
      <w:r w:rsidRPr="00496696">
        <w:rPr>
          <w:rFonts w:cs="Times New Roman"/>
        </w:rPr>
        <w:t>) under a CC-BY-NC-ND 4.0 International license.</w:t>
      </w:r>
    </w:p>
    <w:p w14:paraId="26F9CC5D" w14:textId="77777777" w:rsidR="00615405" w:rsidRDefault="00615405" w:rsidP="008F6E0E">
      <w:pPr>
        <w:spacing w:line="360" w:lineRule="auto"/>
      </w:pPr>
      <w:r w:rsidRPr="0007048F">
        <w:rPr>
          <w:b/>
          <w:bCs/>
        </w:rPr>
        <w:t>Data Availability:</w:t>
      </w:r>
      <w:r w:rsidRPr="0007048F">
        <w:t xml:space="preserve"> All data and code used to produce the manuscript are available at </w:t>
      </w:r>
      <w:r w:rsidRPr="00496696">
        <w:rPr>
          <w:rFonts w:cs="Times New Roman"/>
        </w:rPr>
        <w:t>https://github.com/MarschmiLab/Pendleton_2025_Absolute_Unifrac_Paper</w:t>
      </w:r>
      <w:r w:rsidRPr="0007048F">
        <w:t xml:space="preserve">, in addition to a reproducible </w:t>
      </w:r>
      <w:proofErr w:type="spellStart"/>
      <w:r w:rsidRPr="0007048F">
        <w:rPr>
          <w:rStyle w:val="VerbatimChar"/>
          <w:rFonts w:ascii="Times New Roman" w:hAnsi="Times New Roman" w:cs="Times New Roman"/>
          <w:sz w:val="24"/>
        </w:rPr>
        <w:t>renv</w:t>
      </w:r>
      <w:proofErr w:type="spellEnd"/>
      <w:r w:rsidRPr="0007048F">
        <w:t xml:space="preserve"> environment. All packages used for analysis are listed in Table S1.</w:t>
      </w:r>
    </w:p>
    <w:p w14:paraId="3FB85BBF" w14:textId="59A3B8FC" w:rsidR="005B0677" w:rsidRPr="00406B1B" w:rsidRDefault="00615405" w:rsidP="008F6E0E">
      <w:pPr>
        <w:spacing w:line="360" w:lineRule="auto"/>
        <w:rPr>
          <w:rFonts w:cs="Times New Roman"/>
        </w:rPr>
      </w:pPr>
      <w:r w:rsidRPr="00AB52BE">
        <w:rPr>
          <w:rFonts w:cs="Times New Roman"/>
          <w:b/>
          <w:bCs/>
        </w:rPr>
        <w:t>Funding</w:t>
      </w:r>
      <w:r>
        <w:rPr>
          <w:rFonts w:cs="Times New Roman"/>
          <w:b/>
          <w:bCs/>
        </w:rPr>
        <w:t xml:space="preserve"> Statement</w:t>
      </w:r>
      <w:r w:rsidRPr="00AB52BE">
        <w:rPr>
          <w:rFonts w:cs="Times New Roman"/>
        </w:rPr>
        <w:t xml:space="preserve">: </w:t>
      </w:r>
      <w:r w:rsidRPr="00615405">
        <w:rPr>
          <w:rFonts w:cs="Times New Roman"/>
        </w:rPr>
        <w:t>This work was supported by a NOAA Margaret A. Davidson Fellowship to AP (NA24NOSX420C0016) and by a grant from the Affinito-Stewart &amp; President’s Council of Cornell Women, as well as Cornell University start-up funds to MLS.</w:t>
      </w:r>
      <w:r w:rsidR="005B0677">
        <w:br w:type="page"/>
      </w:r>
    </w:p>
    <w:p w14:paraId="23227280" w14:textId="77777777" w:rsidR="0007048F" w:rsidRPr="008D202E" w:rsidRDefault="0007048F" w:rsidP="008F6E0E">
      <w:pPr>
        <w:spacing w:line="360" w:lineRule="auto"/>
        <w:rPr>
          <w:b/>
          <w:bCs/>
        </w:rPr>
      </w:pPr>
      <w:bookmarkStart w:id="4" w:name="references"/>
      <w:r w:rsidRPr="008D202E">
        <w:rPr>
          <w:b/>
          <w:bCs/>
        </w:rPr>
        <w:lastRenderedPageBreak/>
        <w:t>References</w:t>
      </w:r>
    </w:p>
    <w:bookmarkEnd w:id="0"/>
    <w:bookmarkEnd w:id="2"/>
    <w:bookmarkEnd w:id="4"/>
    <w:p w14:paraId="094183EC" w14:textId="5ACA9DE3" w:rsidR="009E56F5" w:rsidRPr="009E56F5" w:rsidRDefault="008D202E" w:rsidP="008F6E0E">
      <w:pPr>
        <w:pStyle w:val="Bibliography"/>
        <w:spacing w:line="360" w:lineRule="auto"/>
        <w:rPr>
          <w:rFonts w:cs="Times New Roman"/>
        </w:rPr>
      </w:pPr>
      <w:r>
        <w:fldChar w:fldCharType="begin"/>
      </w:r>
      <w:r w:rsidR="009E56F5">
        <w:instrText xml:space="preserve"> ADDIN ZOTERO_BIBL {"uncited":[],"omitted":[],"custom":[]} CSL_BIBLIOGRAPHY </w:instrText>
      </w:r>
      <w:r>
        <w:fldChar w:fldCharType="separate"/>
      </w:r>
      <w:r w:rsidR="009E56F5" w:rsidRPr="009E56F5">
        <w:rPr>
          <w:rFonts w:cs="Times New Roman"/>
        </w:rPr>
        <w:t xml:space="preserve">1. </w:t>
      </w:r>
      <w:r w:rsidR="009E56F5" w:rsidRPr="009E56F5">
        <w:rPr>
          <w:rFonts w:cs="Times New Roman"/>
        </w:rPr>
        <w:tab/>
        <w:t>Gloor GB</w:t>
      </w:r>
      <w:r w:rsidR="00E25F37">
        <w:rPr>
          <w:rFonts w:cs="Times New Roman"/>
        </w:rPr>
        <w:t>, Macklaim JM, Pawlowsky-Glahn V, Egozcue JJ</w:t>
      </w:r>
      <w:r w:rsidR="009E56F5" w:rsidRPr="009E56F5">
        <w:rPr>
          <w:rFonts w:cs="Times New Roman"/>
        </w:rPr>
        <w:t xml:space="preserve">. Microbiome Datasets Are Compositional: And This Is Not Optional. </w:t>
      </w:r>
      <w:r w:rsidR="009E56F5" w:rsidRPr="009E56F5">
        <w:rPr>
          <w:rFonts w:cs="Times New Roman"/>
          <w:i/>
          <w:iCs/>
        </w:rPr>
        <w:t>Front Microbiol</w:t>
      </w:r>
      <w:r w:rsidR="009E56F5" w:rsidRPr="009E56F5">
        <w:rPr>
          <w:rFonts w:cs="Times New Roman"/>
        </w:rPr>
        <w:t xml:space="preserve"> 2017;</w:t>
      </w:r>
      <w:r w:rsidR="009E56F5" w:rsidRPr="009E56F5">
        <w:rPr>
          <w:rFonts w:cs="Times New Roman"/>
          <w:b/>
          <w:bCs/>
        </w:rPr>
        <w:t>8</w:t>
      </w:r>
      <w:r w:rsidR="009E56F5" w:rsidRPr="009E56F5">
        <w:rPr>
          <w:rFonts w:cs="Times New Roman"/>
        </w:rPr>
        <w:t>:2224. https://doi.org/10.3389/fmicb.2017.02224</w:t>
      </w:r>
    </w:p>
    <w:p w14:paraId="316EA06B" w14:textId="16F722A9" w:rsidR="009E56F5" w:rsidRPr="009E56F5" w:rsidRDefault="009E56F5" w:rsidP="008F6E0E">
      <w:pPr>
        <w:pStyle w:val="Bibliography"/>
        <w:spacing w:line="360" w:lineRule="auto"/>
        <w:rPr>
          <w:rFonts w:cs="Times New Roman"/>
        </w:rPr>
      </w:pPr>
      <w:r w:rsidRPr="009E56F5">
        <w:rPr>
          <w:rFonts w:cs="Times New Roman"/>
        </w:rPr>
        <w:t xml:space="preserve">2. </w:t>
      </w:r>
      <w:r w:rsidRPr="009E56F5">
        <w:rPr>
          <w:rFonts w:cs="Times New Roman"/>
        </w:rPr>
        <w:tab/>
        <w:t>Vandeputte D</w:t>
      </w:r>
      <w:r w:rsidR="00E25F37">
        <w:rPr>
          <w:rFonts w:cs="Times New Roman"/>
        </w:rPr>
        <w:t>, Falony G, Vieira-Silva S, Tito RY, Joossens M, Raes J</w:t>
      </w:r>
      <w:r w:rsidRPr="009E56F5">
        <w:rPr>
          <w:rFonts w:cs="Times New Roman"/>
        </w:rPr>
        <w:t xml:space="preserve">. Stool consistency is strongly associated with gut microbiota richness and composition, enterotypes and bacterial growth rates. </w:t>
      </w:r>
      <w:r w:rsidRPr="009E56F5">
        <w:rPr>
          <w:rFonts w:cs="Times New Roman"/>
          <w:i/>
          <w:iCs/>
        </w:rPr>
        <w:t>Gut</w:t>
      </w:r>
      <w:r w:rsidRPr="009E56F5">
        <w:rPr>
          <w:rFonts w:cs="Times New Roman"/>
        </w:rPr>
        <w:t xml:space="preserve"> 2016;</w:t>
      </w:r>
      <w:r w:rsidRPr="009E56F5">
        <w:rPr>
          <w:rFonts w:cs="Times New Roman"/>
          <w:b/>
          <w:bCs/>
        </w:rPr>
        <w:t>65</w:t>
      </w:r>
      <w:r w:rsidRPr="009E56F5">
        <w:rPr>
          <w:rFonts w:cs="Times New Roman"/>
        </w:rPr>
        <w:t>:57–62. https://doi.org/10.1136/gutjnl-2015-309618</w:t>
      </w:r>
    </w:p>
    <w:p w14:paraId="7C0CFEBC" w14:textId="77777777" w:rsidR="009E56F5" w:rsidRPr="009E56F5" w:rsidRDefault="009E56F5" w:rsidP="008F6E0E">
      <w:pPr>
        <w:pStyle w:val="Bibliography"/>
        <w:spacing w:line="360" w:lineRule="auto"/>
        <w:rPr>
          <w:rFonts w:cs="Times New Roman"/>
        </w:rPr>
      </w:pPr>
      <w:r w:rsidRPr="009E56F5">
        <w:rPr>
          <w:rFonts w:cs="Times New Roman"/>
        </w:rPr>
        <w:t xml:space="preserve">3. </w:t>
      </w:r>
      <w:r w:rsidRPr="009E56F5">
        <w:rPr>
          <w:rFonts w:cs="Times New Roman"/>
        </w:rPr>
        <w:tab/>
        <w:t xml:space="preserve">Barlow JT, Bogatyrev SR, Ismagilov RF. A quantitative sequencing framework for absolute abundance measurements of mucosal and lumenal microbial communities. </w:t>
      </w:r>
      <w:r w:rsidRPr="009E56F5">
        <w:rPr>
          <w:rFonts w:cs="Times New Roman"/>
          <w:i/>
          <w:iCs/>
        </w:rPr>
        <w:t>Nat Commun</w:t>
      </w:r>
      <w:r w:rsidRPr="009E56F5">
        <w:rPr>
          <w:rFonts w:cs="Times New Roman"/>
        </w:rPr>
        <w:t xml:space="preserve"> 2020;</w:t>
      </w:r>
      <w:r w:rsidRPr="009E56F5">
        <w:rPr>
          <w:rFonts w:cs="Times New Roman"/>
          <w:b/>
          <w:bCs/>
        </w:rPr>
        <w:t>11</w:t>
      </w:r>
      <w:r w:rsidRPr="009E56F5">
        <w:rPr>
          <w:rFonts w:cs="Times New Roman"/>
        </w:rPr>
        <w:t>:2590. https://doi.org/10.1038/s41467-020-16224-6</w:t>
      </w:r>
    </w:p>
    <w:p w14:paraId="199578A5" w14:textId="3D51A0DF" w:rsidR="009E56F5" w:rsidRPr="009E56F5" w:rsidRDefault="009E56F5" w:rsidP="008F6E0E">
      <w:pPr>
        <w:pStyle w:val="Bibliography"/>
        <w:spacing w:line="360" w:lineRule="auto"/>
        <w:rPr>
          <w:rFonts w:cs="Times New Roman"/>
        </w:rPr>
      </w:pPr>
      <w:r w:rsidRPr="009E56F5">
        <w:rPr>
          <w:rFonts w:cs="Times New Roman"/>
        </w:rPr>
        <w:t xml:space="preserve">4. </w:t>
      </w:r>
      <w:r w:rsidRPr="009E56F5">
        <w:rPr>
          <w:rFonts w:cs="Times New Roman"/>
        </w:rPr>
        <w:tab/>
        <w:t>Wang X</w:t>
      </w:r>
      <w:r w:rsidR="00E25F37">
        <w:rPr>
          <w:rFonts w:cs="Times New Roman"/>
        </w:rPr>
        <w:t>, How S, Deng F, Zhao J</w:t>
      </w:r>
      <w:r w:rsidRPr="009E56F5">
        <w:rPr>
          <w:rFonts w:cs="Times New Roman"/>
        </w:rPr>
        <w:t xml:space="preserve">. Current Applications of Absolute Bacterial Quantification in Microbiome Studies and Decision-Making Regarding Different Biological Questions. </w:t>
      </w:r>
      <w:r w:rsidRPr="009E56F5">
        <w:rPr>
          <w:rFonts w:cs="Times New Roman"/>
          <w:i/>
          <w:iCs/>
        </w:rPr>
        <w:t>Microorganisms</w:t>
      </w:r>
      <w:r w:rsidRPr="009E56F5">
        <w:rPr>
          <w:rFonts w:cs="Times New Roman"/>
        </w:rPr>
        <w:t xml:space="preserve"> 2021;</w:t>
      </w:r>
      <w:r w:rsidRPr="009E56F5">
        <w:rPr>
          <w:rFonts w:cs="Times New Roman"/>
          <w:b/>
          <w:bCs/>
        </w:rPr>
        <w:t>9</w:t>
      </w:r>
      <w:r w:rsidRPr="009E56F5">
        <w:rPr>
          <w:rFonts w:cs="Times New Roman"/>
        </w:rPr>
        <w:t>:1797. https://doi.org/10.3390/microorganisms9091797</w:t>
      </w:r>
    </w:p>
    <w:p w14:paraId="16421FA5" w14:textId="614D0872" w:rsidR="009E56F5" w:rsidRPr="009E56F5" w:rsidRDefault="009E56F5" w:rsidP="008F6E0E">
      <w:pPr>
        <w:pStyle w:val="Bibliography"/>
        <w:spacing w:line="360" w:lineRule="auto"/>
        <w:rPr>
          <w:rFonts w:cs="Times New Roman"/>
        </w:rPr>
      </w:pPr>
      <w:r w:rsidRPr="009E56F5">
        <w:rPr>
          <w:rFonts w:cs="Times New Roman"/>
        </w:rPr>
        <w:t xml:space="preserve">5. </w:t>
      </w:r>
      <w:r w:rsidRPr="009E56F5">
        <w:rPr>
          <w:rFonts w:cs="Times New Roman"/>
        </w:rPr>
        <w:tab/>
        <w:t>Props R</w:t>
      </w:r>
      <w:r w:rsidR="00E25F37">
        <w:rPr>
          <w:rFonts w:cs="Times New Roman"/>
        </w:rPr>
        <w:t>, Kerckhof FM, Rubbens P, De Vrieze J, Hernandez-Sanabria E, Waegeman W, et al</w:t>
      </w:r>
      <w:r w:rsidRPr="009E56F5">
        <w:rPr>
          <w:rFonts w:cs="Times New Roman"/>
        </w:rPr>
        <w:t xml:space="preserve">. Absolute quantification of microbial taxon abundances. </w:t>
      </w:r>
      <w:r w:rsidRPr="009E56F5">
        <w:rPr>
          <w:rFonts w:cs="Times New Roman"/>
          <w:i/>
          <w:iCs/>
        </w:rPr>
        <w:t>ISME J</w:t>
      </w:r>
      <w:r w:rsidRPr="009E56F5">
        <w:rPr>
          <w:rFonts w:cs="Times New Roman"/>
        </w:rPr>
        <w:t xml:space="preserve"> 2017;</w:t>
      </w:r>
      <w:r w:rsidRPr="009E56F5">
        <w:rPr>
          <w:rFonts w:cs="Times New Roman"/>
          <w:b/>
          <w:bCs/>
        </w:rPr>
        <w:t>11</w:t>
      </w:r>
      <w:r w:rsidRPr="009E56F5">
        <w:rPr>
          <w:rFonts w:cs="Times New Roman"/>
        </w:rPr>
        <w:t>:584–587. https://doi.org/10.1038/ismej.2016.117</w:t>
      </w:r>
    </w:p>
    <w:p w14:paraId="01C4BE48" w14:textId="58FC3B46" w:rsidR="009E56F5" w:rsidRPr="009E56F5" w:rsidRDefault="009E56F5" w:rsidP="008F6E0E">
      <w:pPr>
        <w:pStyle w:val="Bibliography"/>
        <w:spacing w:line="360" w:lineRule="auto"/>
        <w:rPr>
          <w:rFonts w:cs="Times New Roman"/>
        </w:rPr>
      </w:pPr>
      <w:r w:rsidRPr="009E56F5">
        <w:rPr>
          <w:rFonts w:cs="Times New Roman"/>
        </w:rPr>
        <w:t xml:space="preserve">6. </w:t>
      </w:r>
      <w:r w:rsidRPr="009E56F5">
        <w:rPr>
          <w:rFonts w:cs="Times New Roman"/>
        </w:rPr>
        <w:tab/>
        <w:t>Rao C</w:t>
      </w:r>
      <w:r w:rsidR="00E25F37">
        <w:rPr>
          <w:rFonts w:cs="Times New Roman"/>
        </w:rPr>
        <w:t>, Coyte KZ, Bainter W, Geha RS, Martin CR, Rakoff-Nahoum S</w:t>
      </w:r>
      <w:r w:rsidRPr="009E56F5">
        <w:rPr>
          <w:rFonts w:cs="Times New Roman"/>
        </w:rPr>
        <w:t xml:space="preserve">. Multi-kingdom ecological drivers of microbiota assembly in preterm infants. </w:t>
      </w:r>
      <w:r w:rsidRPr="009E56F5">
        <w:rPr>
          <w:rFonts w:cs="Times New Roman"/>
          <w:i/>
          <w:iCs/>
        </w:rPr>
        <w:t>Nature</w:t>
      </w:r>
      <w:r w:rsidRPr="009E56F5">
        <w:rPr>
          <w:rFonts w:cs="Times New Roman"/>
        </w:rPr>
        <w:t xml:space="preserve"> 2021;</w:t>
      </w:r>
      <w:r w:rsidRPr="009E56F5">
        <w:rPr>
          <w:rFonts w:cs="Times New Roman"/>
          <w:b/>
          <w:bCs/>
        </w:rPr>
        <w:t>591</w:t>
      </w:r>
      <w:r w:rsidRPr="009E56F5">
        <w:rPr>
          <w:rFonts w:cs="Times New Roman"/>
        </w:rPr>
        <w:t>:633–638. https://doi.org/10.1038/s41586-021-03241-8</w:t>
      </w:r>
    </w:p>
    <w:p w14:paraId="73C4929D" w14:textId="77777777" w:rsidR="009E56F5" w:rsidRPr="009E56F5" w:rsidRDefault="009E56F5" w:rsidP="008F6E0E">
      <w:pPr>
        <w:pStyle w:val="Bibliography"/>
        <w:spacing w:line="360" w:lineRule="auto"/>
        <w:rPr>
          <w:rFonts w:cs="Times New Roman"/>
        </w:rPr>
      </w:pPr>
      <w:r w:rsidRPr="009E56F5">
        <w:rPr>
          <w:rFonts w:cs="Times New Roman"/>
        </w:rPr>
        <w:t xml:space="preserve">7. </w:t>
      </w:r>
      <w:r w:rsidRPr="009E56F5">
        <w:rPr>
          <w:rFonts w:cs="Times New Roman"/>
        </w:rPr>
        <w:tab/>
        <w:t xml:space="preserve">Bray JR, Curtis JT. An Ordination of the Upland Forest Communities of Southern Wisconsin. </w:t>
      </w:r>
      <w:r w:rsidRPr="009E56F5">
        <w:rPr>
          <w:rFonts w:cs="Times New Roman"/>
          <w:i/>
          <w:iCs/>
        </w:rPr>
        <w:t>Ecological Monographs</w:t>
      </w:r>
      <w:r w:rsidRPr="009E56F5">
        <w:rPr>
          <w:rFonts w:cs="Times New Roman"/>
        </w:rPr>
        <w:t xml:space="preserve"> 1957;</w:t>
      </w:r>
      <w:r w:rsidRPr="009E56F5">
        <w:rPr>
          <w:rFonts w:cs="Times New Roman"/>
          <w:b/>
          <w:bCs/>
        </w:rPr>
        <w:t>27</w:t>
      </w:r>
      <w:r w:rsidRPr="009E56F5">
        <w:rPr>
          <w:rFonts w:cs="Times New Roman"/>
        </w:rPr>
        <w:t>:326–349. https://doi.org/10.2307/1942268</w:t>
      </w:r>
    </w:p>
    <w:p w14:paraId="573995A9" w14:textId="244F0108" w:rsidR="009E56F5" w:rsidRPr="009E56F5" w:rsidRDefault="009E56F5" w:rsidP="008F6E0E">
      <w:pPr>
        <w:pStyle w:val="Bibliography"/>
        <w:spacing w:line="360" w:lineRule="auto"/>
        <w:rPr>
          <w:rFonts w:cs="Times New Roman"/>
        </w:rPr>
      </w:pPr>
      <w:r w:rsidRPr="009E56F5">
        <w:rPr>
          <w:rFonts w:cs="Times New Roman"/>
        </w:rPr>
        <w:t xml:space="preserve">8. </w:t>
      </w:r>
      <w:r w:rsidRPr="009E56F5">
        <w:rPr>
          <w:rFonts w:cs="Times New Roman"/>
        </w:rPr>
        <w:tab/>
        <w:t>Lozupone CA</w:t>
      </w:r>
      <w:r w:rsidR="00E25F37">
        <w:rPr>
          <w:rFonts w:cs="Times New Roman"/>
        </w:rPr>
        <w:t>, Hamady M, Kelley ST, Knight R</w:t>
      </w:r>
      <w:r w:rsidRPr="009E56F5">
        <w:rPr>
          <w:rFonts w:cs="Times New Roman"/>
        </w:rPr>
        <w:t xml:space="preserve">. Quantitative and Qualitative β Diversity Measures Lead to Different Insights into Factors That Structure Microbial Communities. </w:t>
      </w:r>
      <w:r w:rsidRPr="009E56F5">
        <w:rPr>
          <w:rFonts w:cs="Times New Roman"/>
          <w:i/>
          <w:iCs/>
        </w:rPr>
        <w:t>Applied and Environmental Microbiology</w:t>
      </w:r>
      <w:r w:rsidRPr="009E56F5">
        <w:rPr>
          <w:rFonts w:cs="Times New Roman"/>
        </w:rPr>
        <w:t xml:space="preserve"> 2007;</w:t>
      </w:r>
      <w:r w:rsidRPr="009E56F5">
        <w:rPr>
          <w:rFonts w:cs="Times New Roman"/>
          <w:b/>
          <w:bCs/>
        </w:rPr>
        <w:t>73</w:t>
      </w:r>
      <w:r w:rsidRPr="009E56F5">
        <w:rPr>
          <w:rFonts w:cs="Times New Roman"/>
        </w:rPr>
        <w:t>:1576–1585. https://doi.org/10.1128/AEM.01996-06</w:t>
      </w:r>
    </w:p>
    <w:p w14:paraId="572F5221" w14:textId="77777777" w:rsidR="009E56F5" w:rsidRPr="009E56F5" w:rsidRDefault="009E56F5" w:rsidP="008F6E0E">
      <w:pPr>
        <w:pStyle w:val="Bibliography"/>
        <w:spacing w:line="360" w:lineRule="auto"/>
        <w:rPr>
          <w:rFonts w:cs="Times New Roman"/>
        </w:rPr>
      </w:pPr>
      <w:r w:rsidRPr="009E56F5">
        <w:rPr>
          <w:rFonts w:cs="Times New Roman"/>
        </w:rPr>
        <w:t xml:space="preserve">9. </w:t>
      </w:r>
      <w:r w:rsidRPr="009E56F5">
        <w:rPr>
          <w:rFonts w:cs="Times New Roman"/>
        </w:rPr>
        <w:tab/>
        <w:t>Pendleton A, Wells M, Schmidt ML. Upwelling periodically disturbs the ecological assembly of microbial communities in the Laurentian Great Lakes. 2025. bioRxiv, 2025. , 2025.01.17.633667</w:t>
      </w:r>
    </w:p>
    <w:p w14:paraId="4D6E9EBE" w14:textId="071C8B94" w:rsidR="009E56F5" w:rsidRPr="009E56F5" w:rsidRDefault="009E56F5" w:rsidP="008F6E0E">
      <w:pPr>
        <w:pStyle w:val="Bibliography"/>
        <w:spacing w:line="360" w:lineRule="auto"/>
        <w:rPr>
          <w:rFonts w:cs="Times New Roman"/>
        </w:rPr>
      </w:pPr>
      <w:r w:rsidRPr="009E56F5">
        <w:rPr>
          <w:rFonts w:cs="Times New Roman"/>
        </w:rPr>
        <w:t xml:space="preserve">10. </w:t>
      </w:r>
      <w:r w:rsidRPr="009E56F5">
        <w:rPr>
          <w:rFonts w:cs="Times New Roman"/>
        </w:rPr>
        <w:tab/>
        <w:t>Zhang K</w:t>
      </w:r>
      <w:r w:rsidR="00E25F37">
        <w:rPr>
          <w:rFonts w:cs="Times New Roman"/>
        </w:rPr>
        <w:t>, Maltais-Landry G, James M, Mendez V, Wright D, George S, et al</w:t>
      </w:r>
      <w:r w:rsidRPr="009E56F5">
        <w:rPr>
          <w:rFonts w:cs="Times New Roman"/>
        </w:rPr>
        <w:t xml:space="preserve">. Absolute microbiome profiling highlights the links among microbial stability, soil health, and crop </w:t>
      </w:r>
      <w:r w:rsidRPr="009E56F5">
        <w:rPr>
          <w:rFonts w:cs="Times New Roman"/>
        </w:rPr>
        <w:lastRenderedPageBreak/>
        <w:t xml:space="preserve">productivity under long-term sod-based rotation. </w:t>
      </w:r>
      <w:r w:rsidRPr="009E56F5">
        <w:rPr>
          <w:rFonts w:cs="Times New Roman"/>
          <w:i/>
          <w:iCs/>
        </w:rPr>
        <w:t>Biol Fertil Soils</w:t>
      </w:r>
      <w:r w:rsidRPr="009E56F5">
        <w:rPr>
          <w:rFonts w:cs="Times New Roman"/>
        </w:rPr>
        <w:t xml:space="preserve"> 2022;</w:t>
      </w:r>
      <w:r w:rsidRPr="009E56F5">
        <w:rPr>
          <w:rFonts w:cs="Times New Roman"/>
          <w:b/>
          <w:bCs/>
        </w:rPr>
        <w:t>58</w:t>
      </w:r>
      <w:r w:rsidRPr="009E56F5">
        <w:rPr>
          <w:rFonts w:cs="Times New Roman"/>
        </w:rPr>
        <w:t>:883–901. https://doi.org/10.1007/s00374-022-01675-4</w:t>
      </w:r>
    </w:p>
    <w:p w14:paraId="27CCC84D" w14:textId="2DC4D5A0" w:rsidR="009E56F5" w:rsidRPr="009E56F5" w:rsidRDefault="009E56F5" w:rsidP="008F6E0E">
      <w:pPr>
        <w:pStyle w:val="Bibliography"/>
        <w:spacing w:line="360" w:lineRule="auto"/>
        <w:rPr>
          <w:rFonts w:cs="Times New Roman"/>
        </w:rPr>
      </w:pPr>
      <w:r w:rsidRPr="009E56F5">
        <w:rPr>
          <w:rFonts w:cs="Times New Roman"/>
        </w:rPr>
        <w:t xml:space="preserve">11. </w:t>
      </w:r>
      <w:r w:rsidRPr="009E56F5">
        <w:rPr>
          <w:rFonts w:cs="Times New Roman"/>
        </w:rPr>
        <w:tab/>
        <w:t>Chen J</w:t>
      </w:r>
      <w:r w:rsidR="00E25F37">
        <w:rPr>
          <w:rFonts w:cs="Times New Roman"/>
        </w:rPr>
        <w:t>, Bittinger K, Charlson ES, Hoffmann C, Lewis J, Wu GD, et al</w:t>
      </w:r>
      <w:r w:rsidRPr="009E56F5">
        <w:rPr>
          <w:rFonts w:cs="Times New Roman"/>
        </w:rPr>
        <w:t xml:space="preserve">. Associating microbiome composition with environmental covariates using generalized UniFrac distances. </w:t>
      </w:r>
      <w:r w:rsidRPr="009E56F5">
        <w:rPr>
          <w:rFonts w:cs="Times New Roman"/>
          <w:i/>
          <w:iCs/>
        </w:rPr>
        <w:t>Bioinformatics</w:t>
      </w:r>
      <w:r w:rsidRPr="009E56F5">
        <w:rPr>
          <w:rFonts w:cs="Times New Roman"/>
        </w:rPr>
        <w:t xml:space="preserve"> 2012;</w:t>
      </w:r>
      <w:r w:rsidRPr="009E56F5">
        <w:rPr>
          <w:rFonts w:cs="Times New Roman"/>
          <w:b/>
          <w:bCs/>
        </w:rPr>
        <w:t>28</w:t>
      </w:r>
      <w:r w:rsidRPr="009E56F5">
        <w:rPr>
          <w:rFonts w:cs="Times New Roman"/>
        </w:rPr>
        <w:t>:2106–2113. https://doi.org/10.1093/bioinformatics/bts342</w:t>
      </w:r>
    </w:p>
    <w:p w14:paraId="762CED50" w14:textId="77777777" w:rsidR="009E56F5" w:rsidRPr="009E56F5" w:rsidRDefault="009E56F5" w:rsidP="008F6E0E">
      <w:pPr>
        <w:pStyle w:val="Bibliography"/>
        <w:spacing w:line="360" w:lineRule="auto"/>
        <w:rPr>
          <w:rFonts w:cs="Times New Roman"/>
        </w:rPr>
      </w:pPr>
      <w:r w:rsidRPr="009E56F5">
        <w:rPr>
          <w:rFonts w:cs="Times New Roman"/>
        </w:rPr>
        <w:t xml:space="preserve">12. </w:t>
      </w:r>
      <w:r w:rsidRPr="009E56F5">
        <w:rPr>
          <w:rFonts w:cs="Times New Roman"/>
        </w:rPr>
        <w:tab/>
        <w:t xml:space="preserve">Lozupone C, Knight R. UniFrac: a New Phylogenetic Method for Comparing Microbial Communities. </w:t>
      </w:r>
      <w:r w:rsidRPr="009E56F5">
        <w:rPr>
          <w:rFonts w:cs="Times New Roman"/>
          <w:i/>
          <w:iCs/>
        </w:rPr>
        <w:t>Applied and Environmental Microbiology</w:t>
      </w:r>
      <w:r w:rsidRPr="009E56F5">
        <w:rPr>
          <w:rFonts w:cs="Times New Roman"/>
        </w:rPr>
        <w:t xml:space="preserve"> 2005;</w:t>
      </w:r>
      <w:r w:rsidRPr="009E56F5">
        <w:rPr>
          <w:rFonts w:cs="Times New Roman"/>
          <w:b/>
          <w:bCs/>
        </w:rPr>
        <w:t>71</w:t>
      </w:r>
      <w:r w:rsidRPr="009E56F5">
        <w:rPr>
          <w:rFonts w:cs="Times New Roman"/>
        </w:rPr>
        <w:t>:8228–8235. https://doi.org/10.1128/AEM.71.12.8228-8235.2005</w:t>
      </w:r>
    </w:p>
    <w:p w14:paraId="349910DF" w14:textId="77777777" w:rsidR="009E56F5" w:rsidRPr="009E56F5" w:rsidRDefault="009E56F5" w:rsidP="008F6E0E">
      <w:pPr>
        <w:pStyle w:val="Bibliography"/>
        <w:spacing w:line="360" w:lineRule="auto"/>
        <w:rPr>
          <w:rFonts w:cs="Times New Roman"/>
        </w:rPr>
      </w:pPr>
      <w:r w:rsidRPr="009E56F5">
        <w:rPr>
          <w:rFonts w:cs="Times New Roman"/>
        </w:rPr>
        <w:t xml:space="preserve">13. </w:t>
      </w:r>
      <w:r w:rsidRPr="009E56F5">
        <w:rPr>
          <w:rFonts w:cs="Times New Roman"/>
        </w:rPr>
        <w:tab/>
        <w:t xml:space="preserve">McMurdie PJ, Holmes S. phyloseq: An R package for reproducible interactive analysis and graphics of microbiome census data. </w:t>
      </w:r>
      <w:r w:rsidRPr="009E56F5">
        <w:rPr>
          <w:rFonts w:cs="Times New Roman"/>
          <w:i/>
          <w:iCs/>
        </w:rPr>
        <w:t>PLoS ONE</w:t>
      </w:r>
      <w:r w:rsidRPr="009E56F5">
        <w:rPr>
          <w:rFonts w:cs="Times New Roman"/>
        </w:rPr>
        <w:t xml:space="preserve"> 2013;</w:t>
      </w:r>
      <w:r w:rsidRPr="009E56F5">
        <w:rPr>
          <w:rFonts w:cs="Times New Roman"/>
          <w:b/>
          <w:bCs/>
        </w:rPr>
        <w:t>8</w:t>
      </w:r>
      <w:r w:rsidRPr="009E56F5">
        <w:rPr>
          <w:rFonts w:cs="Times New Roman"/>
        </w:rPr>
        <w:t xml:space="preserve">:e61217. </w:t>
      </w:r>
    </w:p>
    <w:p w14:paraId="6F2909C2" w14:textId="3D31AD23" w:rsidR="009E56F5" w:rsidRPr="009E56F5" w:rsidRDefault="009E56F5" w:rsidP="008F6E0E">
      <w:pPr>
        <w:pStyle w:val="Bibliography"/>
        <w:spacing w:line="360" w:lineRule="auto"/>
        <w:rPr>
          <w:rFonts w:cs="Times New Roman"/>
        </w:rPr>
      </w:pPr>
      <w:r w:rsidRPr="009E56F5">
        <w:rPr>
          <w:rFonts w:cs="Times New Roman"/>
        </w:rPr>
        <w:t xml:space="preserve">14. </w:t>
      </w:r>
      <w:r w:rsidRPr="009E56F5">
        <w:rPr>
          <w:rFonts w:cs="Times New Roman"/>
        </w:rPr>
        <w:tab/>
        <w:t>Bolyen E</w:t>
      </w:r>
      <w:r w:rsidR="00E25F37">
        <w:rPr>
          <w:rFonts w:cs="Times New Roman"/>
        </w:rPr>
        <w:t>, Rideout JM, Dillon MR, Bokulich NA, Abnet CC, Al-Ghalith GA, et al</w:t>
      </w:r>
      <w:r w:rsidRPr="009E56F5">
        <w:rPr>
          <w:rFonts w:cs="Times New Roman"/>
        </w:rPr>
        <w:t xml:space="preserve">. Reproducible, interactive, scalable and extensible microbiome data science using QIIME 2. </w:t>
      </w:r>
      <w:r w:rsidRPr="009E56F5">
        <w:rPr>
          <w:rFonts w:cs="Times New Roman"/>
          <w:i/>
          <w:iCs/>
        </w:rPr>
        <w:t>Nat Biotechnol</w:t>
      </w:r>
      <w:r w:rsidRPr="009E56F5">
        <w:rPr>
          <w:rFonts w:cs="Times New Roman"/>
        </w:rPr>
        <w:t xml:space="preserve"> 2019;</w:t>
      </w:r>
      <w:r w:rsidRPr="009E56F5">
        <w:rPr>
          <w:rFonts w:cs="Times New Roman"/>
          <w:b/>
          <w:bCs/>
        </w:rPr>
        <w:t>37</w:t>
      </w:r>
      <w:r w:rsidRPr="009E56F5">
        <w:rPr>
          <w:rFonts w:cs="Times New Roman"/>
        </w:rPr>
        <w:t>:852–857. https://doi.org/10.1038/s41587-019-0209-9</w:t>
      </w:r>
    </w:p>
    <w:p w14:paraId="14685403" w14:textId="13A49819" w:rsidR="009E56F5" w:rsidRPr="009E56F5" w:rsidRDefault="009E56F5" w:rsidP="008F6E0E">
      <w:pPr>
        <w:pStyle w:val="Bibliography"/>
        <w:spacing w:line="360" w:lineRule="auto"/>
        <w:rPr>
          <w:rFonts w:cs="Times New Roman"/>
        </w:rPr>
      </w:pPr>
      <w:r w:rsidRPr="009E56F5">
        <w:rPr>
          <w:rFonts w:cs="Times New Roman"/>
        </w:rPr>
        <w:t xml:space="preserve">15. </w:t>
      </w:r>
      <w:r w:rsidRPr="009E56F5">
        <w:rPr>
          <w:rFonts w:cs="Times New Roman"/>
        </w:rPr>
        <w:tab/>
        <w:t>Morton JT</w:t>
      </w:r>
      <w:r w:rsidR="00E25F37">
        <w:rPr>
          <w:rFonts w:cs="Times New Roman"/>
        </w:rPr>
        <w:t>, Toran L, Edlund A, Metcalf JL, Lauber, C, Knight R</w:t>
      </w:r>
      <w:r w:rsidRPr="009E56F5">
        <w:rPr>
          <w:rFonts w:cs="Times New Roman"/>
        </w:rPr>
        <w:t xml:space="preserve">. Uncovering the Horseshoe Effect in Microbial Analyses. </w:t>
      </w:r>
      <w:r w:rsidRPr="009E56F5">
        <w:rPr>
          <w:rFonts w:cs="Times New Roman"/>
          <w:i/>
          <w:iCs/>
        </w:rPr>
        <w:t>mSystems</w:t>
      </w:r>
      <w:r w:rsidRPr="009E56F5">
        <w:rPr>
          <w:rFonts w:cs="Times New Roman"/>
        </w:rPr>
        <w:t xml:space="preserve"> 2017;</w:t>
      </w:r>
      <w:r w:rsidRPr="009E56F5">
        <w:rPr>
          <w:rFonts w:cs="Times New Roman"/>
          <w:b/>
          <w:bCs/>
        </w:rPr>
        <w:t>2</w:t>
      </w:r>
      <w:r w:rsidRPr="009E56F5">
        <w:rPr>
          <w:rFonts w:cs="Times New Roman"/>
        </w:rPr>
        <w:t>:10.1128/msystems.00166-16. https://doi.org/10.1128/msystems.00166-16</w:t>
      </w:r>
    </w:p>
    <w:p w14:paraId="016BA639" w14:textId="77777777" w:rsidR="009E56F5" w:rsidRPr="009E56F5" w:rsidRDefault="009E56F5" w:rsidP="008F6E0E">
      <w:pPr>
        <w:pStyle w:val="Bibliography"/>
        <w:spacing w:line="360" w:lineRule="auto"/>
        <w:rPr>
          <w:rFonts w:cs="Times New Roman"/>
        </w:rPr>
      </w:pPr>
      <w:r w:rsidRPr="009E56F5">
        <w:rPr>
          <w:rFonts w:cs="Times New Roman"/>
        </w:rPr>
        <w:t xml:space="preserve">16. </w:t>
      </w:r>
      <w:r w:rsidRPr="009E56F5">
        <w:rPr>
          <w:rFonts w:cs="Times New Roman"/>
        </w:rPr>
        <w:tab/>
        <w:t xml:space="preserve">Paliy O, Shankar V. Application of multivariate statistical techniques in microbial ecology. </w:t>
      </w:r>
      <w:r w:rsidRPr="009E56F5">
        <w:rPr>
          <w:rFonts w:cs="Times New Roman"/>
          <w:i/>
          <w:iCs/>
        </w:rPr>
        <w:t>Molecular Ecology</w:t>
      </w:r>
      <w:r w:rsidRPr="009E56F5">
        <w:rPr>
          <w:rFonts w:cs="Times New Roman"/>
        </w:rPr>
        <w:t xml:space="preserve"> 2016;</w:t>
      </w:r>
      <w:r w:rsidRPr="009E56F5">
        <w:rPr>
          <w:rFonts w:cs="Times New Roman"/>
          <w:b/>
          <w:bCs/>
        </w:rPr>
        <w:t>25</w:t>
      </w:r>
      <w:r w:rsidRPr="009E56F5">
        <w:rPr>
          <w:rFonts w:cs="Times New Roman"/>
        </w:rPr>
        <w:t>:1032–1057. https://doi.org/10.1111/mec.13536</w:t>
      </w:r>
    </w:p>
    <w:p w14:paraId="19D495DA" w14:textId="77777777" w:rsidR="009E56F5" w:rsidRPr="009E56F5" w:rsidRDefault="009E56F5" w:rsidP="008F6E0E">
      <w:pPr>
        <w:pStyle w:val="Bibliography"/>
        <w:spacing w:line="360" w:lineRule="auto"/>
        <w:rPr>
          <w:rFonts w:cs="Times New Roman"/>
        </w:rPr>
      </w:pPr>
      <w:r w:rsidRPr="009E56F5">
        <w:rPr>
          <w:rFonts w:cs="Times New Roman"/>
        </w:rPr>
        <w:t xml:space="preserve">17. </w:t>
      </w:r>
      <w:r w:rsidRPr="009E56F5">
        <w:rPr>
          <w:rFonts w:cs="Times New Roman"/>
        </w:rPr>
        <w:tab/>
        <w:t xml:space="preserve">Schloss PD. Evaluating different approaches that test whether microbial communities have the same structure. </w:t>
      </w:r>
      <w:r w:rsidRPr="009E56F5">
        <w:rPr>
          <w:rFonts w:cs="Times New Roman"/>
          <w:i/>
          <w:iCs/>
        </w:rPr>
        <w:t>The ISME Journal</w:t>
      </w:r>
      <w:r w:rsidRPr="009E56F5">
        <w:rPr>
          <w:rFonts w:cs="Times New Roman"/>
        </w:rPr>
        <w:t xml:space="preserve"> 2008;</w:t>
      </w:r>
      <w:r w:rsidRPr="009E56F5">
        <w:rPr>
          <w:rFonts w:cs="Times New Roman"/>
          <w:b/>
          <w:bCs/>
        </w:rPr>
        <w:t>2</w:t>
      </w:r>
      <w:r w:rsidRPr="009E56F5">
        <w:rPr>
          <w:rFonts w:cs="Times New Roman"/>
        </w:rPr>
        <w:t>:265–275. https://doi.org/10.1038/ismej.2008.5</w:t>
      </w:r>
    </w:p>
    <w:p w14:paraId="0B858811" w14:textId="133CEA51" w:rsidR="009E56F5" w:rsidRPr="009E56F5" w:rsidRDefault="009E56F5" w:rsidP="008F6E0E">
      <w:pPr>
        <w:pStyle w:val="Bibliography"/>
        <w:spacing w:line="360" w:lineRule="auto"/>
        <w:rPr>
          <w:rFonts w:cs="Times New Roman"/>
        </w:rPr>
      </w:pPr>
      <w:r w:rsidRPr="009E56F5">
        <w:rPr>
          <w:rFonts w:cs="Times New Roman"/>
        </w:rPr>
        <w:t xml:space="preserve">18. </w:t>
      </w:r>
      <w:r w:rsidRPr="009E56F5">
        <w:rPr>
          <w:rFonts w:cs="Times New Roman"/>
        </w:rPr>
        <w:tab/>
        <w:t>Fukuyama J</w:t>
      </w:r>
      <w:r w:rsidR="00E25F37">
        <w:rPr>
          <w:rFonts w:cs="Times New Roman"/>
        </w:rPr>
        <w:t>, McMurdie PJ, Dethlefsen L, Relman DA, Holmes S</w:t>
      </w:r>
      <w:r w:rsidRPr="009E56F5">
        <w:rPr>
          <w:rFonts w:cs="Times New Roman"/>
        </w:rPr>
        <w:t xml:space="preserve">. Comparisons of distance methods for combining covariates and abundances in microbiome studies. Biocomputing 2012. WORLD SCIENTIFIC, 2011, 213–224. </w:t>
      </w:r>
    </w:p>
    <w:p w14:paraId="1CC1B82D" w14:textId="77777777" w:rsidR="009E56F5" w:rsidRPr="009E56F5" w:rsidRDefault="009E56F5" w:rsidP="008F6E0E">
      <w:pPr>
        <w:pStyle w:val="Bibliography"/>
        <w:spacing w:line="360" w:lineRule="auto"/>
        <w:rPr>
          <w:rFonts w:cs="Times New Roman"/>
        </w:rPr>
      </w:pPr>
      <w:r w:rsidRPr="009E56F5">
        <w:rPr>
          <w:rFonts w:cs="Times New Roman"/>
        </w:rPr>
        <w:t xml:space="preserve">19. </w:t>
      </w:r>
      <w:r w:rsidRPr="009E56F5">
        <w:rPr>
          <w:rFonts w:cs="Times New Roman"/>
        </w:rPr>
        <w:tab/>
        <w:t xml:space="preserve">McMurdie PJ, Holmes S. Waste Not, Want Not: Why Rarefying Microbiome Data Is Inadmissible. </w:t>
      </w:r>
      <w:r w:rsidRPr="009E56F5">
        <w:rPr>
          <w:rFonts w:cs="Times New Roman"/>
          <w:i/>
          <w:iCs/>
        </w:rPr>
        <w:t>PLOS Computational Biology</w:t>
      </w:r>
      <w:r w:rsidRPr="009E56F5">
        <w:rPr>
          <w:rFonts w:cs="Times New Roman"/>
        </w:rPr>
        <w:t xml:space="preserve"> 2014;</w:t>
      </w:r>
      <w:r w:rsidRPr="009E56F5">
        <w:rPr>
          <w:rFonts w:cs="Times New Roman"/>
          <w:b/>
          <w:bCs/>
        </w:rPr>
        <w:t>10</w:t>
      </w:r>
      <w:r w:rsidRPr="009E56F5">
        <w:rPr>
          <w:rFonts w:cs="Times New Roman"/>
        </w:rPr>
        <w:t>:e1003531. https://doi.org/10.1371/journal.pcbi.1003531</w:t>
      </w:r>
    </w:p>
    <w:p w14:paraId="4EC356D3" w14:textId="77777777" w:rsidR="009E56F5" w:rsidRPr="009E56F5" w:rsidRDefault="009E56F5" w:rsidP="008F6E0E">
      <w:pPr>
        <w:pStyle w:val="Bibliography"/>
        <w:spacing w:line="360" w:lineRule="auto"/>
        <w:rPr>
          <w:rFonts w:cs="Times New Roman"/>
        </w:rPr>
      </w:pPr>
      <w:r w:rsidRPr="009E56F5">
        <w:rPr>
          <w:rFonts w:cs="Times New Roman"/>
        </w:rPr>
        <w:t xml:space="preserve">20. </w:t>
      </w:r>
      <w:r w:rsidRPr="009E56F5">
        <w:rPr>
          <w:rFonts w:cs="Times New Roman"/>
        </w:rPr>
        <w:tab/>
        <w:t xml:space="preserve">Wright RJ, Langille MGI. PICRUSt2-SC: an update to the reference database used for functional prediction within PICRUSt2. </w:t>
      </w:r>
      <w:r w:rsidRPr="009E56F5">
        <w:rPr>
          <w:rFonts w:cs="Times New Roman"/>
          <w:i/>
          <w:iCs/>
        </w:rPr>
        <w:t>Bioinformatics</w:t>
      </w:r>
      <w:r w:rsidRPr="009E56F5">
        <w:rPr>
          <w:rFonts w:cs="Times New Roman"/>
        </w:rPr>
        <w:t xml:space="preserve"> 2025;</w:t>
      </w:r>
      <w:r w:rsidRPr="009E56F5">
        <w:rPr>
          <w:rFonts w:cs="Times New Roman"/>
          <w:b/>
          <w:bCs/>
        </w:rPr>
        <w:t>41</w:t>
      </w:r>
      <w:r w:rsidRPr="009E56F5">
        <w:rPr>
          <w:rFonts w:cs="Times New Roman"/>
        </w:rPr>
        <w:t>:btaf269. https://doi.org/10.1093/bioinformatics/btaf269</w:t>
      </w:r>
    </w:p>
    <w:p w14:paraId="36E6AEE3" w14:textId="65C3FBD8" w:rsidR="009E56F5" w:rsidRPr="009E56F5" w:rsidRDefault="009E56F5" w:rsidP="008F6E0E">
      <w:pPr>
        <w:pStyle w:val="Bibliography"/>
        <w:spacing w:line="360" w:lineRule="auto"/>
        <w:rPr>
          <w:rFonts w:cs="Times New Roman"/>
        </w:rPr>
      </w:pPr>
      <w:r w:rsidRPr="009E56F5">
        <w:rPr>
          <w:rFonts w:cs="Times New Roman"/>
        </w:rPr>
        <w:lastRenderedPageBreak/>
        <w:t xml:space="preserve">21. </w:t>
      </w:r>
      <w:r w:rsidRPr="009E56F5">
        <w:rPr>
          <w:rFonts w:cs="Times New Roman"/>
        </w:rPr>
        <w:tab/>
        <w:t>Douglas GM</w:t>
      </w:r>
      <w:r w:rsidR="007F3225">
        <w:rPr>
          <w:rFonts w:cs="Times New Roman"/>
        </w:rPr>
        <w:t>, Maffei VJ, Zaneveld JR, Yurgel SN, Brown JR, Taylor CM, et al</w:t>
      </w:r>
      <w:r w:rsidRPr="009E56F5">
        <w:rPr>
          <w:rFonts w:cs="Times New Roman"/>
        </w:rPr>
        <w:t xml:space="preserve">. PICRUSt2 for prediction of metagenome functions. </w:t>
      </w:r>
      <w:r w:rsidRPr="009E56F5">
        <w:rPr>
          <w:rFonts w:cs="Times New Roman"/>
          <w:i/>
          <w:iCs/>
        </w:rPr>
        <w:t>Nat Biotechnol</w:t>
      </w:r>
      <w:r w:rsidRPr="009E56F5">
        <w:rPr>
          <w:rFonts w:cs="Times New Roman"/>
        </w:rPr>
        <w:t xml:space="preserve"> 2020;</w:t>
      </w:r>
      <w:r w:rsidRPr="009E56F5">
        <w:rPr>
          <w:rFonts w:cs="Times New Roman"/>
          <w:b/>
          <w:bCs/>
        </w:rPr>
        <w:t>38</w:t>
      </w:r>
      <w:r w:rsidRPr="009E56F5">
        <w:rPr>
          <w:rFonts w:cs="Times New Roman"/>
        </w:rPr>
        <w:t>:685–688. https://doi.org/10.1038/s41587-020-0548-6</w:t>
      </w:r>
    </w:p>
    <w:p w14:paraId="4AD00E9C" w14:textId="7B86E144" w:rsidR="009E56F5" w:rsidRPr="009E56F5" w:rsidRDefault="009E56F5" w:rsidP="008F6E0E">
      <w:pPr>
        <w:pStyle w:val="Bibliography"/>
        <w:spacing w:line="360" w:lineRule="auto"/>
        <w:rPr>
          <w:rFonts w:cs="Times New Roman"/>
        </w:rPr>
      </w:pPr>
      <w:r w:rsidRPr="009E56F5">
        <w:rPr>
          <w:rFonts w:cs="Times New Roman"/>
        </w:rPr>
        <w:t xml:space="preserve">22. </w:t>
      </w:r>
      <w:r w:rsidRPr="009E56F5">
        <w:rPr>
          <w:rFonts w:cs="Times New Roman"/>
        </w:rPr>
        <w:tab/>
        <w:t xml:space="preserve">Griese M, Lange C, Soppa J. Ploidy in cyanobacteria. </w:t>
      </w:r>
      <w:r w:rsidRPr="009E56F5">
        <w:rPr>
          <w:rFonts w:cs="Times New Roman"/>
          <w:i/>
          <w:iCs/>
        </w:rPr>
        <w:t>FEMS Microbiol Lett</w:t>
      </w:r>
      <w:r w:rsidRPr="009E56F5">
        <w:rPr>
          <w:rFonts w:cs="Times New Roman"/>
        </w:rPr>
        <w:t xml:space="preserve"> 2011;</w:t>
      </w:r>
      <w:r w:rsidRPr="009E56F5">
        <w:rPr>
          <w:rFonts w:cs="Times New Roman"/>
          <w:b/>
          <w:bCs/>
        </w:rPr>
        <w:t>323</w:t>
      </w:r>
      <w:r w:rsidRPr="009E56F5">
        <w:rPr>
          <w:rFonts w:cs="Times New Roman"/>
        </w:rPr>
        <w:t>:124–131. https://doi.org/10.1111/j.1574-6968.2011.02368.x</w:t>
      </w:r>
    </w:p>
    <w:p w14:paraId="2ACD4FD7" w14:textId="6B1BA92C" w:rsidR="009E56F5" w:rsidRPr="009E56F5" w:rsidRDefault="009E56F5" w:rsidP="008F6E0E">
      <w:pPr>
        <w:pStyle w:val="Bibliography"/>
        <w:spacing w:line="360" w:lineRule="auto"/>
        <w:rPr>
          <w:rFonts w:cs="Times New Roman"/>
        </w:rPr>
      </w:pPr>
      <w:r w:rsidRPr="009E56F5">
        <w:rPr>
          <w:rFonts w:cs="Times New Roman"/>
        </w:rPr>
        <w:t xml:space="preserve">23. </w:t>
      </w:r>
      <w:r w:rsidRPr="009E56F5">
        <w:rPr>
          <w:rFonts w:cs="Times New Roman"/>
        </w:rPr>
        <w:tab/>
        <w:t>Mendell JE</w:t>
      </w:r>
      <w:r w:rsidR="007F3225">
        <w:rPr>
          <w:rFonts w:cs="Times New Roman"/>
        </w:rPr>
        <w:t>, Clements KD, Choat JH, Angert ER</w:t>
      </w:r>
      <w:r w:rsidRPr="009E56F5">
        <w:rPr>
          <w:rFonts w:cs="Times New Roman"/>
        </w:rPr>
        <w:t xml:space="preserve">. Extreme polyploidy in a large bacterium. </w:t>
      </w:r>
      <w:r w:rsidRPr="009E56F5">
        <w:rPr>
          <w:rFonts w:cs="Times New Roman"/>
          <w:i/>
          <w:iCs/>
        </w:rPr>
        <w:t>Proceedings of the National Academy of Sciences</w:t>
      </w:r>
      <w:r w:rsidRPr="009E56F5">
        <w:rPr>
          <w:rFonts w:cs="Times New Roman"/>
        </w:rPr>
        <w:t xml:space="preserve"> 2008;</w:t>
      </w:r>
      <w:r w:rsidRPr="009E56F5">
        <w:rPr>
          <w:rFonts w:cs="Times New Roman"/>
          <w:b/>
          <w:bCs/>
        </w:rPr>
        <w:t>105</w:t>
      </w:r>
      <w:r w:rsidRPr="009E56F5">
        <w:rPr>
          <w:rFonts w:cs="Times New Roman"/>
        </w:rPr>
        <w:t>:6730–6734. https://doi.org/10.1073/pnas.0707522105</w:t>
      </w:r>
    </w:p>
    <w:p w14:paraId="217CA46E" w14:textId="2BC9366E" w:rsidR="009E56F5" w:rsidRPr="009E56F5" w:rsidRDefault="009E56F5" w:rsidP="008F6E0E">
      <w:pPr>
        <w:pStyle w:val="Bibliography"/>
        <w:spacing w:line="360" w:lineRule="auto"/>
        <w:rPr>
          <w:rFonts w:cs="Times New Roman"/>
        </w:rPr>
      </w:pPr>
      <w:r w:rsidRPr="009E56F5">
        <w:rPr>
          <w:rFonts w:cs="Times New Roman"/>
        </w:rPr>
        <w:t xml:space="preserve">24. </w:t>
      </w:r>
      <w:r w:rsidRPr="009E56F5">
        <w:rPr>
          <w:rFonts w:cs="Times New Roman"/>
        </w:rPr>
        <w:tab/>
        <w:t>Pecoraro V</w:t>
      </w:r>
      <w:r w:rsidR="007F3225">
        <w:rPr>
          <w:rFonts w:cs="Times New Roman"/>
        </w:rPr>
        <w:t>, Zerulla K, Lange C, Soppa J</w:t>
      </w:r>
      <w:r w:rsidRPr="009E56F5">
        <w:rPr>
          <w:rFonts w:cs="Times New Roman"/>
        </w:rPr>
        <w:t xml:space="preserve">. Quantification of Ploidy in Proteobacteria Revealed the Existence of Monoploid, (Mero-)Oligoploid and Polyploid Species. </w:t>
      </w:r>
      <w:r w:rsidRPr="009E56F5">
        <w:rPr>
          <w:rFonts w:cs="Times New Roman"/>
          <w:i/>
          <w:iCs/>
        </w:rPr>
        <w:t>PLOS ONE</w:t>
      </w:r>
      <w:r w:rsidRPr="009E56F5">
        <w:rPr>
          <w:rFonts w:cs="Times New Roman"/>
        </w:rPr>
        <w:t xml:space="preserve"> 2011;</w:t>
      </w:r>
      <w:r w:rsidRPr="009E56F5">
        <w:rPr>
          <w:rFonts w:cs="Times New Roman"/>
          <w:b/>
          <w:bCs/>
        </w:rPr>
        <w:t>6</w:t>
      </w:r>
      <w:r w:rsidRPr="009E56F5">
        <w:rPr>
          <w:rFonts w:cs="Times New Roman"/>
        </w:rPr>
        <w:t>:e16392. https://doi.org/10.1371/journal.pone.0016392</w:t>
      </w:r>
    </w:p>
    <w:p w14:paraId="45BCC1B7" w14:textId="77777777" w:rsidR="009E56F5" w:rsidRPr="009E56F5" w:rsidRDefault="009E56F5" w:rsidP="008F6E0E">
      <w:pPr>
        <w:pStyle w:val="Bibliography"/>
        <w:spacing w:line="360" w:lineRule="auto"/>
        <w:rPr>
          <w:rFonts w:cs="Times New Roman"/>
        </w:rPr>
      </w:pPr>
      <w:r w:rsidRPr="009E56F5">
        <w:rPr>
          <w:rFonts w:cs="Times New Roman"/>
        </w:rPr>
        <w:t xml:space="preserve">25. </w:t>
      </w:r>
      <w:r w:rsidRPr="009E56F5">
        <w:rPr>
          <w:rFonts w:cs="Times New Roman"/>
        </w:rPr>
        <w:tab/>
        <w:t xml:space="preserve">Shapiro OH, Kushmaro A, Brenner A. Bacteriophage predation regulates microbial abundance and diversity in a full-scale bioreactor treating industrial wastewater. </w:t>
      </w:r>
      <w:r w:rsidRPr="009E56F5">
        <w:rPr>
          <w:rFonts w:cs="Times New Roman"/>
          <w:i/>
          <w:iCs/>
        </w:rPr>
        <w:t>The ISME Journal</w:t>
      </w:r>
      <w:r w:rsidRPr="009E56F5">
        <w:rPr>
          <w:rFonts w:cs="Times New Roman"/>
        </w:rPr>
        <w:t xml:space="preserve"> 2010;</w:t>
      </w:r>
      <w:r w:rsidRPr="009E56F5">
        <w:rPr>
          <w:rFonts w:cs="Times New Roman"/>
          <w:b/>
          <w:bCs/>
        </w:rPr>
        <w:t>4</w:t>
      </w:r>
      <w:r w:rsidRPr="009E56F5">
        <w:rPr>
          <w:rFonts w:cs="Times New Roman"/>
        </w:rPr>
        <w:t>:327–336. https://doi.org/10.1038/ismej.2009.118</w:t>
      </w:r>
    </w:p>
    <w:p w14:paraId="75605455" w14:textId="2355CBD5" w:rsidR="009E56F5" w:rsidRPr="009E56F5" w:rsidRDefault="009E56F5" w:rsidP="008F6E0E">
      <w:pPr>
        <w:pStyle w:val="Bibliography"/>
        <w:spacing w:line="360" w:lineRule="auto"/>
        <w:rPr>
          <w:rFonts w:cs="Times New Roman"/>
        </w:rPr>
      </w:pPr>
      <w:r w:rsidRPr="009E56F5">
        <w:rPr>
          <w:rFonts w:cs="Times New Roman"/>
        </w:rPr>
        <w:t xml:space="preserve">26. </w:t>
      </w:r>
      <w:r w:rsidRPr="009E56F5">
        <w:rPr>
          <w:rFonts w:cs="Times New Roman"/>
        </w:rPr>
        <w:tab/>
        <w:t>Wagner S</w:t>
      </w:r>
      <w:r w:rsidR="007F3225">
        <w:rPr>
          <w:rFonts w:cs="Times New Roman"/>
        </w:rPr>
        <w:t>, Weber M, Paul LS, Grümpel-Schlüter A, Kluess, Neuhaus K, et al</w:t>
      </w:r>
      <w:r w:rsidRPr="009E56F5">
        <w:rPr>
          <w:rFonts w:cs="Times New Roman"/>
        </w:rPr>
        <w:t xml:space="preserve">. Absolute abundance calculation enhances the significance of microbiome data in antibiotic treatment studies. </w:t>
      </w:r>
      <w:r w:rsidRPr="009E56F5">
        <w:rPr>
          <w:rFonts w:cs="Times New Roman"/>
          <w:i/>
          <w:iCs/>
        </w:rPr>
        <w:t>Front Microbiol</w:t>
      </w:r>
      <w:r w:rsidRPr="009E56F5">
        <w:rPr>
          <w:rFonts w:cs="Times New Roman"/>
        </w:rPr>
        <w:t xml:space="preserve"> 2025;</w:t>
      </w:r>
      <w:r w:rsidRPr="009E56F5">
        <w:rPr>
          <w:rFonts w:cs="Times New Roman"/>
          <w:b/>
          <w:bCs/>
        </w:rPr>
        <w:t>16</w:t>
      </w:r>
      <w:r w:rsidRPr="009E56F5">
        <w:rPr>
          <w:rFonts w:cs="Times New Roman"/>
        </w:rPr>
        <w:t>. https://doi.org/10.3389/fmicb.2025.1481197</w:t>
      </w:r>
    </w:p>
    <w:p w14:paraId="0B902C54" w14:textId="77777777" w:rsidR="009E56F5" w:rsidRPr="009E56F5" w:rsidRDefault="009E56F5" w:rsidP="008F6E0E">
      <w:pPr>
        <w:pStyle w:val="Bibliography"/>
        <w:spacing w:line="360" w:lineRule="auto"/>
        <w:rPr>
          <w:rFonts w:cs="Times New Roman"/>
        </w:rPr>
      </w:pPr>
      <w:r w:rsidRPr="009E56F5">
        <w:rPr>
          <w:rFonts w:cs="Times New Roman"/>
        </w:rPr>
        <w:t xml:space="preserve">27. </w:t>
      </w:r>
      <w:r w:rsidRPr="009E56F5">
        <w:rPr>
          <w:rFonts w:cs="Times New Roman"/>
        </w:rPr>
        <w:tab/>
        <w:t xml:space="preserve">Kers JG, Saccenti E. The Power of Microbiome Studies: Some Considerations on Which Alpha and Beta Metrics to Use and How to Report Results. </w:t>
      </w:r>
      <w:r w:rsidRPr="009E56F5">
        <w:rPr>
          <w:rFonts w:cs="Times New Roman"/>
          <w:i/>
          <w:iCs/>
        </w:rPr>
        <w:t>Front Microbiol</w:t>
      </w:r>
      <w:r w:rsidRPr="009E56F5">
        <w:rPr>
          <w:rFonts w:cs="Times New Roman"/>
        </w:rPr>
        <w:t xml:space="preserve"> 2022;</w:t>
      </w:r>
      <w:r w:rsidRPr="009E56F5">
        <w:rPr>
          <w:rFonts w:cs="Times New Roman"/>
          <w:b/>
          <w:bCs/>
        </w:rPr>
        <w:t>12</w:t>
      </w:r>
      <w:r w:rsidRPr="009E56F5">
        <w:rPr>
          <w:rFonts w:cs="Times New Roman"/>
        </w:rPr>
        <w:t>. https://doi.org/10.3389/fmicb.2021.796025</w:t>
      </w:r>
    </w:p>
    <w:p w14:paraId="1505FB22" w14:textId="1585C3BE" w:rsidR="00652D56" w:rsidRDefault="008D202E" w:rsidP="008F6E0E">
      <w:pPr>
        <w:pStyle w:val="Bibliography"/>
        <w:spacing w:line="360" w:lineRule="auto"/>
      </w:pPr>
      <w:r>
        <w:fldChar w:fldCharType="end"/>
      </w:r>
    </w:p>
    <w:p w14:paraId="47B31269" w14:textId="77777777" w:rsidR="00652D56" w:rsidRDefault="00652D56" w:rsidP="008F6E0E">
      <w:pPr>
        <w:spacing w:line="360" w:lineRule="auto"/>
      </w:pPr>
      <w:r>
        <w:br w:type="page"/>
      </w:r>
    </w:p>
    <w:p w14:paraId="0B3F46A4" w14:textId="507CE60B" w:rsidR="00E67659" w:rsidRPr="00652D56" w:rsidRDefault="00652D56" w:rsidP="008F6E0E">
      <w:pPr>
        <w:pStyle w:val="Bibliography"/>
        <w:spacing w:after="160" w:line="360" w:lineRule="auto"/>
        <w:rPr>
          <w:rFonts w:cs="Times New Roman"/>
          <w:b/>
          <w:bCs/>
        </w:rPr>
      </w:pPr>
      <w:r w:rsidRPr="00652D56">
        <w:rPr>
          <w:rFonts w:cs="Times New Roman"/>
          <w:b/>
          <w:bCs/>
        </w:rPr>
        <w:lastRenderedPageBreak/>
        <w:t xml:space="preserve">Figure Legends </w:t>
      </w:r>
    </w:p>
    <w:p w14:paraId="6306268F" w14:textId="4438B849" w:rsidR="00652D56" w:rsidRPr="00652D56" w:rsidRDefault="00652D56" w:rsidP="008F6E0E">
      <w:pPr>
        <w:spacing w:line="360" w:lineRule="auto"/>
        <w:rPr>
          <w:rFonts w:cs="Times New Roman"/>
        </w:rPr>
      </w:pPr>
      <w:r w:rsidRPr="00652D56">
        <w:rPr>
          <w:rFonts w:cs="Times New Roman"/>
          <w:b/>
          <w:bCs/>
          <w:i/>
          <w:iCs/>
        </w:rPr>
        <w:t>Figure 1.</w:t>
      </w:r>
      <w:r w:rsidRPr="00652D56">
        <w:rPr>
          <w:rFonts w:cs="Times New Roman"/>
          <w:i/>
          <w:iCs/>
        </w:rPr>
        <w:t xml:space="preserve"> </w:t>
      </w:r>
      <w:r w:rsidRPr="00652D56">
        <w:rPr>
          <w:rFonts w:cs="Times New Roman"/>
          <w:b/>
          <w:bCs/>
          <w:i/>
          <w:iCs/>
        </w:rPr>
        <w:t>Simulated communities reveal how absolute abundance affects phylogenetic and non-phylogenetic β-diversity measures.</w:t>
      </w:r>
      <w:r w:rsidRPr="00652D56">
        <w:rPr>
          <w:rFonts w:cs="Times New Roman"/>
        </w:rPr>
        <w:t xml:space="preserve"> (A) We constructed a simple four-ASV community with a known phylogeny and generated all permutations of each ASV having an absolute abundance of 1, 10, or 100, resulting in 81 unique communities and 3,240 pairwise comparisons. (B) Distributions of pairwise differences between weighted </w:t>
      </w:r>
      <w:proofErr w:type="spellStart"/>
      <w:r w:rsidRPr="00652D56">
        <w:rPr>
          <w:rFonts w:cs="Times New Roman"/>
        </w:rPr>
        <w:t>UniFrac</w:t>
      </w:r>
      <w:proofErr w:type="spellEnd"/>
      <w:r w:rsidRPr="00652D56">
        <w:rPr>
          <w:rFonts w:cs="Times New Roman"/>
        </w:rPr>
        <w:t xml:space="preserve"> using absolute abundance (</w:t>
      </w:r>
      <m:oMath>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A</m:t>
            </m:r>
          </m:sup>
        </m:sSup>
      </m:oMath>
      <w:r w:rsidRPr="00652D56">
        <w:rPr>
          <w:rFonts w:cs="Times New Roman"/>
        </w:rPr>
        <w:t>) and three other metrics: Bray-Curtis using relative abundance (</w:t>
      </w:r>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R</m:t>
            </m:r>
          </m:sup>
        </m:sSup>
      </m:oMath>
      <w:r w:rsidRPr="00652D56">
        <w:rPr>
          <w:rFonts w:cs="Times New Roman"/>
        </w:rPr>
        <w:t>), weighted UniFrac using relative abundance (</w:t>
      </w:r>
      <m:oMath>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R</m:t>
            </m:r>
          </m:sup>
        </m:sSup>
      </m:oMath>
      <w:r w:rsidRPr="00652D56">
        <w:rPr>
          <w:rFonts w:cs="Times New Roman"/>
        </w:rPr>
        <w:t>), and Bray-Curtis using absolute abundance (</w:t>
      </w:r>
      <m:oMath>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A</m:t>
            </m:r>
          </m:sup>
        </m:sSup>
      </m:oMath>
      <w:r w:rsidRPr="00652D56">
        <w:rPr>
          <w:rFonts w:cs="Times New Roman"/>
        </w:rPr>
        <w:t>). (C) Illustrative sample pairs demonstrate how absolute abundances and phylogenetic structure interact to increase or decrease dissimilarity across metrics. Stars indicate where each scenario falls within the distributions shown in panel B. Actual values for each metric are displayed beneath each scenario.</w:t>
      </w:r>
    </w:p>
    <w:p w14:paraId="0D952679" w14:textId="77777777" w:rsidR="00652D56" w:rsidRPr="00652D56" w:rsidRDefault="00652D56" w:rsidP="008F6E0E">
      <w:pPr>
        <w:spacing w:line="360" w:lineRule="auto"/>
        <w:rPr>
          <w:rFonts w:cs="Times New Roman"/>
        </w:rPr>
      </w:pPr>
      <w:r w:rsidRPr="00652D56">
        <w:rPr>
          <w:rFonts w:cs="Times New Roman"/>
          <w:b/>
          <w:bCs/>
          <w:i/>
          <w:iCs/>
        </w:rPr>
        <w:t xml:space="preserve">Figure 2. Absolute </w:t>
      </w:r>
      <w:proofErr w:type="spellStart"/>
      <w:r w:rsidRPr="00652D56">
        <w:rPr>
          <w:rFonts w:cs="Times New Roman"/>
          <w:b/>
          <w:bCs/>
          <w:i/>
          <w:iCs/>
        </w:rPr>
        <w:t>UniFrac</w:t>
      </w:r>
      <w:proofErr w:type="spellEnd"/>
      <w:r w:rsidRPr="00652D56">
        <w:rPr>
          <w:rFonts w:cs="Times New Roman"/>
          <w:b/>
          <w:bCs/>
          <w:i/>
          <w:iCs/>
        </w:rPr>
        <w:t xml:space="preserve"> (U</w:t>
      </w:r>
      <w:r w:rsidRPr="00652D56">
        <w:rPr>
          <w:rFonts w:cs="Times New Roman"/>
          <w:b/>
          <w:bCs/>
          <w:i/>
          <w:iCs/>
          <w:vertAlign w:val="superscript"/>
        </w:rPr>
        <w:t>A</w:t>
      </w:r>
      <w:r w:rsidRPr="00652D56">
        <w:rPr>
          <w:rFonts w:cs="Times New Roman"/>
          <w:b/>
          <w:bCs/>
          <w:i/>
          <w:iCs/>
        </w:rPr>
        <w:t xml:space="preserve">) compared with other </w:t>
      </w:r>
      <w:r w:rsidRPr="00652D56">
        <w:rPr>
          <w:rFonts w:cs="Times New Roman"/>
          <w:b/>
          <w:bCs/>
          <w:i/>
          <w:iCs/>
        </w:rPr>
        <w:sym w:font="Symbol" w:char="F062"/>
      </w:r>
      <w:r w:rsidRPr="00652D56">
        <w:rPr>
          <w:rFonts w:cs="Times New Roman"/>
          <w:b/>
          <w:bCs/>
          <w:i/>
          <w:iCs/>
        </w:rPr>
        <w:t>-diversity metrics across four real microbial datasets.</w:t>
      </w:r>
      <w:r w:rsidRPr="00652D56">
        <w:rPr>
          <w:rFonts w:cs="Times New Roman"/>
          <w:i/>
          <w:iCs/>
        </w:rPr>
        <w:t xml:space="preserve"> </w:t>
      </w:r>
      <w:r w:rsidRPr="00652D56">
        <w:rPr>
          <w:rFonts w:cs="Times New Roman"/>
        </w:rPr>
        <w:t xml:space="preserve">Each panel shows pairwise sample distances for </w:t>
      </w:r>
      <w:r w:rsidRPr="00652D56">
        <w:rPr>
          <w:rFonts w:cs="Times New Roman"/>
          <w:i/>
          <w:iCs/>
        </w:rPr>
        <w:t>U</w:t>
      </w:r>
      <w:r w:rsidRPr="00652D56">
        <w:rPr>
          <w:rFonts w:cs="Times New Roman"/>
          <w:i/>
          <w:iCs/>
          <w:vertAlign w:val="superscript"/>
        </w:rPr>
        <w:t>A</w:t>
      </w:r>
      <w:r w:rsidRPr="00652D56">
        <w:rPr>
          <w:rFonts w:cs="Times New Roman"/>
        </w:rPr>
        <w:t xml:space="preserve"> (x-axis) against another metric (y-axis): Bray-Curtis using relative abundance (</w:t>
      </w:r>
      <w:r w:rsidRPr="00652D56">
        <w:rPr>
          <w:rFonts w:cs="Times New Roman"/>
          <w:i/>
          <w:iCs/>
        </w:rPr>
        <w:t>BC</w:t>
      </w:r>
      <w:r w:rsidRPr="00652D56">
        <w:rPr>
          <w:rFonts w:cs="Times New Roman"/>
          <w:i/>
          <w:iCs/>
          <w:vertAlign w:val="superscript"/>
        </w:rPr>
        <w:t>R</w:t>
      </w:r>
      <w:r w:rsidRPr="00652D56">
        <w:rPr>
          <w:rFonts w:cs="Times New Roman"/>
        </w:rPr>
        <w:t xml:space="preserve">, first column), weighted </w:t>
      </w:r>
      <w:proofErr w:type="spellStart"/>
      <w:r w:rsidRPr="00652D56">
        <w:rPr>
          <w:rFonts w:cs="Times New Roman"/>
        </w:rPr>
        <w:t>UniFrac</w:t>
      </w:r>
      <w:proofErr w:type="spellEnd"/>
      <w:r w:rsidRPr="00652D56">
        <w:rPr>
          <w:rFonts w:cs="Times New Roman"/>
        </w:rPr>
        <w:t xml:space="preserve"> using relative abundances (</w:t>
      </w:r>
      <w:r w:rsidRPr="00652D56">
        <w:rPr>
          <w:rFonts w:cs="Times New Roman"/>
          <w:i/>
          <w:iCs/>
        </w:rPr>
        <w:t>U</w:t>
      </w:r>
      <w:r w:rsidRPr="00652D56">
        <w:rPr>
          <w:rFonts w:cs="Times New Roman"/>
          <w:i/>
          <w:iCs/>
          <w:vertAlign w:val="superscript"/>
        </w:rPr>
        <w:t>R</w:t>
      </w:r>
      <w:r w:rsidRPr="00652D56">
        <w:rPr>
          <w:rFonts w:cs="Times New Roman"/>
        </w:rPr>
        <w:t>, second column), and Bray-</w:t>
      </w:r>
      <w:proofErr w:type="spellStart"/>
      <w:r w:rsidRPr="00652D56">
        <w:rPr>
          <w:rFonts w:cs="Times New Roman"/>
        </w:rPr>
        <w:t>curtis</w:t>
      </w:r>
      <w:proofErr w:type="spellEnd"/>
      <w:r w:rsidRPr="00652D56">
        <w:rPr>
          <w:rFonts w:cs="Times New Roman"/>
        </w:rPr>
        <w:t xml:space="preserve"> using absolute abundances (</w:t>
      </w:r>
      <w:r w:rsidRPr="00652D56">
        <w:rPr>
          <w:rFonts w:cs="Times New Roman"/>
          <w:i/>
          <w:iCs/>
        </w:rPr>
        <w:t>BC</w:t>
      </w:r>
      <w:r w:rsidRPr="00652D56">
        <w:rPr>
          <w:rFonts w:cs="Times New Roman"/>
          <w:i/>
          <w:iCs/>
          <w:vertAlign w:val="superscript"/>
        </w:rPr>
        <w:t>A</w:t>
      </w:r>
      <w:r w:rsidRPr="00652D56">
        <w:rPr>
          <w:rFonts w:cs="Times New Roman"/>
        </w:rPr>
        <w:t xml:space="preserve">, third column). Contours indicate the relative density of pairwise comparisons (n shown for each dataset, left), with darker shading corresponding to more observations. The dashed line marks the 1:1 relationship. Points above the line indicate cases where </w:t>
      </w:r>
      <w:r w:rsidRPr="00652D56">
        <w:rPr>
          <w:rFonts w:cs="Times New Roman"/>
          <w:i/>
          <w:iCs/>
        </w:rPr>
        <w:t>U</w:t>
      </w:r>
      <w:r w:rsidRPr="00652D56">
        <w:rPr>
          <w:rFonts w:cs="Times New Roman"/>
          <w:i/>
          <w:iCs/>
          <w:vertAlign w:val="superscript"/>
        </w:rPr>
        <w:t>A</w:t>
      </w:r>
      <w:r w:rsidRPr="00652D56">
        <w:rPr>
          <w:rFonts w:cs="Times New Roman"/>
        </w:rPr>
        <w:t xml:space="preserve"> is smaller than the comparator metric, while points below the line indicate cases where </w:t>
      </w:r>
      <w:r w:rsidRPr="00652D56">
        <w:rPr>
          <w:rFonts w:cs="Times New Roman"/>
          <w:i/>
          <w:iCs/>
        </w:rPr>
        <w:t>U</w:t>
      </w:r>
      <w:r w:rsidRPr="00652D56">
        <w:rPr>
          <w:rFonts w:cs="Times New Roman"/>
          <w:i/>
          <w:iCs/>
          <w:vertAlign w:val="superscript"/>
        </w:rPr>
        <w:t>A</w:t>
      </w:r>
      <w:r w:rsidRPr="00652D56">
        <w:rPr>
          <w:rFonts w:cs="Times New Roman"/>
        </w:rPr>
        <w:t xml:space="preserve"> is larger.</w:t>
      </w:r>
    </w:p>
    <w:p w14:paraId="074CF10E" w14:textId="2A61AC7E" w:rsidR="00652D56" w:rsidRPr="00652D56" w:rsidRDefault="00652D56" w:rsidP="008F6E0E">
      <w:pPr>
        <w:spacing w:line="360" w:lineRule="auto"/>
        <w:rPr>
          <w:rFonts w:cs="Times New Roman"/>
        </w:rPr>
      </w:pPr>
      <w:r w:rsidRPr="00652D56">
        <w:rPr>
          <w:rFonts w:cs="Times New Roman"/>
          <w:b/>
          <w:bCs/>
          <w:i/>
          <w:iCs/>
        </w:rPr>
        <w:t>Figure 3. Discriminatory performance of U</w:t>
      </w:r>
      <w:r w:rsidRPr="00652D56">
        <w:rPr>
          <w:rFonts w:cs="Times New Roman"/>
          <w:b/>
          <w:bCs/>
          <w:i/>
          <w:iCs/>
          <w:vertAlign w:val="superscript"/>
        </w:rPr>
        <w:t>A</w:t>
      </w:r>
      <w:r w:rsidRPr="00652D56">
        <w:rPr>
          <w:rFonts w:cs="Times New Roman"/>
          <w:b/>
          <w:bCs/>
          <w:i/>
          <w:iCs/>
        </w:rPr>
        <w:t xml:space="preserve"> and related metrics across four microbial systems.</w:t>
      </w:r>
      <w:r w:rsidRPr="00652D56">
        <w:rPr>
          <w:rFonts w:cs="Times New Roman"/>
          <w:i/>
          <w:iCs/>
        </w:rPr>
        <w:t xml:space="preserve"> </w:t>
      </w:r>
      <w:r w:rsidRPr="00652D56">
        <w:rPr>
          <w:rFonts w:cs="Times New Roman"/>
        </w:rPr>
        <w:t>(A) PERMANOVAs were used to quantify the percent variance (</w:t>
      </w:r>
      <w:r w:rsidRPr="00652D56">
        <w:rPr>
          <w:rFonts w:cs="Times New Roman"/>
          <w:i/>
          <w:iCs/>
        </w:rPr>
        <w:t>R</w:t>
      </w:r>
      <w:r w:rsidRPr="00652D56">
        <w:rPr>
          <w:rFonts w:cs="Times New Roman"/>
          <w:i/>
          <w:iCs/>
          <w:vertAlign w:val="superscript"/>
        </w:rPr>
        <w:t>2</w:t>
      </w:r>
      <w:r w:rsidRPr="00652D56">
        <w:rPr>
          <w:rFonts w:cs="Times New Roman"/>
        </w:rPr>
        <w:t xml:space="preserve">) explained by predefined categorical groups (shown in italics beneath each dataset name), with 1,000 permutations. PERMANOVA results were evaluated across five metrics and, where applicable, across eleven </w:t>
      </w:r>
      <m:oMath>
        <m:r>
          <w:rPr>
            <w:rFonts w:ascii="Cambria Math" w:hAnsi="Cambria Math" w:cs="Times New Roman"/>
          </w:rPr>
          <m:t>α</m:t>
        </m:r>
      </m:oMath>
      <w:r w:rsidRPr="00652D56">
        <w:rPr>
          <w:rFonts w:eastAsiaTheme="minorEastAsia" w:cs="Times New Roman"/>
        </w:rPr>
        <w:t xml:space="preserve"> values (0-1 in 0.1 increments). For consistency with the original studies, only samples from Reactor cycle 1 were used for the cooling-water dataset, only stool samples for the mouse gut dataset, and only mature rhizosphere samples for the soil dataset (no samples were excluded from the freshwater dataset). (B) Mantel correlation (R) between each distance metric and the pairwise differences in absolute abundance (cell counts or 16S copy number), illustrating the degree to which each metric is driven by biomass differences.</w:t>
      </w:r>
    </w:p>
    <w:p w14:paraId="43FE87CE" w14:textId="77777777" w:rsidR="00652D56" w:rsidRPr="00652D56" w:rsidRDefault="00652D56" w:rsidP="008F6E0E">
      <w:pPr>
        <w:spacing w:line="360" w:lineRule="auto"/>
        <w:rPr>
          <w:rFonts w:cs="Times New Roman"/>
        </w:rPr>
      </w:pPr>
      <w:r w:rsidRPr="00652D56">
        <w:rPr>
          <w:rFonts w:cs="Times New Roman"/>
          <w:b/>
          <w:bCs/>
          <w:i/>
          <w:iCs/>
        </w:rPr>
        <w:lastRenderedPageBreak/>
        <w:t>Figure 4. GU</w:t>
      </w:r>
      <w:r w:rsidRPr="00652D56">
        <w:rPr>
          <w:rFonts w:cs="Times New Roman"/>
          <w:b/>
          <w:bCs/>
          <w:i/>
          <w:iCs/>
          <w:vertAlign w:val="superscript"/>
        </w:rPr>
        <w:t>A</w:t>
      </w:r>
      <w:r w:rsidRPr="00652D56">
        <w:rPr>
          <w:rFonts w:cs="Times New Roman"/>
          <w:b/>
          <w:bCs/>
          <w:i/>
          <w:iCs/>
        </w:rPr>
        <w:t xml:space="preserve"> requires more computational time but remains resilient to quantification error.</w:t>
      </w:r>
      <w:r w:rsidRPr="00652D56">
        <w:rPr>
          <w:rFonts w:cs="Times New Roman"/>
          <w:i/>
          <w:iCs/>
        </w:rPr>
        <w:t xml:space="preserve"> </w:t>
      </w:r>
      <w:r w:rsidRPr="00652D56">
        <w:rPr>
          <w:rFonts w:cs="Times New Roman"/>
        </w:rPr>
        <w:t xml:space="preserve">(A) Runtime for </w:t>
      </w:r>
      <w:r w:rsidRPr="00652D56">
        <w:rPr>
          <w:rFonts w:cs="Times New Roman"/>
          <w:i/>
          <w:iCs/>
        </w:rPr>
        <w:t>GU</w:t>
      </w:r>
      <w:r w:rsidRPr="00652D56">
        <w:rPr>
          <w:rFonts w:cs="Times New Roman"/>
          <w:i/>
          <w:iCs/>
          <w:vertAlign w:val="superscript"/>
        </w:rPr>
        <w:t>A</w:t>
      </w:r>
      <w:r w:rsidRPr="00652D56">
        <w:rPr>
          <w:rFonts w:cs="Times New Roman"/>
          <w:i/>
          <w:iCs/>
        </w:rPr>
        <w:t xml:space="preserve"> </w:t>
      </w:r>
      <w:r w:rsidRPr="00652D56">
        <w:rPr>
          <w:rFonts w:cs="Times New Roman"/>
        </w:rPr>
        <w:t>(</w:t>
      </w:r>
      <w:proofErr w:type="spellStart"/>
      <w:r w:rsidRPr="00652D56">
        <w:rPr>
          <w:rFonts w:cs="Times New Roman"/>
        </w:rPr>
        <w:t>GUniFrac</w:t>
      </w:r>
      <w:proofErr w:type="spellEnd"/>
      <w:r w:rsidRPr="00652D56">
        <w:rPr>
          <w:rFonts w:cs="Times New Roman"/>
        </w:rPr>
        <w:t xml:space="preserve"> package), </w:t>
      </w:r>
      <w:r w:rsidRPr="00652D56">
        <w:rPr>
          <w:rFonts w:cs="Times New Roman"/>
          <w:i/>
          <w:iCs/>
        </w:rPr>
        <w:t>U</w:t>
      </w:r>
      <w:r w:rsidRPr="00652D56">
        <w:rPr>
          <w:rFonts w:cs="Times New Roman"/>
          <w:i/>
          <w:iCs/>
          <w:vertAlign w:val="superscript"/>
        </w:rPr>
        <w:t>R</w:t>
      </w:r>
      <w:r w:rsidRPr="00652D56">
        <w:rPr>
          <w:rFonts w:cs="Times New Roman"/>
        </w:rPr>
        <w:t xml:space="preserve"> (</w:t>
      </w:r>
      <w:proofErr w:type="spellStart"/>
      <w:r w:rsidRPr="00652D56">
        <w:rPr>
          <w:rFonts w:cs="Times New Roman"/>
        </w:rPr>
        <w:t>FastUniFrac</w:t>
      </w:r>
      <w:proofErr w:type="spellEnd"/>
      <w:r w:rsidRPr="00652D56">
        <w:rPr>
          <w:rFonts w:cs="Times New Roman"/>
        </w:rPr>
        <w:t xml:space="preserve"> in the </w:t>
      </w:r>
      <w:proofErr w:type="spellStart"/>
      <w:r w:rsidRPr="00652D56">
        <w:rPr>
          <w:rFonts w:cs="Times New Roman"/>
        </w:rPr>
        <w:t>phyloseq</w:t>
      </w:r>
      <w:proofErr w:type="spellEnd"/>
      <w:r w:rsidRPr="00652D56">
        <w:rPr>
          <w:rFonts w:cs="Times New Roman"/>
        </w:rPr>
        <w:t xml:space="preserve"> package) and </w:t>
      </w:r>
      <w:r w:rsidRPr="00652D56">
        <w:rPr>
          <w:rFonts w:cs="Times New Roman"/>
          <w:i/>
          <w:iCs/>
        </w:rPr>
        <w:t>BC</w:t>
      </w:r>
      <w:r w:rsidRPr="00652D56">
        <w:rPr>
          <w:rFonts w:cs="Times New Roman"/>
          <w:i/>
          <w:iCs/>
          <w:vertAlign w:val="superscript"/>
        </w:rPr>
        <w:t>A</w:t>
      </w:r>
      <w:r w:rsidRPr="00652D56">
        <w:rPr>
          <w:rFonts w:cs="Times New Roman"/>
        </w:rPr>
        <w:t xml:space="preserve"> (vegan package) was benchmarked across 50 iterations on a sub-sampled soil dataset (mature samples only) </w:t>
      </w:r>
      <w:r w:rsidRPr="00652D56">
        <w:rPr>
          <w:rFonts w:cs="Times New Roman"/>
        </w:rPr>
        <w:fldChar w:fldCharType="begin"/>
      </w:r>
      <w:r w:rsidRPr="00652D56">
        <w:rPr>
          <w:rFonts w:cs="Times New Roman"/>
        </w:rPr>
        <w:instrText xml:space="preserve"> ADDIN ZOTERO_ITEM CSL_CITATION {"citationID":"OAkv404I","properties":{"formattedCitation":"[10]","plainCitation":"[10]","noteIndex":0},"citationItems":[{"id":2082,"uris":["http://zotero.org/groups/5077571/items/7DSKNWDW"],"itemData":{"id":2082,"type":"article-journal","abstract":"High-throughput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Pr="00652D56">
        <w:rPr>
          <w:rFonts w:cs="Times New Roman"/>
        </w:rPr>
        <w:fldChar w:fldCharType="separate"/>
      </w:r>
      <w:r w:rsidRPr="00652D56">
        <w:rPr>
          <w:rFonts w:cs="Times New Roman"/>
          <w:noProof/>
        </w:rPr>
        <w:t>[10]</w:t>
      </w:r>
      <w:r w:rsidRPr="00652D56">
        <w:rPr>
          <w:rFonts w:cs="Times New Roman"/>
        </w:rPr>
        <w:fldChar w:fldCharType="end"/>
      </w:r>
      <w:r w:rsidRPr="00652D56">
        <w:rPr>
          <w:rFonts w:cs="Times New Roman"/>
        </w:rPr>
        <w:t xml:space="preserve">, using increasing ASV richness (50, 100, 200, 500, 1,000, 2,000, 5,000, 10,000), with 10 samples and one </w:t>
      </w:r>
      <m:oMath>
        <m:r>
          <w:rPr>
            <w:rFonts w:ascii="Cambria Math" w:hAnsi="Cambria Math" w:cs="Times New Roman"/>
          </w:rPr>
          <m:t>α</m:t>
        </m:r>
      </m:oMath>
      <w:r w:rsidRPr="00652D56">
        <w:rPr>
          <w:rFonts w:cs="Times New Roman"/>
        </w:rPr>
        <w:t xml:space="preserve"> value per run (unweighted UniFrac is also calculated by default). Error bars represent standard deviation. (B) Quadratic relationship between </w:t>
      </w:r>
      <w:r w:rsidRPr="00652D56">
        <w:rPr>
          <w:rFonts w:cs="Times New Roman"/>
          <w:i/>
          <w:iCs/>
        </w:rPr>
        <w:t>GU</w:t>
      </w:r>
      <w:r w:rsidRPr="00652D56">
        <w:rPr>
          <w:rFonts w:cs="Times New Roman"/>
          <w:i/>
          <w:iCs/>
          <w:vertAlign w:val="superscript"/>
        </w:rPr>
        <w:t>A</w:t>
      </w:r>
      <w:r w:rsidRPr="00652D56">
        <w:rPr>
          <w:rFonts w:cs="Times New Roman"/>
          <w:i/>
          <w:iCs/>
        </w:rPr>
        <w:t xml:space="preserve"> </w:t>
      </w:r>
      <w:r w:rsidRPr="00652D56">
        <w:rPr>
          <w:rFonts w:cs="Times New Roman"/>
        </w:rPr>
        <w:t xml:space="preserve">computation time and ASV richness. Large center point represents median across 50 iterations, error bars (standard deviation) are too small to be seen. All benchmarks were run on an AMD EPYC 64-core processor with 1014 GB system memory (R v4.3.3, vegan v2.7-1, </w:t>
      </w:r>
      <w:proofErr w:type="spellStart"/>
      <w:r w:rsidRPr="00652D56">
        <w:rPr>
          <w:rFonts w:cs="Times New Roman"/>
        </w:rPr>
        <w:t>phyloseq</w:t>
      </w:r>
      <w:proofErr w:type="spellEnd"/>
      <w:r w:rsidRPr="00652D56">
        <w:rPr>
          <w:rFonts w:cs="Times New Roman"/>
        </w:rPr>
        <w:t xml:space="preserve"> v1.52.0, </w:t>
      </w:r>
      <w:proofErr w:type="spellStart"/>
      <w:r w:rsidRPr="00652D56">
        <w:rPr>
          <w:rFonts w:cs="Times New Roman"/>
        </w:rPr>
        <w:t>GUnifrac</w:t>
      </w:r>
      <w:proofErr w:type="spellEnd"/>
      <w:r w:rsidRPr="00652D56">
        <w:rPr>
          <w:rFonts w:cs="Times New Roman"/>
        </w:rPr>
        <w:t xml:space="preserve"> v1.8.1). (C-D) Sensitivity of </w:t>
      </w:r>
      <w:r w:rsidRPr="00652D56">
        <w:rPr>
          <w:rFonts w:cs="Times New Roman"/>
          <w:i/>
          <w:iCs/>
        </w:rPr>
        <w:t>GU</w:t>
      </w:r>
      <w:r w:rsidRPr="00652D56">
        <w:rPr>
          <w:rFonts w:cs="Times New Roman"/>
          <w:i/>
          <w:iCs/>
          <w:vertAlign w:val="superscript"/>
        </w:rPr>
        <w:t>A</w:t>
      </w:r>
      <w:r w:rsidRPr="00652D56">
        <w:rPr>
          <w:rFonts w:cs="Times New Roman"/>
        </w:rPr>
        <w:t xml:space="preserve"> (</w:t>
      </w:r>
      <m:oMath>
        <m:r>
          <w:rPr>
            <w:rFonts w:ascii="Cambria Math" w:hAnsi="Cambria Math" w:cs="Times New Roman"/>
          </w:rPr>
          <m:t>α</m:t>
        </m:r>
      </m:oMath>
      <w:r w:rsidRPr="00652D56">
        <w:rPr>
          <w:rFonts w:cs="Times New Roman"/>
        </w:rPr>
        <w:t xml:space="preserve"> = 1 and 0.2) and </w:t>
      </w:r>
      <w:r w:rsidRPr="00652D56">
        <w:rPr>
          <w:rFonts w:cs="Times New Roman"/>
          <w:i/>
          <w:iCs/>
        </w:rPr>
        <w:t>BC</w:t>
      </w:r>
      <w:r w:rsidRPr="00652D56">
        <w:rPr>
          <w:rFonts w:cs="Times New Roman"/>
          <w:i/>
          <w:iCs/>
          <w:vertAlign w:val="superscript"/>
        </w:rPr>
        <w:t>A</w:t>
      </w:r>
      <w:r w:rsidRPr="00652D56">
        <w:rPr>
          <w:rFonts w:cs="Times New Roman"/>
        </w:rPr>
        <w:t xml:space="preserve"> to measurement error was evaluated by adding random variation (±1% to ±50%; Supporting Methods) to 16S copy number estimates in stool samples from the mouse gut dataset </w:t>
      </w:r>
      <w:r w:rsidRPr="00652D56">
        <w:rPr>
          <w:rFonts w:cs="Times New Roman"/>
        </w:rPr>
        <w:fldChar w:fldCharType="begin"/>
      </w:r>
      <w:r w:rsidRPr="00652D56">
        <w:rPr>
          <w:rFonts w:cs="Times New Roman"/>
        </w:rPr>
        <w:instrText xml:space="preserve"> ADDIN ZOTERO_ITEM CSL_CITATION {"citationID":"shcUK0s4","properties":{"formattedCitation":"[3]","plainCitation":"[3]","noteIndex":0},"citationItems":[{"id":2078,"uris":["http://zotero.org/groups/5077571/items/9FC6PKRB"],"itemData":{"id":2078,"type":"article-journal","abstract":"A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Pr="00652D56">
        <w:rPr>
          <w:rFonts w:cs="Times New Roman"/>
        </w:rPr>
        <w:fldChar w:fldCharType="separate"/>
      </w:r>
      <w:r w:rsidRPr="00652D56">
        <w:rPr>
          <w:rFonts w:cs="Times New Roman"/>
          <w:noProof/>
        </w:rPr>
        <w:t>[3]</w:t>
      </w:r>
      <w:r w:rsidRPr="00652D56">
        <w:rPr>
          <w:rFonts w:cs="Times New Roman"/>
        </w:rPr>
        <w:fldChar w:fldCharType="end"/>
      </w:r>
      <w:r w:rsidRPr="00652D56">
        <w:rPr>
          <w:rFonts w:cs="Times New Roman"/>
        </w:rPr>
        <w:t>. For each error level, 50 replicate matrices were generated and compared to the original values. Panels reflect the (C) mean difference and (D) max difference between the error-added metrics compared to the originals. Error bars represent the standard deviation of the average mean and max difference across 50 iterations.</w:t>
      </w:r>
    </w:p>
    <w:p w14:paraId="44AE4755" w14:textId="6C2AE379" w:rsidR="008F6E0E" w:rsidRDefault="008F6E0E" w:rsidP="008F6E0E">
      <w:pPr>
        <w:spacing w:line="360" w:lineRule="auto"/>
      </w:pPr>
      <w:r>
        <w:br w:type="page"/>
      </w:r>
    </w:p>
    <w:p w14:paraId="132A66D7" w14:textId="77777777" w:rsidR="008F6E0E" w:rsidRDefault="008F6E0E" w:rsidP="008F6E0E">
      <w:pPr>
        <w:pStyle w:val="p1"/>
        <w:spacing w:line="360" w:lineRule="auto"/>
        <w:rPr>
          <w:b/>
          <w:bCs/>
        </w:rPr>
      </w:pPr>
      <w:r w:rsidRPr="00153449">
        <w:rPr>
          <w:b/>
          <w:bCs/>
        </w:rPr>
        <w:lastRenderedPageBreak/>
        <w:t xml:space="preserve">Box 1: </w:t>
      </w:r>
      <w:r w:rsidRPr="006A381E">
        <w:rPr>
          <w:b/>
          <w:bCs/>
        </w:rPr>
        <w:t>β-diversity metrics should reflect the hypothesis being tested</w:t>
      </w:r>
    </w:p>
    <w:p w14:paraId="5CB7FD67" w14:textId="77777777" w:rsidR="008F6E0E" w:rsidRDefault="008F6E0E" w:rsidP="008F6E0E">
      <w:pPr>
        <w:pStyle w:val="p1"/>
        <w:spacing w:line="360" w:lineRule="auto"/>
      </w:pPr>
      <w:r>
        <w:t xml:space="preserve">Absolute </w:t>
      </w:r>
      <w:proofErr w:type="spellStart"/>
      <w:r>
        <w:t>UniFrac</w:t>
      </w:r>
      <w:proofErr w:type="spellEnd"/>
      <w:r>
        <w:t xml:space="preserve"> is most informative when variation in microbial load is expected to carry ecological meaning rather than being a nuisance variable. The choice of α determines how strongly abundance differences influence the metric, and should therefore be selected based on the hypothesis, not by convention. In settings where biomass is central to the mechanism under study, higher α values appropriately foreground that signal, whereas in cases where load variation is incidental or confounding, lower α values maintain interpretability. Framing α as a hypothesis-driven choice repositions β-diversity from a default normalization step to an explicit ecological decision.</w:t>
      </w:r>
    </w:p>
    <w:p w14:paraId="20CC1411" w14:textId="04BB3D40" w:rsidR="008F6E0E" w:rsidRDefault="008F6E0E">
      <w:pPr>
        <w:rPr>
          <w:rFonts w:eastAsia="Times New Roman" w:cs="Times New Roman"/>
          <w:kern w:val="0"/>
          <w14:ligatures w14:val="none"/>
        </w:rPr>
      </w:pPr>
      <w:r>
        <w:br w:type="page"/>
      </w:r>
    </w:p>
    <w:p w14:paraId="1E296E42" w14:textId="61C06540" w:rsidR="008F6E0E" w:rsidRPr="008F6E0E" w:rsidRDefault="008F6E0E" w:rsidP="008F6E0E">
      <w:pPr>
        <w:pStyle w:val="p1"/>
        <w:spacing w:line="360" w:lineRule="auto"/>
        <w:rPr>
          <w:b/>
          <w:bCs/>
          <w:i/>
          <w:iCs/>
        </w:rPr>
      </w:pPr>
      <w:r w:rsidRPr="008F6E0E">
        <w:rPr>
          <w:b/>
          <w:bCs/>
          <w:i/>
          <w:iCs/>
        </w:rPr>
        <w:lastRenderedPageBreak/>
        <w:t>Box 1 continued:</w:t>
      </w:r>
    </w:p>
    <w:tbl>
      <w:tblPr>
        <w:tblStyle w:val="TableGrid"/>
        <w:tblW w:w="0" w:type="auto"/>
        <w:shd w:val="clear" w:color="auto" w:fill="FFFFFF" w:themeFill="background1"/>
        <w:tblLook w:val="04A0" w:firstRow="1" w:lastRow="0" w:firstColumn="1" w:lastColumn="0" w:noHBand="0" w:noVBand="1"/>
      </w:tblPr>
      <w:tblGrid>
        <w:gridCol w:w="1615"/>
        <w:gridCol w:w="2790"/>
        <w:gridCol w:w="2520"/>
        <w:gridCol w:w="1800"/>
      </w:tblGrid>
      <w:tr w:rsidR="00452169" w:rsidRPr="00340F0D" w14:paraId="086C4825" w14:textId="77777777" w:rsidTr="00452169">
        <w:trPr>
          <w:trHeight w:val="221"/>
        </w:trPr>
        <w:tc>
          <w:tcPr>
            <w:tcW w:w="1615" w:type="dxa"/>
            <w:shd w:val="clear" w:color="auto" w:fill="FFFFFF" w:themeFill="background1"/>
            <w:vAlign w:val="center"/>
          </w:tcPr>
          <w:p w14:paraId="61831C00" w14:textId="259BD839" w:rsidR="00452169" w:rsidRPr="00452169" w:rsidRDefault="00452169" w:rsidP="00452169">
            <w:pPr>
              <w:pStyle w:val="p1"/>
              <w:spacing w:before="0" w:beforeAutospacing="0" w:after="0" w:afterAutospacing="0"/>
              <w:jc w:val="center"/>
              <w:rPr>
                <w:b/>
                <w:bCs/>
                <w:sz w:val="20"/>
                <w:szCs w:val="20"/>
              </w:rPr>
            </w:pPr>
            <w:r w:rsidRPr="00452169">
              <w:rPr>
                <w:b/>
                <w:bCs/>
                <w:sz w:val="20"/>
                <w:szCs w:val="20"/>
              </w:rPr>
              <w:t>Treat closely related lineages as similar?</w:t>
            </w:r>
          </w:p>
        </w:tc>
        <w:tc>
          <w:tcPr>
            <w:tcW w:w="2790" w:type="dxa"/>
            <w:shd w:val="clear" w:color="auto" w:fill="FFFFFF" w:themeFill="background1"/>
            <w:vAlign w:val="center"/>
          </w:tcPr>
          <w:p w14:paraId="19319DAF" w14:textId="6F86EB64" w:rsidR="00452169" w:rsidRPr="00452169" w:rsidRDefault="00452169" w:rsidP="00452169">
            <w:pPr>
              <w:pStyle w:val="p1"/>
              <w:spacing w:before="0" w:beforeAutospacing="0" w:after="0" w:afterAutospacing="0"/>
              <w:jc w:val="center"/>
              <w:rPr>
                <w:b/>
                <w:bCs/>
                <w:sz w:val="20"/>
                <w:szCs w:val="20"/>
              </w:rPr>
            </w:pPr>
            <w:r w:rsidRPr="00452169">
              <w:rPr>
                <w:b/>
                <w:bCs/>
                <w:sz w:val="20"/>
                <w:szCs w:val="20"/>
              </w:rPr>
              <w:t>How relevant is microbial load?</w:t>
            </w:r>
          </w:p>
        </w:tc>
        <w:tc>
          <w:tcPr>
            <w:tcW w:w="2520" w:type="dxa"/>
            <w:shd w:val="clear" w:color="auto" w:fill="FFFFFF" w:themeFill="background1"/>
            <w:vAlign w:val="center"/>
          </w:tcPr>
          <w:p w14:paraId="1F7AEF29" w14:textId="574C4D0C" w:rsidR="00452169" w:rsidRPr="00452169" w:rsidRDefault="00452169" w:rsidP="00452169">
            <w:pPr>
              <w:pStyle w:val="p1"/>
              <w:spacing w:before="0" w:beforeAutospacing="0" w:after="0" w:afterAutospacing="0"/>
              <w:jc w:val="center"/>
              <w:rPr>
                <w:rFonts w:eastAsiaTheme="minorEastAsia"/>
                <w:b/>
                <w:bCs/>
                <w:i/>
                <w:iCs/>
                <w:sz w:val="20"/>
                <w:szCs w:val="20"/>
              </w:rPr>
            </w:pPr>
            <w:r w:rsidRPr="00452169">
              <w:rPr>
                <w:b/>
                <w:bCs/>
                <w:sz w:val="20"/>
                <w:szCs w:val="20"/>
              </w:rPr>
              <w:t>Metric to Use</w:t>
            </w:r>
          </w:p>
        </w:tc>
        <w:tc>
          <w:tcPr>
            <w:tcW w:w="1800" w:type="dxa"/>
            <w:shd w:val="clear" w:color="auto" w:fill="FFFFFF" w:themeFill="background1"/>
            <w:vAlign w:val="center"/>
          </w:tcPr>
          <w:p w14:paraId="4A35AE4B" w14:textId="47BB792A" w:rsidR="00452169" w:rsidRPr="00452169" w:rsidRDefault="00452169" w:rsidP="00452169">
            <w:pPr>
              <w:pStyle w:val="p1"/>
              <w:spacing w:before="0" w:beforeAutospacing="0" w:after="0" w:afterAutospacing="0"/>
              <w:jc w:val="center"/>
              <w:rPr>
                <w:b/>
                <w:bCs/>
                <w:sz w:val="20"/>
                <w:szCs w:val="20"/>
              </w:rPr>
            </w:pPr>
            <w:r w:rsidRPr="00452169">
              <w:rPr>
                <w:b/>
                <w:bCs/>
                <w:sz w:val="20"/>
                <w:szCs w:val="20"/>
              </w:rPr>
              <w:t>Hypothetical Example</w:t>
            </w:r>
          </w:p>
        </w:tc>
      </w:tr>
      <w:tr w:rsidR="00452169" w:rsidRPr="00340F0D" w14:paraId="75BC9810" w14:textId="77777777" w:rsidTr="00452169">
        <w:trPr>
          <w:trHeight w:val="221"/>
        </w:trPr>
        <w:tc>
          <w:tcPr>
            <w:tcW w:w="1615" w:type="dxa"/>
            <w:vMerge w:val="restart"/>
            <w:shd w:val="clear" w:color="auto" w:fill="FFFFFF" w:themeFill="background1"/>
            <w:vAlign w:val="center"/>
          </w:tcPr>
          <w:p w14:paraId="201EBFAD" w14:textId="77777777" w:rsidR="00452169" w:rsidRPr="006A381E" w:rsidRDefault="00452169" w:rsidP="00452169">
            <w:pPr>
              <w:pStyle w:val="p1"/>
              <w:spacing w:before="0" w:beforeAutospacing="0" w:after="0" w:afterAutospacing="0"/>
              <w:jc w:val="center"/>
              <w:rPr>
                <w:sz w:val="20"/>
                <w:szCs w:val="20"/>
              </w:rPr>
            </w:pPr>
            <w:r w:rsidRPr="006A381E">
              <w:rPr>
                <w:sz w:val="20"/>
                <w:szCs w:val="20"/>
              </w:rPr>
              <w:t>Yes</w:t>
            </w:r>
          </w:p>
        </w:tc>
        <w:tc>
          <w:tcPr>
            <w:tcW w:w="2790" w:type="dxa"/>
            <w:shd w:val="clear" w:color="auto" w:fill="FFFFFF" w:themeFill="background1"/>
            <w:vAlign w:val="center"/>
          </w:tcPr>
          <w:p w14:paraId="22A33AD3" w14:textId="77777777" w:rsidR="00452169" w:rsidRPr="006A381E" w:rsidRDefault="00452169" w:rsidP="00452169">
            <w:pPr>
              <w:pStyle w:val="p1"/>
              <w:spacing w:before="0" w:beforeAutospacing="0" w:after="0" w:afterAutospacing="0"/>
              <w:jc w:val="center"/>
              <w:rPr>
                <w:rFonts w:eastAsiaTheme="minorEastAsia"/>
                <w:i/>
                <w:iCs/>
                <w:sz w:val="20"/>
                <w:szCs w:val="20"/>
              </w:rPr>
            </w:pPr>
            <w:r w:rsidRPr="006A381E">
              <w:rPr>
                <w:sz w:val="20"/>
                <w:szCs w:val="20"/>
              </w:rPr>
              <w:t>Central to hypothesis</w:t>
            </w:r>
          </w:p>
        </w:tc>
        <w:tc>
          <w:tcPr>
            <w:tcW w:w="2520" w:type="dxa"/>
            <w:shd w:val="clear" w:color="auto" w:fill="FFFFFF" w:themeFill="background1"/>
            <w:vAlign w:val="center"/>
          </w:tcPr>
          <w:p w14:paraId="6B1466AC" w14:textId="77777777" w:rsidR="00452169" w:rsidRPr="006A381E" w:rsidRDefault="00452169" w:rsidP="00452169">
            <w:pPr>
              <w:pStyle w:val="p1"/>
              <w:spacing w:before="0" w:beforeAutospacing="0" w:after="0" w:afterAutospacing="0"/>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800" w:type="dxa"/>
            <w:shd w:val="clear" w:color="auto" w:fill="FFFFFF" w:themeFill="background1"/>
            <w:vAlign w:val="center"/>
          </w:tcPr>
          <w:p w14:paraId="08B3D344" w14:textId="77777777" w:rsidR="00452169" w:rsidRPr="006A381E" w:rsidRDefault="00452169" w:rsidP="00452169">
            <w:pPr>
              <w:pStyle w:val="p1"/>
              <w:spacing w:before="0" w:beforeAutospacing="0" w:after="0" w:afterAutospacing="0"/>
              <w:jc w:val="center"/>
              <w:rPr>
                <w:sz w:val="20"/>
                <w:szCs w:val="20"/>
              </w:rPr>
            </w:pPr>
            <w:r w:rsidRPr="006A381E">
              <w:rPr>
                <w:sz w:val="20"/>
                <w:szCs w:val="20"/>
              </w:rPr>
              <w:t>Cyanobacterial bloom, pathogen proliferation</w:t>
            </w:r>
          </w:p>
        </w:tc>
      </w:tr>
      <w:tr w:rsidR="00452169" w:rsidRPr="00340F0D" w14:paraId="14E2F8F5" w14:textId="77777777" w:rsidTr="00452169">
        <w:trPr>
          <w:trHeight w:val="194"/>
        </w:trPr>
        <w:tc>
          <w:tcPr>
            <w:tcW w:w="1615" w:type="dxa"/>
            <w:vMerge/>
            <w:shd w:val="clear" w:color="auto" w:fill="FFFFFF" w:themeFill="background1"/>
            <w:vAlign w:val="center"/>
          </w:tcPr>
          <w:p w14:paraId="4E3FEF2F" w14:textId="77777777" w:rsidR="00452169" w:rsidRPr="006A381E" w:rsidRDefault="00452169" w:rsidP="00452169">
            <w:pPr>
              <w:pStyle w:val="p1"/>
              <w:spacing w:before="0" w:beforeAutospacing="0" w:after="0" w:afterAutospacing="0"/>
              <w:jc w:val="center"/>
              <w:rPr>
                <w:sz w:val="20"/>
                <w:szCs w:val="20"/>
              </w:rPr>
            </w:pPr>
          </w:p>
        </w:tc>
        <w:tc>
          <w:tcPr>
            <w:tcW w:w="2790" w:type="dxa"/>
            <w:shd w:val="clear" w:color="auto" w:fill="FFFFFF" w:themeFill="background1"/>
            <w:vAlign w:val="center"/>
          </w:tcPr>
          <w:p w14:paraId="5C1224B8" w14:textId="77777777" w:rsidR="00452169" w:rsidRPr="006A381E" w:rsidRDefault="00452169" w:rsidP="00452169">
            <w:pPr>
              <w:pStyle w:val="p1"/>
              <w:spacing w:before="0" w:beforeAutospacing="0" w:after="0" w:afterAutospacing="0"/>
              <w:jc w:val="center"/>
              <w:rPr>
                <w:rFonts w:eastAsiaTheme="minorEastAsia"/>
                <w:i/>
                <w:iCs/>
                <w:sz w:val="20"/>
                <w:szCs w:val="20"/>
              </w:rPr>
            </w:pPr>
            <w:r w:rsidRPr="006A381E">
              <w:rPr>
                <w:sz w:val="20"/>
                <w:szCs w:val="20"/>
              </w:rPr>
              <w:t>Relevant, but associated with other variables of interest</w:t>
            </w:r>
          </w:p>
        </w:tc>
        <w:tc>
          <w:tcPr>
            <w:tcW w:w="2520" w:type="dxa"/>
            <w:shd w:val="clear" w:color="auto" w:fill="FFFFFF" w:themeFill="background1"/>
            <w:vAlign w:val="center"/>
          </w:tcPr>
          <w:p w14:paraId="3F178A80" w14:textId="77777777" w:rsidR="00452169" w:rsidRPr="006A381E" w:rsidRDefault="00452169" w:rsidP="00452169">
            <w:pPr>
              <w:pStyle w:val="p1"/>
              <w:spacing w:before="0" w:beforeAutospacing="0" w:after="0" w:afterAutospacing="0"/>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0.1 &lt; </w:t>
            </w:r>
            <m:oMath>
              <m:r>
                <w:rPr>
                  <w:rFonts w:ascii="Cambria Math" w:hAnsi="Cambria Math"/>
                  <w:sz w:val="20"/>
                  <w:szCs w:val="20"/>
                </w:rPr>
                <m:t>α</m:t>
              </m:r>
            </m:oMath>
            <w:r w:rsidRPr="006A381E">
              <w:rPr>
                <w:rFonts w:eastAsiaTheme="minorEastAsia"/>
                <w:i/>
                <w:sz w:val="20"/>
                <w:szCs w:val="20"/>
              </w:rPr>
              <w:t xml:space="preserve"> &lt; 0.5</w:t>
            </w:r>
          </w:p>
        </w:tc>
        <w:tc>
          <w:tcPr>
            <w:tcW w:w="1800" w:type="dxa"/>
            <w:shd w:val="clear" w:color="auto" w:fill="FFFFFF" w:themeFill="background1"/>
            <w:vAlign w:val="center"/>
          </w:tcPr>
          <w:p w14:paraId="05291A4F" w14:textId="77777777" w:rsidR="00452169" w:rsidRPr="006A381E" w:rsidRDefault="00452169" w:rsidP="00452169">
            <w:pPr>
              <w:pStyle w:val="p1"/>
              <w:spacing w:before="0" w:beforeAutospacing="0" w:after="0" w:afterAutospacing="0"/>
              <w:jc w:val="center"/>
              <w:rPr>
                <w:sz w:val="20"/>
                <w:szCs w:val="20"/>
              </w:rPr>
            </w:pPr>
            <w:r w:rsidRPr="006A381E">
              <w:rPr>
                <w:sz w:val="20"/>
                <w:szCs w:val="20"/>
              </w:rPr>
              <w:t>Compositional shifts in response to nutrient addition</w:t>
            </w:r>
          </w:p>
        </w:tc>
      </w:tr>
      <w:tr w:rsidR="00452169" w:rsidRPr="00BB1FB4" w14:paraId="1D71D635" w14:textId="77777777" w:rsidTr="00452169">
        <w:trPr>
          <w:trHeight w:val="539"/>
        </w:trPr>
        <w:tc>
          <w:tcPr>
            <w:tcW w:w="1615" w:type="dxa"/>
            <w:vMerge/>
            <w:shd w:val="clear" w:color="auto" w:fill="FFFFFF" w:themeFill="background1"/>
            <w:vAlign w:val="center"/>
          </w:tcPr>
          <w:p w14:paraId="50F8FBE8" w14:textId="77777777" w:rsidR="00452169" w:rsidRPr="006A381E" w:rsidRDefault="00452169" w:rsidP="00452169">
            <w:pPr>
              <w:pStyle w:val="p1"/>
              <w:spacing w:before="0" w:beforeAutospacing="0" w:after="0" w:afterAutospacing="0"/>
              <w:jc w:val="center"/>
              <w:rPr>
                <w:sz w:val="20"/>
                <w:szCs w:val="20"/>
              </w:rPr>
            </w:pPr>
          </w:p>
        </w:tc>
        <w:tc>
          <w:tcPr>
            <w:tcW w:w="2790" w:type="dxa"/>
            <w:vMerge w:val="restart"/>
            <w:shd w:val="clear" w:color="auto" w:fill="FFFFFF" w:themeFill="background1"/>
            <w:vAlign w:val="center"/>
          </w:tcPr>
          <w:p w14:paraId="55C6F1FF" w14:textId="36FA5651" w:rsidR="00452169" w:rsidRPr="006A381E" w:rsidRDefault="00452169" w:rsidP="00452169">
            <w:pPr>
              <w:pStyle w:val="p1"/>
              <w:spacing w:before="0" w:beforeAutospacing="0" w:after="0" w:afterAutospacing="0"/>
              <w:jc w:val="center"/>
              <w:rPr>
                <w:rFonts w:eastAsiaTheme="minorEastAsia"/>
                <w:i/>
                <w:iCs/>
                <w:sz w:val="20"/>
                <w:szCs w:val="20"/>
              </w:rPr>
            </w:pPr>
            <w:r w:rsidRPr="006A381E">
              <w:rPr>
                <w:sz w:val="20"/>
                <w:szCs w:val="20"/>
              </w:rPr>
              <w:t>Irrelevant</w:t>
            </w:r>
          </w:p>
        </w:tc>
        <w:tc>
          <w:tcPr>
            <w:tcW w:w="2520" w:type="dxa"/>
            <w:shd w:val="clear" w:color="auto" w:fill="FFFFFF" w:themeFill="background1"/>
            <w:vAlign w:val="center"/>
          </w:tcPr>
          <w:p w14:paraId="0EE04291" w14:textId="77777777" w:rsidR="00452169" w:rsidRDefault="00452169" w:rsidP="00452169">
            <w:pPr>
              <w:pStyle w:val="p1"/>
              <w:spacing w:before="0" w:beforeAutospacing="0" w:after="0" w:afterAutospacing="0"/>
              <w:jc w:val="center"/>
              <w:rPr>
                <w:rFonts w:eastAsiaTheme="minorEastAsia"/>
                <w:i/>
                <w:iCs/>
                <w:sz w:val="20"/>
                <w:szCs w:val="20"/>
              </w:rPr>
            </w:pPr>
          </w:p>
          <w:p w14:paraId="56FC347F" w14:textId="292F1909" w:rsidR="00452169" w:rsidRDefault="00452169" w:rsidP="00452169">
            <w:pPr>
              <w:pStyle w:val="p1"/>
              <w:spacing w:before="0" w:beforeAutospacing="0" w:after="0" w:afterAutospacing="0"/>
              <w:jc w:val="center"/>
              <w:rPr>
                <w:rFonts w:eastAsiaTheme="minorEastAsia"/>
                <w:i/>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p w14:paraId="57F240E4" w14:textId="77777777" w:rsidR="00452169" w:rsidRDefault="00452169" w:rsidP="00452169">
            <w:pPr>
              <w:pStyle w:val="p1"/>
              <w:spacing w:before="0" w:beforeAutospacing="0" w:after="0" w:afterAutospacing="0"/>
              <w:jc w:val="center"/>
              <w:rPr>
                <w:rFonts w:eastAsiaTheme="minorEastAsia"/>
                <w:iCs/>
                <w:sz w:val="20"/>
                <w:szCs w:val="20"/>
              </w:rPr>
            </w:pPr>
            <w:r>
              <w:rPr>
                <w:rFonts w:eastAsiaTheme="minorEastAsia"/>
                <w:i/>
                <w:sz w:val="20"/>
                <w:szCs w:val="20"/>
              </w:rPr>
              <w:t xml:space="preserve"> </w:t>
            </w:r>
            <w:r w:rsidRPr="00452169">
              <w:rPr>
                <w:rFonts w:eastAsiaTheme="minorEastAsia"/>
                <w:iCs/>
                <w:sz w:val="20"/>
                <w:szCs w:val="20"/>
              </w:rPr>
              <w:t>(Emphasize dominant taxa)</w:t>
            </w:r>
          </w:p>
          <w:p w14:paraId="4C3EB467" w14:textId="336F7C31" w:rsidR="00452169" w:rsidRPr="006A381E" w:rsidRDefault="00452169" w:rsidP="00452169">
            <w:pPr>
              <w:pStyle w:val="p1"/>
              <w:spacing w:before="0" w:beforeAutospacing="0" w:after="0" w:afterAutospacing="0"/>
              <w:jc w:val="center"/>
              <w:rPr>
                <w:sz w:val="20"/>
                <w:szCs w:val="20"/>
              </w:rPr>
            </w:pPr>
          </w:p>
        </w:tc>
        <w:tc>
          <w:tcPr>
            <w:tcW w:w="1800" w:type="dxa"/>
            <w:shd w:val="clear" w:color="auto" w:fill="FFFFFF" w:themeFill="background1"/>
            <w:vAlign w:val="center"/>
          </w:tcPr>
          <w:p w14:paraId="1C9BBB6C" w14:textId="77777777" w:rsidR="00452169" w:rsidRPr="006A381E" w:rsidRDefault="00452169" w:rsidP="00452169">
            <w:pPr>
              <w:pStyle w:val="p1"/>
              <w:spacing w:before="0" w:beforeAutospacing="0" w:after="0" w:afterAutospacing="0"/>
              <w:jc w:val="center"/>
              <w:rPr>
                <w:sz w:val="20"/>
                <w:szCs w:val="20"/>
              </w:rPr>
            </w:pPr>
            <w:r w:rsidRPr="006A381E">
              <w:rPr>
                <w:sz w:val="20"/>
                <w:szCs w:val="20"/>
              </w:rPr>
              <w:t>Diet-associated microbiome shifts across hosts</w:t>
            </w:r>
          </w:p>
        </w:tc>
      </w:tr>
      <w:tr w:rsidR="00452169" w:rsidRPr="00BB1FB4" w14:paraId="62AC8E6F" w14:textId="77777777" w:rsidTr="00452169">
        <w:trPr>
          <w:trHeight w:val="215"/>
        </w:trPr>
        <w:tc>
          <w:tcPr>
            <w:tcW w:w="1615" w:type="dxa"/>
            <w:vMerge/>
            <w:shd w:val="clear" w:color="auto" w:fill="FFFFFF" w:themeFill="background1"/>
            <w:vAlign w:val="center"/>
          </w:tcPr>
          <w:p w14:paraId="59506436" w14:textId="77777777" w:rsidR="00452169" w:rsidRPr="006A381E" w:rsidRDefault="00452169" w:rsidP="00452169">
            <w:pPr>
              <w:pStyle w:val="p1"/>
              <w:spacing w:before="0" w:beforeAutospacing="0" w:after="0" w:afterAutospacing="0"/>
              <w:jc w:val="center"/>
              <w:rPr>
                <w:sz w:val="20"/>
                <w:szCs w:val="20"/>
              </w:rPr>
            </w:pPr>
          </w:p>
        </w:tc>
        <w:tc>
          <w:tcPr>
            <w:tcW w:w="2790" w:type="dxa"/>
            <w:vMerge/>
            <w:shd w:val="clear" w:color="auto" w:fill="FFFFFF" w:themeFill="background1"/>
            <w:vAlign w:val="center"/>
          </w:tcPr>
          <w:p w14:paraId="5AC24C28" w14:textId="34E15DAD" w:rsidR="00452169" w:rsidRPr="006A381E" w:rsidRDefault="00452169" w:rsidP="00452169">
            <w:pPr>
              <w:pStyle w:val="p1"/>
              <w:spacing w:before="0" w:beforeAutospacing="0" w:after="0" w:afterAutospacing="0"/>
              <w:jc w:val="center"/>
              <w:rPr>
                <w:rFonts w:eastAsiaTheme="minorEastAsia"/>
                <w:i/>
                <w:iCs/>
                <w:sz w:val="20"/>
                <w:szCs w:val="20"/>
              </w:rPr>
            </w:pPr>
          </w:p>
        </w:tc>
        <w:tc>
          <w:tcPr>
            <w:tcW w:w="2520" w:type="dxa"/>
            <w:shd w:val="clear" w:color="auto" w:fill="FFFFFF" w:themeFill="background1"/>
            <w:vAlign w:val="center"/>
          </w:tcPr>
          <w:p w14:paraId="61359AAE" w14:textId="77777777" w:rsidR="00452169" w:rsidRDefault="00452169" w:rsidP="00452169">
            <w:pPr>
              <w:pStyle w:val="p1"/>
              <w:spacing w:before="0" w:beforeAutospacing="0" w:after="0" w:afterAutospacing="0"/>
              <w:jc w:val="center"/>
              <w:rPr>
                <w:rFonts w:eastAsiaTheme="minorEastAsia"/>
                <w:i/>
                <w:iCs/>
                <w:sz w:val="20"/>
                <w:szCs w:val="20"/>
              </w:rPr>
            </w:pPr>
          </w:p>
          <w:p w14:paraId="6733CCC7" w14:textId="4E9264E6" w:rsidR="00452169" w:rsidRDefault="00452169" w:rsidP="00452169">
            <w:pPr>
              <w:pStyle w:val="p1"/>
              <w:spacing w:before="0" w:beforeAutospacing="0" w:after="0" w:afterAutospacing="0"/>
              <w:jc w:val="center"/>
              <w:rPr>
                <w:rFonts w:eastAsiaTheme="minorEastAsia"/>
                <w:i/>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&lt; 0.5</w:t>
            </w:r>
          </w:p>
          <w:p w14:paraId="1478BEFB" w14:textId="5B48BE27" w:rsidR="00452169" w:rsidRDefault="00452169" w:rsidP="00452169">
            <w:pPr>
              <w:pStyle w:val="p1"/>
              <w:spacing w:before="0" w:beforeAutospacing="0" w:after="0" w:afterAutospacing="0"/>
              <w:jc w:val="center"/>
              <w:rPr>
                <w:rFonts w:eastAsiaTheme="minorEastAsia"/>
                <w:iCs/>
                <w:sz w:val="20"/>
                <w:szCs w:val="20"/>
              </w:rPr>
            </w:pPr>
            <w:r w:rsidRPr="00452169">
              <w:rPr>
                <w:rFonts w:eastAsiaTheme="minorEastAsia"/>
                <w:iCs/>
                <w:sz w:val="20"/>
                <w:szCs w:val="20"/>
              </w:rPr>
              <w:t xml:space="preserve">(Emphasize </w:t>
            </w:r>
            <w:r>
              <w:rPr>
                <w:rFonts w:eastAsiaTheme="minorEastAsia"/>
                <w:iCs/>
                <w:sz w:val="20"/>
                <w:szCs w:val="20"/>
              </w:rPr>
              <w:t>rare</w:t>
            </w:r>
            <w:r w:rsidRPr="00452169">
              <w:rPr>
                <w:rFonts w:eastAsiaTheme="minorEastAsia"/>
                <w:iCs/>
                <w:sz w:val="20"/>
                <w:szCs w:val="20"/>
              </w:rPr>
              <w:t xml:space="preserve"> taxa)</w:t>
            </w:r>
          </w:p>
          <w:p w14:paraId="6AF07C9C" w14:textId="77777777" w:rsidR="00452169" w:rsidRPr="006A381E" w:rsidRDefault="00452169" w:rsidP="00452169">
            <w:pPr>
              <w:pStyle w:val="p1"/>
              <w:spacing w:before="0" w:beforeAutospacing="0" w:after="0" w:afterAutospacing="0"/>
              <w:jc w:val="center"/>
              <w:rPr>
                <w:sz w:val="20"/>
                <w:szCs w:val="20"/>
              </w:rPr>
            </w:pPr>
          </w:p>
        </w:tc>
        <w:tc>
          <w:tcPr>
            <w:tcW w:w="1800" w:type="dxa"/>
            <w:shd w:val="clear" w:color="auto" w:fill="FFFFFF" w:themeFill="background1"/>
            <w:vAlign w:val="center"/>
          </w:tcPr>
          <w:p w14:paraId="26E963F6" w14:textId="77777777" w:rsidR="00452169" w:rsidRPr="006A381E" w:rsidRDefault="00452169" w:rsidP="00452169">
            <w:pPr>
              <w:pStyle w:val="p1"/>
              <w:spacing w:before="0" w:beforeAutospacing="0" w:after="0" w:afterAutospacing="0"/>
              <w:jc w:val="center"/>
              <w:rPr>
                <w:sz w:val="20"/>
                <w:szCs w:val="20"/>
              </w:rPr>
            </w:pPr>
            <w:r w:rsidRPr="006A381E">
              <w:rPr>
                <w:sz w:val="20"/>
                <w:szCs w:val="20"/>
              </w:rPr>
              <w:t>Tributary inputs of rare taxa</w:t>
            </w:r>
          </w:p>
        </w:tc>
      </w:tr>
      <w:tr w:rsidR="00452169" w:rsidRPr="00340F0D" w14:paraId="01666B70" w14:textId="77777777" w:rsidTr="00452169">
        <w:trPr>
          <w:trHeight w:val="192"/>
        </w:trPr>
        <w:tc>
          <w:tcPr>
            <w:tcW w:w="1615" w:type="dxa"/>
            <w:vMerge/>
            <w:shd w:val="clear" w:color="auto" w:fill="FFFFFF" w:themeFill="background1"/>
            <w:vAlign w:val="center"/>
          </w:tcPr>
          <w:p w14:paraId="29F213D9" w14:textId="77777777" w:rsidR="00452169" w:rsidRPr="006A381E" w:rsidRDefault="00452169" w:rsidP="00452169">
            <w:pPr>
              <w:pStyle w:val="p1"/>
              <w:spacing w:before="0" w:beforeAutospacing="0" w:after="0" w:afterAutospacing="0"/>
              <w:jc w:val="center"/>
              <w:rPr>
                <w:sz w:val="20"/>
                <w:szCs w:val="20"/>
              </w:rPr>
            </w:pPr>
          </w:p>
        </w:tc>
        <w:tc>
          <w:tcPr>
            <w:tcW w:w="2790" w:type="dxa"/>
            <w:shd w:val="clear" w:color="auto" w:fill="FFFFFF" w:themeFill="background1"/>
            <w:vAlign w:val="center"/>
          </w:tcPr>
          <w:p w14:paraId="08212684" w14:textId="77777777" w:rsidR="00452169" w:rsidRPr="006A381E" w:rsidRDefault="00452169" w:rsidP="00452169">
            <w:pPr>
              <w:pStyle w:val="p1"/>
              <w:spacing w:before="0" w:beforeAutospacing="0" w:after="0" w:afterAutospacing="0"/>
              <w:jc w:val="center"/>
              <w:rPr>
                <w:rFonts w:eastAsiaTheme="minorEastAsia"/>
                <w:i/>
                <w:iCs/>
                <w:sz w:val="20"/>
                <w:szCs w:val="20"/>
              </w:rPr>
            </w:pPr>
            <w:r w:rsidRPr="006A381E">
              <w:rPr>
                <w:sz w:val="20"/>
                <w:szCs w:val="20"/>
              </w:rPr>
              <w:t>Unknown</w:t>
            </w:r>
          </w:p>
        </w:tc>
        <w:tc>
          <w:tcPr>
            <w:tcW w:w="2520" w:type="dxa"/>
            <w:shd w:val="clear" w:color="auto" w:fill="FFFFFF" w:themeFill="background1"/>
            <w:vAlign w:val="center"/>
          </w:tcPr>
          <w:p w14:paraId="7ACF57BD" w14:textId="77777777" w:rsidR="00452169" w:rsidRPr="006A381E" w:rsidRDefault="00452169" w:rsidP="00452169">
            <w:pPr>
              <w:pStyle w:val="p1"/>
              <w:spacing w:before="0" w:beforeAutospacing="0" w:after="0" w:afterAutospacing="0"/>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w:r w:rsidRPr="006A381E">
              <w:rPr>
                <w:rFonts w:eastAsiaTheme="minorEastAsia"/>
                <w:sz w:val="20"/>
                <w:szCs w:val="20"/>
              </w:rPr>
              <w:t xml:space="preserve">at multiple </w:t>
            </w:r>
            <m:oMath>
              <m:r>
                <w:rPr>
                  <w:rFonts w:ascii="Cambria Math" w:hAnsi="Cambria Math"/>
                  <w:sz w:val="20"/>
                  <w:szCs w:val="20"/>
                </w:rPr>
                <m:t>α</m:t>
              </m:r>
            </m:oMath>
          </w:p>
        </w:tc>
        <w:tc>
          <w:tcPr>
            <w:tcW w:w="1800" w:type="dxa"/>
            <w:shd w:val="clear" w:color="auto" w:fill="FFFFFF" w:themeFill="background1"/>
            <w:vAlign w:val="center"/>
          </w:tcPr>
          <w:p w14:paraId="7F65D9EE" w14:textId="77777777" w:rsidR="00452169" w:rsidRPr="006A381E" w:rsidRDefault="00452169" w:rsidP="00452169">
            <w:pPr>
              <w:pStyle w:val="p1"/>
              <w:spacing w:before="0" w:beforeAutospacing="0" w:after="0" w:afterAutospacing="0"/>
              <w:jc w:val="center"/>
              <w:rPr>
                <w:sz w:val="20"/>
                <w:szCs w:val="20"/>
              </w:rPr>
            </w:pPr>
            <w:r w:rsidRPr="006A381E">
              <w:rPr>
                <w:sz w:val="20"/>
                <w:szCs w:val="20"/>
              </w:rPr>
              <w:t>Random variation in microbial load obscured compositional shifts in soil communities</w:t>
            </w:r>
          </w:p>
        </w:tc>
      </w:tr>
      <w:tr w:rsidR="00452169" w:rsidRPr="00340F0D" w14:paraId="6E6B32CC" w14:textId="77777777" w:rsidTr="00452169">
        <w:trPr>
          <w:trHeight w:val="431"/>
        </w:trPr>
        <w:tc>
          <w:tcPr>
            <w:tcW w:w="1615" w:type="dxa"/>
            <w:vMerge w:val="restart"/>
            <w:shd w:val="clear" w:color="auto" w:fill="FFFFFF" w:themeFill="background1"/>
            <w:vAlign w:val="center"/>
          </w:tcPr>
          <w:p w14:paraId="5F247CBE" w14:textId="77777777" w:rsidR="00452169" w:rsidRPr="006A381E" w:rsidRDefault="00452169" w:rsidP="00452169">
            <w:pPr>
              <w:pStyle w:val="p1"/>
              <w:spacing w:before="0" w:beforeAutospacing="0" w:after="0" w:afterAutospacing="0"/>
              <w:jc w:val="center"/>
              <w:rPr>
                <w:sz w:val="20"/>
                <w:szCs w:val="20"/>
              </w:rPr>
            </w:pPr>
            <w:r w:rsidRPr="006A381E">
              <w:rPr>
                <w:sz w:val="20"/>
                <w:szCs w:val="20"/>
              </w:rPr>
              <w:t>No</w:t>
            </w:r>
          </w:p>
        </w:tc>
        <w:tc>
          <w:tcPr>
            <w:tcW w:w="2790" w:type="dxa"/>
            <w:shd w:val="clear" w:color="auto" w:fill="FFFFFF" w:themeFill="background1"/>
            <w:vAlign w:val="center"/>
          </w:tcPr>
          <w:p w14:paraId="4400E546" w14:textId="4A364CC1" w:rsidR="00452169" w:rsidRPr="006A381E" w:rsidRDefault="00452169" w:rsidP="00452169">
            <w:pPr>
              <w:pStyle w:val="p1"/>
              <w:spacing w:before="0" w:beforeAutospacing="0" w:after="0" w:afterAutospacing="0"/>
              <w:jc w:val="center"/>
              <w:rPr>
                <w:rFonts w:eastAsiaTheme="minorEastAsia"/>
                <w:i/>
                <w:iCs/>
                <w:sz w:val="20"/>
                <w:szCs w:val="20"/>
              </w:rPr>
            </w:pPr>
            <w:r>
              <w:rPr>
                <w:sz w:val="20"/>
                <w:szCs w:val="20"/>
              </w:rPr>
              <w:t>Relevant</w:t>
            </w:r>
          </w:p>
        </w:tc>
        <w:tc>
          <w:tcPr>
            <w:tcW w:w="2520" w:type="dxa"/>
            <w:shd w:val="clear" w:color="auto" w:fill="FFFFFF" w:themeFill="background1"/>
            <w:vAlign w:val="center"/>
          </w:tcPr>
          <w:p w14:paraId="71688D49" w14:textId="77777777" w:rsidR="00452169" w:rsidRPr="006A381E" w:rsidRDefault="00452169" w:rsidP="00452169">
            <w:pPr>
              <w:pStyle w:val="p1"/>
              <w:spacing w:before="0" w:beforeAutospacing="0" w:after="0" w:afterAutospacing="0"/>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A</w:t>
            </w:r>
          </w:p>
        </w:tc>
        <w:tc>
          <w:tcPr>
            <w:tcW w:w="1800" w:type="dxa"/>
            <w:shd w:val="clear" w:color="auto" w:fill="FFFFFF" w:themeFill="background1"/>
            <w:vAlign w:val="center"/>
          </w:tcPr>
          <w:p w14:paraId="53012813" w14:textId="77777777" w:rsidR="00452169" w:rsidRPr="006A381E" w:rsidRDefault="00452169" w:rsidP="00452169">
            <w:pPr>
              <w:pStyle w:val="p1"/>
              <w:spacing w:before="0" w:beforeAutospacing="0" w:after="0" w:afterAutospacing="0"/>
              <w:jc w:val="center"/>
              <w:rPr>
                <w:sz w:val="20"/>
                <w:szCs w:val="20"/>
              </w:rPr>
            </w:pPr>
            <w:r w:rsidRPr="006A381E">
              <w:rPr>
                <w:sz w:val="20"/>
                <w:szCs w:val="20"/>
              </w:rPr>
              <w:t>Strain turnover and proliferation in the infant gut</w:t>
            </w:r>
          </w:p>
        </w:tc>
      </w:tr>
      <w:tr w:rsidR="00452169" w:rsidRPr="00340F0D" w14:paraId="385F0725" w14:textId="77777777" w:rsidTr="00452169">
        <w:trPr>
          <w:trHeight w:val="220"/>
        </w:trPr>
        <w:tc>
          <w:tcPr>
            <w:tcW w:w="1615" w:type="dxa"/>
            <w:vMerge/>
            <w:shd w:val="clear" w:color="auto" w:fill="FFFFFF" w:themeFill="background1"/>
            <w:vAlign w:val="center"/>
          </w:tcPr>
          <w:p w14:paraId="12FE19A5" w14:textId="77777777" w:rsidR="00452169" w:rsidRPr="006A381E" w:rsidRDefault="00452169" w:rsidP="00452169">
            <w:pPr>
              <w:pStyle w:val="p1"/>
              <w:spacing w:before="0" w:beforeAutospacing="0" w:after="0" w:afterAutospacing="0"/>
              <w:jc w:val="center"/>
              <w:rPr>
                <w:sz w:val="20"/>
                <w:szCs w:val="20"/>
              </w:rPr>
            </w:pPr>
          </w:p>
        </w:tc>
        <w:tc>
          <w:tcPr>
            <w:tcW w:w="2790" w:type="dxa"/>
            <w:shd w:val="clear" w:color="auto" w:fill="FFFFFF" w:themeFill="background1"/>
            <w:vAlign w:val="center"/>
          </w:tcPr>
          <w:p w14:paraId="32A888B4" w14:textId="621FEE89" w:rsidR="00452169" w:rsidRPr="006A381E" w:rsidRDefault="00452169" w:rsidP="00452169">
            <w:pPr>
              <w:pStyle w:val="p1"/>
              <w:spacing w:before="0" w:beforeAutospacing="0" w:after="0" w:afterAutospacing="0"/>
              <w:jc w:val="center"/>
              <w:rPr>
                <w:rFonts w:eastAsiaTheme="minorEastAsia"/>
                <w:i/>
                <w:iCs/>
                <w:sz w:val="20"/>
                <w:szCs w:val="20"/>
              </w:rPr>
            </w:pPr>
            <w:r>
              <w:rPr>
                <w:sz w:val="20"/>
                <w:szCs w:val="20"/>
              </w:rPr>
              <w:t>Not Relevan</w:t>
            </w:r>
            <w:r w:rsidR="0050575D">
              <w:rPr>
                <w:sz w:val="20"/>
                <w:szCs w:val="20"/>
              </w:rPr>
              <w:t>t</w:t>
            </w:r>
          </w:p>
        </w:tc>
        <w:tc>
          <w:tcPr>
            <w:tcW w:w="2520" w:type="dxa"/>
            <w:shd w:val="clear" w:color="auto" w:fill="FFFFFF" w:themeFill="background1"/>
            <w:vAlign w:val="center"/>
          </w:tcPr>
          <w:p w14:paraId="06912AD3" w14:textId="77777777" w:rsidR="00452169" w:rsidRPr="006A381E" w:rsidRDefault="00452169" w:rsidP="00452169">
            <w:pPr>
              <w:pStyle w:val="p1"/>
              <w:spacing w:before="0" w:beforeAutospacing="0" w:after="0" w:afterAutospacing="0"/>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R</w:t>
            </w:r>
          </w:p>
        </w:tc>
        <w:tc>
          <w:tcPr>
            <w:tcW w:w="1800" w:type="dxa"/>
            <w:shd w:val="clear" w:color="auto" w:fill="FFFFFF" w:themeFill="background1"/>
            <w:vAlign w:val="center"/>
          </w:tcPr>
          <w:p w14:paraId="0A24946E" w14:textId="77777777" w:rsidR="00452169" w:rsidRPr="006A381E" w:rsidRDefault="00452169" w:rsidP="00452169">
            <w:pPr>
              <w:pStyle w:val="p1"/>
              <w:spacing w:before="0" w:beforeAutospacing="0" w:after="0" w:afterAutospacing="0"/>
              <w:jc w:val="center"/>
              <w:rPr>
                <w:sz w:val="20"/>
                <w:szCs w:val="20"/>
              </w:rPr>
            </w:pPr>
            <w:r w:rsidRPr="006A381E">
              <w:rPr>
                <w:sz w:val="20"/>
                <w:szCs w:val="20"/>
              </w:rPr>
              <w:t>Temporal succession in chemostat</w:t>
            </w:r>
          </w:p>
        </w:tc>
      </w:tr>
    </w:tbl>
    <w:p w14:paraId="30A1DF59" w14:textId="77777777" w:rsidR="008F6E0E" w:rsidRDefault="008F6E0E" w:rsidP="008F6E0E">
      <w:pPr>
        <w:pStyle w:val="p1"/>
        <w:spacing w:line="360" w:lineRule="auto"/>
      </w:pPr>
      <w:r>
        <w:t xml:space="preserve"> </w:t>
      </w:r>
      <w:r>
        <w:br w:type="page"/>
      </w:r>
    </w:p>
    <w:p w14:paraId="4D02290E" w14:textId="77777777" w:rsidR="008F6E0E" w:rsidRDefault="008F6E0E" w:rsidP="008F6E0E">
      <w:pPr>
        <w:spacing w:line="360" w:lineRule="auto"/>
        <w:rPr>
          <w:b/>
          <w:bCs/>
        </w:rPr>
      </w:pPr>
      <w:r w:rsidRPr="006A381E">
        <w:rPr>
          <w:b/>
          <w:bCs/>
        </w:rPr>
        <w:lastRenderedPageBreak/>
        <w:t>Box 2: Rarefaction workflow for incorporating absolute abundance</w:t>
      </w:r>
      <w:r w:rsidRPr="005B0677">
        <w:rPr>
          <w:noProof/>
        </w:rPr>
        <w:t xml:space="preserve"> </w:t>
      </w:r>
    </w:p>
    <w:p w14:paraId="66EDE21D" w14:textId="77777777" w:rsidR="008F6E0E" w:rsidRDefault="008F6E0E" w:rsidP="008F6E0E">
      <w:pPr>
        <w:spacing w:line="360" w:lineRule="auto"/>
      </w:pPr>
      <w:r>
        <w:rPr>
          <w:noProof/>
        </w:rPr>
        <w:drawing>
          <wp:anchor distT="0" distB="0" distL="114300" distR="114300" simplePos="0" relativeHeight="251659264" behindDoc="1" locked="0" layoutInCell="1" allowOverlap="1" wp14:anchorId="4F085F2E" wp14:editId="0F385017">
            <wp:simplePos x="0" y="0"/>
            <wp:positionH relativeFrom="margin">
              <wp:posOffset>2372007</wp:posOffset>
            </wp:positionH>
            <wp:positionV relativeFrom="margin">
              <wp:posOffset>657677</wp:posOffset>
            </wp:positionV>
            <wp:extent cx="3639820" cy="5039360"/>
            <wp:effectExtent l="0" t="0" r="5080" b="2540"/>
            <wp:wrapSquare wrapText="bothSides"/>
            <wp:docPr id="1261782634"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2634" name="Picture 2" descr="A char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9820" cy="5039360"/>
                    </a:xfrm>
                    <a:prstGeom prst="rect">
                      <a:avLst/>
                    </a:prstGeom>
                  </pic:spPr>
                </pic:pic>
              </a:graphicData>
            </a:graphic>
            <wp14:sizeRelH relativeFrom="page">
              <wp14:pctWidth>0</wp14:pctWidth>
            </wp14:sizeRelH>
            <wp14:sizeRelV relativeFrom="page">
              <wp14:pctHeight>0</wp14:pctHeight>
            </wp14:sizeRelV>
          </wp:anchor>
        </w:drawing>
      </w:r>
      <w:r>
        <w:t xml:space="preserve">While we refrain from an in-depth analysis of rarefaction approaches, here we present our workflow for incorporating rarefaction alongside absolute abundance. First, samples were assessed for anomalously low read counts and discarded (sequencing blanks and controls were also removed). For rarefaction, each sample in the ASV table was subsampled to equal </w:t>
      </w:r>
      <w:r w:rsidRPr="00054B18">
        <w:rPr>
          <w:i/>
          <w:iCs/>
        </w:rPr>
        <w:t>sequencing</w:t>
      </w:r>
      <w:r>
        <w:t xml:space="preserve"> depth (# of reads) across 100 iterations, creating 100 rarefied ASV tables. These tables were then converted to relative abundance by dividing each ASV’s count by the equal sequencing depth (rounding was not performed). Then, each ASV’s absolute abundance within a given sample was calculated by multiplying its relative abundance by that sample’s total cell count or 16S copy number. Methods to predict genomic 16S copy number for a given ASV were not used unless explicitly stated (Fig. S6) </w:t>
      </w:r>
      <w:r>
        <w:fldChar w:fldCharType="begin"/>
      </w:r>
      <w:r>
        <w:instrText xml:space="preserve"> ADDIN ZOTERO_ITEM CSL_CITATION {"citationID":"EtgeKYQW","properties":{"formattedCitation":"[20,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Each distance/dissimilarity metric was then calculated across all 100 absolute-normalized ASV tables. The final distance/dissimilarity matrix was calculated by averaging all 100 iterations of each distance/dissimilarity calculation. Of note for future users: pruning the phylogenetic tree after rarefaction for each iteration is not necessary – ASVs removed from the dataset do not contribute nor change the calculated of </w:t>
      </w:r>
      <w:proofErr w:type="spellStart"/>
      <w:r>
        <w:t>UniFrac</w:t>
      </w:r>
      <w:proofErr w:type="spellEnd"/>
      <w:r>
        <w:t xml:space="preserve"> distances. </w:t>
      </w:r>
    </w:p>
    <w:p w14:paraId="44658514" w14:textId="77777777" w:rsidR="00652D56" w:rsidRPr="00652D56" w:rsidRDefault="00652D56" w:rsidP="008F6E0E">
      <w:pPr>
        <w:spacing w:line="360" w:lineRule="auto"/>
      </w:pPr>
    </w:p>
    <w:sectPr w:rsidR="00652D56" w:rsidRPr="00652D56" w:rsidSect="00AE18EA">
      <w:footerReference w:type="even" r:id="rId11"/>
      <w:footerReference w:type="default" r:id="rId12"/>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5887D" w14:textId="77777777" w:rsidR="0080126D" w:rsidRDefault="0080126D" w:rsidP="00AE18EA">
      <w:pPr>
        <w:spacing w:after="0" w:line="240" w:lineRule="auto"/>
      </w:pPr>
      <w:r>
        <w:separator/>
      </w:r>
    </w:p>
  </w:endnote>
  <w:endnote w:type="continuationSeparator" w:id="0">
    <w:p w14:paraId="48F8B673" w14:textId="77777777" w:rsidR="0080126D" w:rsidRDefault="0080126D" w:rsidP="00AE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525467"/>
      <w:docPartObj>
        <w:docPartGallery w:val="Page Numbers (Bottom of Page)"/>
        <w:docPartUnique/>
      </w:docPartObj>
    </w:sdtPr>
    <w:sdtContent>
      <w:p w14:paraId="4E2B1385" w14:textId="2E089D4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B4A37" w14:textId="77777777" w:rsidR="00AE18EA" w:rsidRDefault="00AE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094347"/>
      <w:docPartObj>
        <w:docPartGallery w:val="Page Numbers (Bottom of Page)"/>
        <w:docPartUnique/>
      </w:docPartObj>
    </w:sdtPr>
    <w:sdtContent>
      <w:p w14:paraId="23920A21" w14:textId="5D4E78E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3E782CF" w14:textId="77777777" w:rsidR="00AE18EA" w:rsidRDefault="00AE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F274" w14:textId="77777777" w:rsidR="0080126D" w:rsidRDefault="0080126D" w:rsidP="00AE18EA">
      <w:pPr>
        <w:spacing w:after="0" w:line="240" w:lineRule="auto"/>
      </w:pPr>
      <w:r>
        <w:separator/>
      </w:r>
    </w:p>
  </w:footnote>
  <w:footnote w:type="continuationSeparator" w:id="0">
    <w:p w14:paraId="7FA7F8A0" w14:textId="77777777" w:rsidR="0080126D" w:rsidRDefault="0080126D" w:rsidP="00AE1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503"/>
    <w:multiLevelType w:val="multilevel"/>
    <w:tmpl w:val="C33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93FC4"/>
    <w:multiLevelType w:val="multilevel"/>
    <w:tmpl w:val="C65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26583">
    <w:abstractNumId w:val="1"/>
  </w:num>
  <w:num w:numId="2" w16cid:durableId="174930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A"/>
    <w:rsid w:val="0002280E"/>
    <w:rsid w:val="00042DC3"/>
    <w:rsid w:val="00054F5C"/>
    <w:rsid w:val="0007048F"/>
    <w:rsid w:val="000C73B5"/>
    <w:rsid w:val="000E114E"/>
    <w:rsid w:val="000F0D90"/>
    <w:rsid w:val="00100018"/>
    <w:rsid w:val="00153449"/>
    <w:rsid w:val="00161013"/>
    <w:rsid w:val="0016397E"/>
    <w:rsid w:val="00166B1F"/>
    <w:rsid w:val="001839A8"/>
    <w:rsid w:val="00196468"/>
    <w:rsid w:val="001B3C95"/>
    <w:rsid w:val="001B5344"/>
    <w:rsid w:val="001D13C8"/>
    <w:rsid w:val="001E7B35"/>
    <w:rsid w:val="001F4ACE"/>
    <w:rsid w:val="00206EE1"/>
    <w:rsid w:val="00210DF7"/>
    <w:rsid w:val="002D2CA2"/>
    <w:rsid w:val="002F534E"/>
    <w:rsid w:val="00300B7E"/>
    <w:rsid w:val="00327654"/>
    <w:rsid w:val="00340F0D"/>
    <w:rsid w:val="003641B9"/>
    <w:rsid w:val="00384B48"/>
    <w:rsid w:val="003973E9"/>
    <w:rsid w:val="003B0D07"/>
    <w:rsid w:val="003C70B0"/>
    <w:rsid w:val="003D5DF5"/>
    <w:rsid w:val="003E5D44"/>
    <w:rsid w:val="004037DA"/>
    <w:rsid w:val="00406912"/>
    <w:rsid w:val="00406B1B"/>
    <w:rsid w:val="00425EC1"/>
    <w:rsid w:val="004414CC"/>
    <w:rsid w:val="00444E42"/>
    <w:rsid w:val="00452169"/>
    <w:rsid w:val="004605DF"/>
    <w:rsid w:val="00463496"/>
    <w:rsid w:val="0046418C"/>
    <w:rsid w:val="00475C3E"/>
    <w:rsid w:val="00496696"/>
    <w:rsid w:val="004A30CB"/>
    <w:rsid w:val="004E7360"/>
    <w:rsid w:val="004E7775"/>
    <w:rsid w:val="0050575D"/>
    <w:rsid w:val="00533D53"/>
    <w:rsid w:val="00536AE4"/>
    <w:rsid w:val="00556492"/>
    <w:rsid w:val="00596044"/>
    <w:rsid w:val="005A129F"/>
    <w:rsid w:val="005B0677"/>
    <w:rsid w:val="005B11F1"/>
    <w:rsid w:val="005C02A0"/>
    <w:rsid w:val="005C397C"/>
    <w:rsid w:val="005E5B28"/>
    <w:rsid w:val="00604558"/>
    <w:rsid w:val="0060654F"/>
    <w:rsid w:val="00611B23"/>
    <w:rsid w:val="00615405"/>
    <w:rsid w:val="00620593"/>
    <w:rsid w:val="00622F9C"/>
    <w:rsid w:val="006237CB"/>
    <w:rsid w:val="006359AD"/>
    <w:rsid w:val="00643576"/>
    <w:rsid w:val="00652D56"/>
    <w:rsid w:val="006767F7"/>
    <w:rsid w:val="00686055"/>
    <w:rsid w:val="00693D9A"/>
    <w:rsid w:val="006A381E"/>
    <w:rsid w:val="006B42C1"/>
    <w:rsid w:val="006B7ABE"/>
    <w:rsid w:val="006C54C6"/>
    <w:rsid w:val="006D2645"/>
    <w:rsid w:val="006D56C5"/>
    <w:rsid w:val="00747C09"/>
    <w:rsid w:val="00760382"/>
    <w:rsid w:val="007652B2"/>
    <w:rsid w:val="007F3225"/>
    <w:rsid w:val="0080126D"/>
    <w:rsid w:val="008202AF"/>
    <w:rsid w:val="008729F6"/>
    <w:rsid w:val="00876148"/>
    <w:rsid w:val="008830B0"/>
    <w:rsid w:val="008A0D17"/>
    <w:rsid w:val="008A350F"/>
    <w:rsid w:val="008C2426"/>
    <w:rsid w:val="008C369D"/>
    <w:rsid w:val="008D202E"/>
    <w:rsid w:val="008E17D7"/>
    <w:rsid w:val="008E7226"/>
    <w:rsid w:val="008F6E0E"/>
    <w:rsid w:val="0092229D"/>
    <w:rsid w:val="009338FB"/>
    <w:rsid w:val="0094174A"/>
    <w:rsid w:val="00944367"/>
    <w:rsid w:val="00947D0B"/>
    <w:rsid w:val="00973339"/>
    <w:rsid w:val="00977861"/>
    <w:rsid w:val="0099506B"/>
    <w:rsid w:val="009C4CF7"/>
    <w:rsid w:val="009E2851"/>
    <w:rsid w:val="009E56F5"/>
    <w:rsid w:val="00A20B2F"/>
    <w:rsid w:val="00A47762"/>
    <w:rsid w:val="00A65FCE"/>
    <w:rsid w:val="00A7136E"/>
    <w:rsid w:val="00AA1614"/>
    <w:rsid w:val="00AA63C5"/>
    <w:rsid w:val="00AB216F"/>
    <w:rsid w:val="00AE18EA"/>
    <w:rsid w:val="00B172D4"/>
    <w:rsid w:val="00B25A30"/>
    <w:rsid w:val="00B26FCE"/>
    <w:rsid w:val="00B431C1"/>
    <w:rsid w:val="00B54AFC"/>
    <w:rsid w:val="00B54C61"/>
    <w:rsid w:val="00B64A34"/>
    <w:rsid w:val="00B66B86"/>
    <w:rsid w:val="00B756E3"/>
    <w:rsid w:val="00B838FA"/>
    <w:rsid w:val="00BB1FB4"/>
    <w:rsid w:val="00BB3B64"/>
    <w:rsid w:val="00BB7799"/>
    <w:rsid w:val="00BD3836"/>
    <w:rsid w:val="00BE0623"/>
    <w:rsid w:val="00C150F6"/>
    <w:rsid w:val="00C31D77"/>
    <w:rsid w:val="00C35DC4"/>
    <w:rsid w:val="00C45617"/>
    <w:rsid w:val="00C65332"/>
    <w:rsid w:val="00C82EF0"/>
    <w:rsid w:val="00C91CAF"/>
    <w:rsid w:val="00CA4E44"/>
    <w:rsid w:val="00CB102E"/>
    <w:rsid w:val="00CB1466"/>
    <w:rsid w:val="00CC3C53"/>
    <w:rsid w:val="00CE2ACD"/>
    <w:rsid w:val="00CF5AB8"/>
    <w:rsid w:val="00CF6E2D"/>
    <w:rsid w:val="00D12EEF"/>
    <w:rsid w:val="00D3495F"/>
    <w:rsid w:val="00D554C0"/>
    <w:rsid w:val="00D6699E"/>
    <w:rsid w:val="00D73FD0"/>
    <w:rsid w:val="00DB4875"/>
    <w:rsid w:val="00DC522E"/>
    <w:rsid w:val="00E13411"/>
    <w:rsid w:val="00E25F37"/>
    <w:rsid w:val="00E30A58"/>
    <w:rsid w:val="00E32F80"/>
    <w:rsid w:val="00E35EC3"/>
    <w:rsid w:val="00E67659"/>
    <w:rsid w:val="00E85AC8"/>
    <w:rsid w:val="00ED1044"/>
    <w:rsid w:val="00EE4F86"/>
    <w:rsid w:val="00EF00D4"/>
    <w:rsid w:val="00EF1BA1"/>
    <w:rsid w:val="00F04F0A"/>
    <w:rsid w:val="00F106B6"/>
    <w:rsid w:val="00F2781F"/>
    <w:rsid w:val="00F81530"/>
    <w:rsid w:val="00F86279"/>
    <w:rsid w:val="00FA3797"/>
    <w:rsid w:val="00FA6FED"/>
    <w:rsid w:val="00FE2461"/>
    <w:rsid w:val="00FF313F"/>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587D"/>
  <w15:chartTrackingRefBased/>
  <w15:docId w15:val="{BA490DFE-2840-D446-B8F7-14164128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F5"/>
    <w:rPr>
      <w:rFonts w:ascii="Times New Roman" w:hAnsi="Times New Roman"/>
    </w:rPr>
  </w:style>
  <w:style w:type="paragraph" w:styleId="Heading1">
    <w:name w:val="heading 1"/>
    <w:basedOn w:val="Normal"/>
    <w:next w:val="Normal"/>
    <w:link w:val="Heading1Char"/>
    <w:uiPriority w:val="9"/>
    <w:qFormat/>
    <w:rsid w:val="0040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DA"/>
    <w:rPr>
      <w:rFonts w:eastAsiaTheme="majorEastAsia" w:cstheme="majorBidi"/>
      <w:color w:val="272727" w:themeColor="text1" w:themeTint="D8"/>
    </w:rPr>
  </w:style>
  <w:style w:type="paragraph" w:styleId="Title">
    <w:name w:val="Title"/>
    <w:basedOn w:val="Normal"/>
    <w:next w:val="Normal"/>
    <w:link w:val="TitleChar"/>
    <w:uiPriority w:val="10"/>
    <w:qFormat/>
    <w:rsid w:val="0040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37DA"/>
    <w:rPr>
      <w:i/>
      <w:iCs/>
      <w:color w:val="404040" w:themeColor="text1" w:themeTint="BF"/>
    </w:rPr>
  </w:style>
  <w:style w:type="paragraph" w:styleId="ListParagraph">
    <w:name w:val="List Paragraph"/>
    <w:basedOn w:val="Normal"/>
    <w:uiPriority w:val="34"/>
    <w:qFormat/>
    <w:rsid w:val="004037DA"/>
    <w:pPr>
      <w:ind w:left="720"/>
      <w:contextualSpacing/>
    </w:pPr>
  </w:style>
  <w:style w:type="character" w:styleId="IntenseEmphasis">
    <w:name w:val="Intense Emphasis"/>
    <w:basedOn w:val="DefaultParagraphFont"/>
    <w:uiPriority w:val="21"/>
    <w:qFormat/>
    <w:rsid w:val="004037DA"/>
    <w:rPr>
      <w:i/>
      <w:iCs/>
      <w:color w:val="0F4761" w:themeColor="accent1" w:themeShade="BF"/>
    </w:rPr>
  </w:style>
  <w:style w:type="paragraph" w:styleId="IntenseQuote">
    <w:name w:val="Intense Quote"/>
    <w:basedOn w:val="Normal"/>
    <w:next w:val="Normal"/>
    <w:link w:val="IntenseQuoteChar"/>
    <w:uiPriority w:val="30"/>
    <w:qFormat/>
    <w:rsid w:val="0040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DA"/>
    <w:rPr>
      <w:i/>
      <w:iCs/>
      <w:color w:val="0F4761" w:themeColor="accent1" w:themeShade="BF"/>
    </w:rPr>
  </w:style>
  <w:style w:type="character" w:styleId="IntenseReference">
    <w:name w:val="Intense Reference"/>
    <w:basedOn w:val="DefaultParagraphFont"/>
    <w:uiPriority w:val="32"/>
    <w:qFormat/>
    <w:rsid w:val="004037DA"/>
    <w:rPr>
      <w:b/>
      <w:bCs/>
      <w:smallCaps/>
      <w:color w:val="0F4761" w:themeColor="accent1" w:themeShade="BF"/>
      <w:spacing w:val="5"/>
    </w:rPr>
  </w:style>
  <w:style w:type="character" w:styleId="PlaceholderText">
    <w:name w:val="Placeholder Text"/>
    <w:basedOn w:val="DefaultParagraphFont"/>
    <w:uiPriority w:val="99"/>
    <w:semiHidden/>
    <w:rsid w:val="00611B23"/>
    <w:rPr>
      <w:color w:val="666666"/>
    </w:rPr>
  </w:style>
  <w:style w:type="paragraph" w:styleId="BodyText">
    <w:name w:val="Body Text"/>
    <w:basedOn w:val="Normal"/>
    <w:link w:val="BodyTextChar"/>
    <w:qFormat/>
    <w:rsid w:val="00611B23"/>
    <w:pPr>
      <w:spacing w:before="180" w:after="180" w:line="240" w:lineRule="auto"/>
    </w:pPr>
    <w:rPr>
      <w:kern w:val="0"/>
      <w14:ligatures w14:val="none"/>
    </w:rPr>
  </w:style>
  <w:style w:type="character" w:customStyle="1" w:styleId="BodyTextChar">
    <w:name w:val="Body Text Char"/>
    <w:basedOn w:val="DefaultParagraphFont"/>
    <w:link w:val="BodyText"/>
    <w:rsid w:val="00611B23"/>
    <w:rPr>
      <w:kern w:val="0"/>
      <w14:ligatures w14:val="none"/>
    </w:rPr>
  </w:style>
  <w:style w:type="paragraph" w:customStyle="1" w:styleId="FirstParagraph">
    <w:name w:val="First Paragraph"/>
    <w:basedOn w:val="BodyText"/>
    <w:next w:val="BodyText"/>
    <w:qFormat/>
    <w:rsid w:val="00611B23"/>
  </w:style>
  <w:style w:type="character" w:customStyle="1" w:styleId="VerbatimChar">
    <w:name w:val="Verbatim Char"/>
    <w:basedOn w:val="DefaultParagraphFont"/>
    <w:link w:val="SourceCode"/>
    <w:rsid w:val="00611B23"/>
    <w:rPr>
      <w:rFonts w:ascii="Consolas" w:hAnsi="Consolas"/>
      <w:sz w:val="22"/>
      <w:shd w:val="clear" w:color="auto" w:fill="F8F8F8"/>
    </w:rPr>
  </w:style>
  <w:style w:type="paragraph" w:customStyle="1" w:styleId="SourceCode">
    <w:name w:val="Source Code"/>
    <w:basedOn w:val="Normal"/>
    <w:link w:val="VerbatimChar"/>
    <w:rsid w:val="00611B23"/>
    <w:pPr>
      <w:shd w:val="clear" w:color="auto" w:fill="F8F8F8"/>
      <w:wordWrap w:val="0"/>
      <w:spacing w:after="200" w:line="240" w:lineRule="auto"/>
    </w:pPr>
    <w:rPr>
      <w:rFonts w:ascii="Consolas" w:hAnsi="Consolas"/>
      <w:sz w:val="22"/>
    </w:rPr>
  </w:style>
  <w:style w:type="character" w:styleId="LineNumber">
    <w:name w:val="line number"/>
    <w:basedOn w:val="DefaultParagraphFont"/>
    <w:uiPriority w:val="99"/>
    <w:unhideWhenUsed/>
    <w:rsid w:val="0007048F"/>
    <w:rPr>
      <w:sz w:val="18"/>
    </w:rPr>
  </w:style>
  <w:style w:type="character" w:styleId="Hyperlink">
    <w:name w:val="Hyperlink"/>
    <w:basedOn w:val="DefaultParagraphFont"/>
    <w:rsid w:val="0007048F"/>
    <w:rPr>
      <w:color w:val="156082" w:themeColor="accent1"/>
    </w:rPr>
  </w:style>
  <w:style w:type="paragraph" w:styleId="Bibliography">
    <w:name w:val="Bibliography"/>
    <w:basedOn w:val="Normal"/>
    <w:next w:val="Normal"/>
    <w:uiPriority w:val="37"/>
    <w:unhideWhenUsed/>
    <w:rsid w:val="008D202E"/>
    <w:pPr>
      <w:tabs>
        <w:tab w:val="left" w:pos="500"/>
      </w:tabs>
      <w:spacing w:after="0" w:line="480" w:lineRule="auto"/>
      <w:ind w:left="504" w:hanging="504"/>
    </w:pPr>
  </w:style>
  <w:style w:type="paragraph" w:styleId="Footer">
    <w:name w:val="footer"/>
    <w:basedOn w:val="Normal"/>
    <w:link w:val="FooterChar"/>
    <w:uiPriority w:val="99"/>
    <w:unhideWhenUsed/>
    <w:rsid w:val="00AE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A"/>
    <w:rPr>
      <w:rFonts w:ascii="Times New Roman" w:hAnsi="Times New Roman"/>
    </w:rPr>
  </w:style>
  <w:style w:type="character" w:styleId="PageNumber">
    <w:name w:val="page number"/>
    <w:basedOn w:val="DefaultParagraphFont"/>
    <w:uiPriority w:val="99"/>
    <w:semiHidden/>
    <w:unhideWhenUsed/>
    <w:rsid w:val="00AE18EA"/>
  </w:style>
  <w:style w:type="paragraph" w:styleId="Revision">
    <w:name w:val="Revision"/>
    <w:hidden/>
    <w:uiPriority w:val="99"/>
    <w:semiHidden/>
    <w:rsid w:val="0046418C"/>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0E114E"/>
    <w:rPr>
      <w:sz w:val="16"/>
      <w:szCs w:val="16"/>
    </w:rPr>
  </w:style>
  <w:style w:type="paragraph" w:styleId="CommentText">
    <w:name w:val="annotation text"/>
    <w:basedOn w:val="Normal"/>
    <w:link w:val="CommentTextChar"/>
    <w:uiPriority w:val="99"/>
    <w:semiHidden/>
    <w:unhideWhenUsed/>
    <w:rsid w:val="000E114E"/>
    <w:pPr>
      <w:spacing w:line="240" w:lineRule="auto"/>
    </w:pPr>
    <w:rPr>
      <w:sz w:val="20"/>
      <w:szCs w:val="20"/>
    </w:rPr>
  </w:style>
  <w:style w:type="character" w:customStyle="1" w:styleId="CommentTextChar">
    <w:name w:val="Comment Text Char"/>
    <w:basedOn w:val="DefaultParagraphFont"/>
    <w:link w:val="CommentText"/>
    <w:uiPriority w:val="99"/>
    <w:semiHidden/>
    <w:rsid w:val="000E11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E114E"/>
    <w:rPr>
      <w:b/>
      <w:bCs/>
    </w:rPr>
  </w:style>
  <w:style w:type="character" w:customStyle="1" w:styleId="CommentSubjectChar">
    <w:name w:val="Comment Subject Char"/>
    <w:basedOn w:val="CommentTextChar"/>
    <w:link w:val="CommentSubject"/>
    <w:uiPriority w:val="99"/>
    <w:semiHidden/>
    <w:rsid w:val="000E114E"/>
    <w:rPr>
      <w:rFonts w:ascii="Times New Roman" w:hAnsi="Times New Roman"/>
      <w:b/>
      <w:bCs/>
      <w:sz w:val="20"/>
      <w:szCs w:val="20"/>
    </w:rPr>
  </w:style>
  <w:style w:type="paragraph" w:customStyle="1" w:styleId="p1">
    <w:name w:val="p1"/>
    <w:basedOn w:val="Normal"/>
    <w:rsid w:val="0092229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153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15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p277@cornell.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arschmi@cornell.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B4243-C90F-DD42-B174-F1EA0B90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20</Pages>
  <Words>23464</Words>
  <Characters>143602</Characters>
  <Application>Microsoft Office Word</Application>
  <DocSecurity>0</DocSecurity>
  <Lines>2393</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Marian Louise Schmidt</cp:lastModifiedBy>
  <cp:revision>15</cp:revision>
  <cp:lastPrinted>2025-12-15T20:13:00Z</cp:lastPrinted>
  <dcterms:created xsi:type="dcterms:W3CDTF">2025-12-15T20:13:00Z</dcterms:created>
  <dcterms:modified xsi:type="dcterms:W3CDTF">2026-01-14T22:44:00Z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id="izsN5JqH"/&gt;&lt;style id="http://www.zotero.org/styles/the-isme-journal" hasBibliography="1" bibliographyStyleHasBeenSet="1"/&gt;&lt;prefs&gt;&lt;pref name="fieldType" value="Field"/&gt;&lt;/prefs&gt;&lt;/data&gt;</vt:lpwstr>
  </property>
</Properties>
</file>