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56830" w14:textId="68B5D207" w:rsidR="0007048F" w:rsidRPr="006A381E" w:rsidRDefault="0007048F" w:rsidP="006A381E">
      <w:pPr>
        <w:spacing w:line="240" w:lineRule="auto"/>
        <w:rPr>
          <w:b/>
          <w:bCs/>
        </w:rPr>
      </w:pPr>
      <w:bookmarkStart w:id="0" w:name="X61920d043a979f98ebd741c77f7cdf38bae6db9"/>
      <w:r w:rsidRPr="006A381E">
        <w:rPr>
          <w:b/>
          <w:bCs/>
        </w:rPr>
        <w:t xml:space="preserve">Interpreting </w:t>
      </w:r>
      <w:proofErr w:type="spellStart"/>
      <w:r w:rsidRPr="006A381E">
        <w:rPr>
          <w:b/>
          <w:bCs/>
        </w:rPr>
        <w:t>UniFrac</w:t>
      </w:r>
      <w:proofErr w:type="spellEnd"/>
      <w:r w:rsidRPr="006A381E">
        <w:rPr>
          <w:b/>
          <w:bCs/>
        </w:rPr>
        <w:t xml:space="preserve"> with Absolute Abundance: A Conceptual and Practical Guide</w:t>
      </w:r>
    </w:p>
    <w:p w14:paraId="2E7AB754" w14:textId="77777777" w:rsidR="0007048F" w:rsidRPr="0007048F" w:rsidRDefault="0007048F" w:rsidP="006A381E">
      <w:pPr>
        <w:spacing w:line="240" w:lineRule="auto"/>
      </w:pPr>
      <w:r w:rsidRPr="0007048F">
        <w:t>Augustus Pendleton</w:t>
      </w:r>
      <w:r w:rsidRPr="0007048F">
        <w:rPr>
          <w:vertAlign w:val="superscript"/>
        </w:rPr>
        <w:t>1</w:t>
      </w:r>
      <w:r w:rsidRPr="0007048F">
        <w:t>* &amp; Marian L. Schmidt</w:t>
      </w:r>
      <w:r w:rsidRPr="0007048F">
        <w:rPr>
          <w:vertAlign w:val="superscript"/>
        </w:rPr>
        <w:t>1</w:t>
      </w:r>
      <w:r w:rsidRPr="0007048F">
        <w:t>*</w:t>
      </w:r>
    </w:p>
    <w:p w14:paraId="34D7ECB4" w14:textId="77777777" w:rsidR="0007048F" w:rsidRPr="0007048F" w:rsidRDefault="0007048F" w:rsidP="006A381E">
      <w:pPr>
        <w:spacing w:line="240" w:lineRule="auto"/>
      </w:pPr>
      <w:r w:rsidRPr="0007048F">
        <w:rPr>
          <w:vertAlign w:val="superscript"/>
        </w:rPr>
        <w:t>1</w:t>
      </w:r>
      <w:r w:rsidRPr="0007048F">
        <w:t>Department of Microbiology, Cornell University, 123 Wing Dr, Ithaca, NY 14850, USA</w:t>
      </w:r>
    </w:p>
    <w:p w14:paraId="5AA09167" w14:textId="3F44C2AE" w:rsidR="0007048F" w:rsidRPr="0007048F" w:rsidRDefault="0007048F" w:rsidP="006A381E">
      <w:pPr>
        <w:spacing w:line="240" w:lineRule="auto"/>
      </w:pPr>
      <w:r w:rsidRPr="0007048F">
        <w:rPr>
          <w:b/>
          <w:bCs/>
        </w:rPr>
        <w:t>Corresponding Authors:</w:t>
      </w:r>
      <w:r w:rsidRPr="0007048F">
        <w:t xml:space="preserve"> Augustus Pendleton: </w:t>
      </w:r>
      <w:r w:rsidRPr="00A47762">
        <w:rPr>
          <w:rFonts w:cs="Times New Roman"/>
        </w:rPr>
        <w:t>arp277@cornell.edu</w:t>
      </w:r>
      <w:r w:rsidRPr="0007048F">
        <w:t xml:space="preserve">; Marian L. Schmidt: </w:t>
      </w:r>
      <w:r w:rsidRPr="00A47762">
        <w:rPr>
          <w:rFonts w:cs="Times New Roman"/>
        </w:rPr>
        <w:t>marschmi@cornell.edu</w:t>
      </w:r>
    </w:p>
    <w:p w14:paraId="5CF6F85B" w14:textId="77777777" w:rsidR="0007048F" w:rsidRPr="0007048F" w:rsidRDefault="0007048F" w:rsidP="006A381E">
      <w:pPr>
        <w:spacing w:line="240" w:lineRule="auto"/>
      </w:pPr>
      <w:r w:rsidRPr="0007048F">
        <w:rPr>
          <w:b/>
          <w:bCs/>
        </w:rPr>
        <w:t>Author Contribution Statement:</w:t>
      </w:r>
      <w:r w:rsidRPr="0007048F">
        <w:t xml:space="preserve"> Both authors contributed equally to the manuscript.</w:t>
      </w:r>
    </w:p>
    <w:p w14:paraId="09A29008" w14:textId="07F5361C" w:rsidR="0007048F" w:rsidRPr="00496696" w:rsidRDefault="0007048F" w:rsidP="006A381E">
      <w:pPr>
        <w:spacing w:line="240" w:lineRule="auto"/>
        <w:rPr>
          <w:rFonts w:cs="Times New Roman"/>
        </w:rPr>
      </w:pPr>
      <w:r w:rsidRPr="0007048F">
        <w:rPr>
          <w:b/>
          <w:bCs/>
        </w:rPr>
        <w:t>Preprint servers:</w:t>
      </w:r>
      <w:r w:rsidRPr="0007048F">
        <w:t xml:space="preserve"> This article was submitted to </w:t>
      </w:r>
      <w:proofErr w:type="spellStart"/>
      <w:r w:rsidRPr="0007048F">
        <w:rPr>
          <w:i/>
          <w:iCs/>
        </w:rPr>
        <w:t>bioRxiv</w:t>
      </w:r>
      <w:proofErr w:type="spellEnd"/>
      <w:r w:rsidRPr="0007048F">
        <w:t xml:space="preserve"> (</w:t>
      </w:r>
      <w:proofErr w:type="spellStart"/>
      <w:r w:rsidRPr="0007048F">
        <w:t>doi</w:t>
      </w:r>
      <w:proofErr w:type="spellEnd"/>
      <w:r w:rsidRPr="00496696">
        <w:rPr>
          <w:rFonts w:cs="Times New Roman"/>
        </w:rPr>
        <w:t xml:space="preserve">: </w:t>
      </w:r>
      <w:r w:rsidR="00A47762" w:rsidRPr="00496696">
        <w:rPr>
          <w:rFonts w:cs="Times New Roman"/>
          <w:color w:val="333333"/>
          <w:shd w:val="clear" w:color="auto" w:fill="FFFFFF"/>
        </w:rPr>
        <w:t>10.1101/2025.07.18.665540</w:t>
      </w:r>
      <w:r w:rsidRPr="00496696">
        <w:rPr>
          <w:rFonts w:cs="Times New Roman"/>
        </w:rPr>
        <w:t>) under a CC-BY-NC-ND 4.0 International license.</w:t>
      </w:r>
    </w:p>
    <w:p w14:paraId="3C7C35A2" w14:textId="77777777" w:rsidR="0007048F" w:rsidRPr="0007048F" w:rsidRDefault="0007048F" w:rsidP="006A381E">
      <w:pPr>
        <w:spacing w:line="240" w:lineRule="auto"/>
      </w:pPr>
      <w:r w:rsidRPr="0007048F">
        <w:rPr>
          <w:b/>
          <w:bCs/>
        </w:rPr>
        <w:t>Keywords:</w:t>
      </w:r>
      <w:r w:rsidRPr="0007048F">
        <w:t xml:space="preserve"> Microbial Ecology - Beta Diversity - Absolute Abundance - Bioinformatics - </w:t>
      </w:r>
      <w:proofErr w:type="spellStart"/>
      <w:r w:rsidRPr="0007048F">
        <w:t>UniFrac</w:t>
      </w:r>
      <w:proofErr w:type="spellEnd"/>
    </w:p>
    <w:p w14:paraId="04226092" w14:textId="38846CCA" w:rsidR="0007048F" w:rsidRPr="0007048F" w:rsidRDefault="0007048F" w:rsidP="006A381E">
      <w:pPr>
        <w:spacing w:line="240" w:lineRule="auto"/>
      </w:pPr>
      <w:r w:rsidRPr="0007048F">
        <w:rPr>
          <w:b/>
          <w:bCs/>
        </w:rPr>
        <w:t>Data Availability:</w:t>
      </w:r>
      <w:r w:rsidRPr="0007048F">
        <w:t xml:space="preserve"> All data and code used to produce the manuscript are available at </w:t>
      </w:r>
      <w:r w:rsidRPr="00496696">
        <w:rPr>
          <w:rFonts w:cs="Times New Roman"/>
        </w:rPr>
        <w:t>https://github.com/MarschmiLab/Pendleton_2025_Absolute_Unifrac_Paper</w:t>
      </w:r>
      <w:r w:rsidRPr="0007048F">
        <w:t xml:space="preserve">, in addition to a reproducible </w:t>
      </w:r>
      <w:proofErr w:type="spellStart"/>
      <w:r w:rsidRPr="0007048F">
        <w:rPr>
          <w:rStyle w:val="VerbatimChar"/>
          <w:rFonts w:ascii="Times New Roman" w:hAnsi="Times New Roman" w:cs="Times New Roman"/>
          <w:sz w:val="24"/>
        </w:rPr>
        <w:t>renv</w:t>
      </w:r>
      <w:proofErr w:type="spellEnd"/>
      <w:r w:rsidRPr="0007048F">
        <w:t xml:space="preserve"> environment. All packages used for analysis are listed in Table S1.</w:t>
      </w:r>
    </w:p>
    <w:p w14:paraId="35DF76EA" w14:textId="77777777" w:rsidR="0007048F" w:rsidRPr="0007048F" w:rsidRDefault="0007048F" w:rsidP="006A381E">
      <w:pPr>
        <w:spacing w:line="240" w:lineRule="auto"/>
      </w:pPr>
      <w:r w:rsidRPr="0007048F">
        <w:br w:type="page"/>
      </w:r>
    </w:p>
    <w:p w14:paraId="58E1B97C" w14:textId="77777777" w:rsidR="0007048F" w:rsidRPr="00496696" w:rsidRDefault="0007048F" w:rsidP="006A381E">
      <w:pPr>
        <w:spacing w:line="240" w:lineRule="auto"/>
        <w:rPr>
          <w:b/>
          <w:bCs/>
        </w:rPr>
      </w:pPr>
      <w:bookmarkStart w:id="1" w:name="abstract"/>
      <w:r w:rsidRPr="00496696">
        <w:rPr>
          <w:b/>
          <w:bCs/>
        </w:rPr>
        <w:lastRenderedPageBreak/>
        <w:t>Abstract</w:t>
      </w:r>
    </w:p>
    <w:p w14:paraId="18E7A8AB" w14:textId="053081C5" w:rsidR="0007048F" w:rsidRPr="0007048F" w:rsidRDefault="0007048F" w:rsidP="006A381E">
      <w:pPr>
        <w:spacing w:line="240" w:lineRule="auto"/>
      </w:pPr>
      <m:oMath>
        <m:r>
          <w:rPr>
            <w:rFonts w:ascii="Cambria Math" w:hAnsi="Cambria Math"/>
          </w:rPr>
          <m:t>β</m:t>
        </m:r>
      </m:oMath>
      <w:r w:rsidRPr="0007048F">
        <w:t>-diversity</w:t>
      </w:r>
      <w:r w:rsidR="001B3C95">
        <w:t xml:space="preserve"> is central to microbial ecology, yet commonly used metrics overlook changes in microbial load</w:t>
      </w:r>
      <w:r w:rsidR="004E7775">
        <w:t xml:space="preserve"> (or “absolute abundance”)</w:t>
      </w:r>
      <w:r w:rsidR="001B3C95">
        <w:t>, limiting their ability to detect ecologically meaningful shifts.</w:t>
      </w:r>
      <w:r w:rsidRPr="0007048F">
        <w:t xml:space="preserve"> Popular for incorporating phylogenetic relationships, </w:t>
      </w:r>
      <w:proofErr w:type="spellStart"/>
      <w:r w:rsidRPr="0007048F">
        <w:t>UniFrac</w:t>
      </w:r>
      <w:proofErr w:type="spellEnd"/>
      <w:r w:rsidRPr="0007048F">
        <w:t xml:space="preserve"> distances </w:t>
      </w:r>
      <w:r w:rsidR="001B3C95">
        <w:t xml:space="preserve">currently </w:t>
      </w:r>
      <w:r w:rsidRPr="0007048F">
        <w:t>default to relative abundance</w:t>
      </w:r>
      <w:r w:rsidR="001B3C95">
        <w:t xml:space="preserve"> and therefore omit</w:t>
      </w:r>
      <w:r w:rsidRPr="0007048F">
        <w:t xml:space="preserve"> important variation in microbial </w:t>
      </w:r>
      <w:r w:rsidR="001B3C95">
        <w:t>abundances</w:t>
      </w:r>
      <w:r w:rsidRPr="0007048F">
        <w:t xml:space="preserve">. As </w:t>
      </w:r>
      <w:r w:rsidR="001B3C95">
        <w:t>quantifying</w:t>
      </w:r>
      <w:r w:rsidRPr="0007048F">
        <w:t xml:space="preserve"> absolute abundance</w:t>
      </w:r>
      <w:r w:rsidR="001B3C95">
        <w:t xml:space="preserve"> become</w:t>
      </w:r>
      <w:r w:rsidR="00EE4F86">
        <w:t>s</w:t>
      </w:r>
      <w:r w:rsidR="001B3C95">
        <w:t xml:space="preserve"> more accessible, integrating</w:t>
      </w:r>
      <w:r w:rsidRPr="0007048F">
        <w:t xml:space="preserve"> this information into </w:t>
      </w:r>
      <m:oMath>
        <m:r>
          <w:rPr>
            <w:rFonts w:ascii="Cambria Math" w:hAnsi="Cambria Math"/>
          </w:rPr>
          <m:t>β</m:t>
        </m:r>
      </m:oMath>
      <w:r w:rsidRPr="0007048F">
        <w:t xml:space="preserve">-diversity analyses </w:t>
      </w:r>
      <w:r w:rsidR="00EE4F86">
        <w:t>is</w:t>
      </w:r>
      <w:r w:rsidRPr="0007048F">
        <w:t xml:space="preserve"> essential. Here, we </w:t>
      </w:r>
      <w:r w:rsidR="001B3C95">
        <w:t>introduce</w:t>
      </w:r>
      <w:r w:rsidRPr="0007048F">
        <w:t xml:space="preserve"> </w:t>
      </w:r>
      <w:r w:rsidRPr="0007048F">
        <w:rPr>
          <w:i/>
          <w:iCs/>
        </w:rPr>
        <w:t xml:space="preserve">Absolute </w:t>
      </w:r>
      <w:proofErr w:type="spellStart"/>
      <w:r w:rsidRPr="0007048F">
        <w:rPr>
          <w:i/>
          <w:iCs/>
        </w:rPr>
        <w:t>UniFrac</w:t>
      </w:r>
      <w:proofErr w:type="spellEnd"/>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a variant of Weighted UniFrac that</w:t>
      </w:r>
      <w:r w:rsidR="001B3C95">
        <w:t xml:space="preserve"> incorporates</w:t>
      </w:r>
      <w:r w:rsidRPr="0007048F">
        <w:t xml:space="preserve"> absolute abundances. </w:t>
      </w:r>
      <w:r w:rsidR="001B3C95">
        <w:t>Using</w:t>
      </w:r>
      <w:r w:rsidRPr="0007048F">
        <w:t xml:space="preserve"> simulations and a </w:t>
      </w:r>
      <w:r w:rsidR="008A0D17">
        <w:t xml:space="preserve">reanalysis of four 16S </w:t>
      </w:r>
      <w:r w:rsidR="001B3C95">
        <w:t xml:space="preserve">rRNA </w:t>
      </w:r>
      <w:r w:rsidR="008A0D17">
        <w:t xml:space="preserve">metabarcoding datasets (from </w:t>
      </w:r>
      <w:r w:rsidR="000F0D90">
        <w:t xml:space="preserve">a </w:t>
      </w:r>
      <w:r w:rsidR="008A0D17">
        <w:t xml:space="preserve">nuclear reactor cooling tank, </w:t>
      </w:r>
      <w:r w:rsidR="000F0D90">
        <w:t xml:space="preserve">the </w:t>
      </w:r>
      <w:r w:rsidR="008A0D17">
        <w:t xml:space="preserve">mouse gut, a freshwater lake, and the peanut </w:t>
      </w:r>
      <w:proofErr w:type="spellStart"/>
      <w:r w:rsidR="008A0D17">
        <w:t>rhizospere</w:t>
      </w:r>
      <w:proofErr w:type="spellEnd"/>
      <w:r w:rsidR="008A0D17">
        <w:t>),</w:t>
      </w:r>
      <w:r w:rsidRPr="0007048F">
        <w:t xml:space="preserve"> we </w:t>
      </w:r>
      <w:r w:rsidR="008A0D17">
        <w:t xml:space="preserve">demonstrate </w:t>
      </w:r>
      <w:r w:rsidR="001B3C95">
        <w:t>that</w:t>
      </w:r>
      <w:r w:rsidR="00533D53">
        <w:t xml:space="preserve"> </w:t>
      </w:r>
      <w:r w:rsidRPr="0007048F">
        <w:t xml:space="preserve">Absolute </w:t>
      </w:r>
      <w:proofErr w:type="spellStart"/>
      <w:r w:rsidRPr="0007048F">
        <w:t>UniFrac</w:t>
      </w:r>
      <w:proofErr w:type="spellEnd"/>
      <w:r w:rsidRPr="0007048F">
        <w:t xml:space="preserve"> </w:t>
      </w:r>
      <w:r w:rsidR="001B3C95">
        <w:t>captures</w:t>
      </w:r>
      <w:r w:rsidRPr="0007048F">
        <w:t xml:space="preserve"> microbial load</w:t>
      </w:r>
      <w:r w:rsidR="001B3C95">
        <w:t>, composition,</w:t>
      </w:r>
      <w:r w:rsidRPr="0007048F">
        <w:t xml:space="preserve"> and phylogenetic relationship</w:t>
      </w:r>
      <w:r w:rsidR="00533D53">
        <w:t>s. While this can</w:t>
      </w:r>
      <w:r w:rsidRPr="0007048F">
        <w:t xml:space="preserve"> improv</w:t>
      </w:r>
      <w:r w:rsidR="00533D53">
        <w:t>e</w:t>
      </w:r>
      <w:r w:rsidRPr="0007048F">
        <w:t xml:space="preserve"> statistical power to detect ecological shifts</w:t>
      </w:r>
      <w:r w:rsidR="00533D53">
        <w:t xml:space="preserve">, we also find Absolute </w:t>
      </w:r>
      <w:proofErr w:type="spellStart"/>
      <w:r w:rsidR="00533D53">
        <w:t>Unifrac</w:t>
      </w:r>
      <w:proofErr w:type="spellEnd"/>
      <w:r w:rsidR="00533D53">
        <w:t xml:space="preserve"> can be strongly correlated to differences in cell abundances alone.</w:t>
      </w:r>
      <w:r w:rsidR="001B3C95">
        <w:t xml:space="preserve"> To balance these effects, we </w:t>
      </w:r>
      <w:r w:rsidR="00384B48">
        <w:t>also incorporate absolute abundance into the</w:t>
      </w:r>
      <w:r w:rsidRPr="0007048F">
        <w:t xml:space="preserve"> generalized</w:t>
      </w:r>
      <w:r w:rsidR="001B3C95">
        <w:t xml:space="preserve"> extension</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B25A30">
        <w:t>that has</w:t>
      </w:r>
      <w:r w:rsidR="00B25A30" w:rsidRPr="0007048F">
        <w:t xml:space="preserve"> a tunable</w:t>
      </w:r>
      <w:r w:rsidR="00B25A30">
        <w:t>, continuous ecological parameter (</w:t>
      </w:r>
      <m:oMath>
        <m:r>
          <w:rPr>
            <w:rFonts w:ascii="Cambria Math" w:hAnsi="Cambria Math"/>
          </w:rPr>
          <m:t>α</m:t>
        </m:r>
      </m:oMath>
      <w:r w:rsidR="00B25A30">
        <w:rPr>
          <w:rFonts w:eastAsiaTheme="minorEastAsia"/>
        </w:rPr>
        <w:t>)</w:t>
      </w:r>
      <w:r w:rsidR="00B25A30" w:rsidRPr="0007048F">
        <w:t xml:space="preserve"> </w:t>
      </w:r>
      <w:r w:rsidR="00B25A30">
        <w:t xml:space="preserve">that modulates the relative contribution of rare versus abundant lineages to </w:t>
      </w:r>
      <m:oMath>
        <m:r>
          <w:rPr>
            <w:rFonts w:ascii="Cambria Math" w:hAnsi="Cambria Math"/>
          </w:rPr>
          <m:t>β</m:t>
        </m:r>
      </m:oMath>
      <w:r w:rsidR="00B25A30" w:rsidRPr="0007048F">
        <w:t>-diversity</w:t>
      </w:r>
      <w:r w:rsidR="00B25A30">
        <w:t xml:space="preserve"> calculations. </w:t>
      </w:r>
      <w:r w:rsidR="001B3C95">
        <w:t xml:space="preserve">Finally, we benchmark </w:t>
      </w:r>
      <w:r w:rsidR="00533D53">
        <w:rPr>
          <w:i/>
          <w:iCs/>
        </w:rPr>
        <w:t>GU</w:t>
      </w:r>
      <w:r w:rsidR="00533D53">
        <w:rPr>
          <w:i/>
          <w:iCs/>
          <w:vertAlign w:val="superscript"/>
        </w:rPr>
        <w:t>A</w:t>
      </w:r>
      <w:r w:rsidR="001B3C95">
        <w:t xml:space="preserve"> and show that although computationally slower than conventional alternatives, </w:t>
      </w:r>
      <w:r w:rsidR="00533D53">
        <w:rPr>
          <w:i/>
          <w:iCs/>
        </w:rPr>
        <w:t>GU</w:t>
      </w:r>
      <w:r w:rsidR="00533D53">
        <w:rPr>
          <w:i/>
          <w:iCs/>
          <w:vertAlign w:val="superscript"/>
        </w:rPr>
        <w:t xml:space="preserve">A </w:t>
      </w:r>
      <w:r w:rsidR="001B3C95">
        <w:t>is comparably sensitive to noise in load estimates compared to conventional alternatives lik</w:t>
      </w:r>
      <w:r w:rsidR="00D12EEF">
        <w:t>e</w:t>
      </w:r>
      <w:r w:rsidR="001B3C95">
        <w:t xml:space="preserve"> Bray-Curtis dissimilarities, particularly at l</w:t>
      </w:r>
      <w:r w:rsidR="00533D53">
        <w:t xml:space="preserve">ower </w:t>
      </w:r>
      <m:oMath>
        <m:r>
          <w:rPr>
            <w:rFonts w:ascii="Cambria Math" w:hAnsi="Cambria Math"/>
          </w:rPr>
          <m:t>α.</m:t>
        </m:r>
      </m:oMath>
      <w:r w:rsidR="001B3C95">
        <w:t xml:space="preserve"> By coupling phylogeny</w:t>
      </w:r>
      <w:r w:rsidR="00D12EEF">
        <w:t>, composition, and</w:t>
      </w:r>
      <w:r w:rsidR="001B3C95">
        <w:t xml:space="preserve"> microbial load, Absolute </w:t>
      </w:r>
      <w:proofErr w:type="spellStart"/>
      <w:r w:rsidR="001B3C95">
        <w:t>Unifrac</w:t>
      </w:r>
      <w:proofErr w:type="spellEnd"/>
      <w:r w:rsidR="00D12EEF">
        <w:t xml:space="preserve"> </w:t>
      </w:r>
      <w:r w:rsidR="0060654F">
        <w:t>integrates three dimensions of ecological change, better equipping microbial ecologists to quantitatively compare microbial communities.</w:t>
      </w:r>
      <w:r w:rsidRPr="0007048F">
        <w:br w:type="page"/>
      </w:r>
    </w:p>
    <w:p w14:paraId="0A3E7646" w14:textId="77777777" w:rsidR="0007048F" w:rsidRPr="00496696" w:rsidRDefault="0007048F" w:rsidP="006A381E">
      <w:pPr>
        <w:spacing w:line="240" w:lineRule="auto"/>
        <w:rPr>
          <w:b/>
          <w:bCs/>
        </w:rPr>
      </w:pPr>
      <w:bookmarkStart w:id="2" w:name="main-text"/>
      <w:bookmarkEnd w:id="1"/>
      <w:r w:rsidRPr="00496696">
        <w:rPr>
          <w:b/>
          <w:bCs/>
        </w:rPr>
        <w:lastRenderedPageBreak/>
        <w:t>Main Text</w:t>
      </w:r>
    </w:p>
    <w:p w14:paraId="194C2037" w14:textId="50FD83BF" w:rsidR="0007048F" w:rsidRDefault="0007048F" w:rsidP="006A381E">
      <w:pPr>
        <w:spacing w:line="240" w:lineRule="auto"/>
        <w:ind w:firstLine="720"/>
      </w:pPr>
      <w:r w:rsidRPr="0007048F">
        <w:t xml:space="preserve">Microbial ecologists routinely compare communities using </w:t>
      </w:r>
      <m:oMath>
        <m:r>
          <w:rPr>
            <w:rFonts w:ascii="Cambria Math" w:hAnsi="Cambria Math"/>
          </w:rPr>
          <m:t>β</m:t>
        </m:r>
      </m:oMath>
      <w:r w:rsidRPr="0007048F">
        <w:t>-diversity metrics derived from relative abundances. Yet this approach overlooks a critical ecological dimension: microbial load. High-throughput sequencing produces compositional data, in which each taxon’s abundance is constrained by all others</w:t>
      </w:r>
      <w:r w:rsidR="00496696">
        <w:t xml:space="preserve"> </w:t>
      </w:r>
      <w:r w:rsidR="00496696">
        <w:fldChar w:fldCharType="begin"/>
      </w:r>
      <w:r w:rsidR="00496696">
        <w:instrText xml:space="preserve"> ADDIN ZOTERO_ITEM CSL_CITATION {"citationID":"x2ZDVmkj","properties":{"formattedCitation":"[1]","plainCitation":"[1]","noteIndex":0},"citationItems":[{"id":2069,"uris":["http://zotero.org/groups/5077571/items/97IX3MNG"],"itemData":{"id":2069,"type":"article-journal","abstract":"Datasets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J."}],"issued":{"date-parts":[["2017",11,15]]},"citation-key":"gloorMicrobiomeDatasetsAre2017"}}],"schema":"https://github.com/citation-style-language/schema/raw/master/csl-citation.json"} </w:instrText>
      </w:r>
      <w:r w:rsidR="00496696">
        <w:fldChar w:fldCharType="separate"/>
      </w:r>
      <w:r w:rsidR="00496696">
        <w:rPr>
          <w:noProof/>
        </w:rPr>
        <w:t>[1]</w:t>
      </w:r>
      <w:r w:rsidR="00496696">
        <w:fldChar w:fldCharType="end"/>
      </w:r>
      <w:r w:rsidRPr="0007048F">
        <w:t>. However, quantitative profiling studies show that cell abundance, not only composition, can drive major community differences</w:t>
      </w:r>
      <w:r w:rsidR="00496696">
        <w:t xml:space="preserve"> </w:t>
      </w:r>
      <w:r w:rsidR="00496696">
        <w:fldChar w:fldCharType="begin"/>
      </w:r>
      <w:r w:rsidR="00496696">
        <w:instrText xml:space="preserve"> ADDIN ZOTERO_ITEM CSL_CITATION {"citationID":"rMehl6Ws","properties":{"formattedCitation":"[2]","plainCitation":"[2]","noteIndex":0},"citationItems":[{"id":1089,"uris":["http://zotero.org/groups/5077571/items/DEZ9LS8N"],"itemData":{"id":1089,"type":"article-journal","abstract":"Objective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[2]</w:t>
      </w:r>
      <w:r w:rsidR="00496696">
        <w:fldChar w:fldCharType="end"/>
      </w:r>
      <w:r w:rsidRPr="0007048F">
        <w:t>. In low-biomass samples, relying on relative abundance can allow contaminants to appear biologically meaningful despite absolute counts too low for concern</w:t>
      </w:r>
      <w:r w:rsidR="00496696">
        <w:t xml:space="preserve"> </w:t>
      </w:r>
      <w:r w:rsidR="00496696">
        <w:fldChar w:fldCharType="begin"/>
      </w:r>
      <w:r w:rsidR="00496696">
        <w:instrText xml:space="preserve"> ADDIN ZOTERO_ITEM CSL_CITATION {"citationID":"K4EeajLk","properties":{"formattedCitation":"[3]","plainCitation":"[3]","noteIndex":0},"citationItems":[{"id":2078,"uris":["http://zotero.org/groups/5077571/items/9FC6PKRB"],"itemData":{"id":2078,"type":"article-journal","abstract":"A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496696">
        <w:fldChar w:fldCharType="separate"/>
      </w:r>
      <w:r w:rsidR="00496696">
        <w:rPr>
          <w:noProof/>
        </w:rPr>
        <w:t>[3]</w:t>
      </w:r>
      <w:r w:rsidR="00496696">
        <w:fldChar w:fldCharType="end"/>
      </w:r>
      <w:r w:rsidRPr="0007048F">
        <w:t>.</w:t>
      </w:r>
    </w:p>
    <w:p w14:paraId="7D93E219" w14:textId="28B41253" w:rsidR="00444E42" w:rsidRDefault="00444E42" w:rsidP="006A381E">
      <w:pPr>
        <w:spacing w:line="240" w:lineRule="auto"/>
        <w:ind w:firstLine="720"/>
      </w:pPr>
      <w:r>
        <w:t xml:space="preserve">Sequencing-based microbiome studies therefore rely on relative abundance even when the hypotheses of interest implicitly concern absolute changes in biomass. This creates a mismatch between ecological framing (growth, bloom magnitude, pathogen proliferation, disturbance recovery, or colonization pressure) and the information the </w:t>
      </w:r>
      <m:oMath>
        <m:r>
          <w:rPr>
            <w:rFonts w:ascii="Cambria Math" w:hAnsi="Cambria Math"/>
          </w:rPr>
          <m:t>β</m:t>
        </m:r>
      </m:oMath>
      <w:r w:rsidRPr="0007048F">
        <w:t>-</w:t>
      </w:r>
      <w:r>
        <w:t>diversity metric encodes</w:t>
      </w:r>
      <w:r w:rsidR="00A20B2F">
        <w:t xml:space="preserve"> </w:t>
      </w:r>
      <w:r w:rsidR="00A20B2F">
        <w:fldChar w:fldCharType="begin"/>
      </w:r>
      <w:r w:rsidR="00A20B2F">
        <w:instrText xml:space="preserve"> ADDIN ZOTERO_ITEM CSL_CITATION {"citationID":"kNaiXzB6","properties":{"formattedCitation":"[4]","plainCitation":"[4]","noteIndex":0},"citationItems":[{"id":2062,"uris":["http://zotero.org/groups/5077571/items/WYESXR85"],"itemData":{"id":2062,"type":"article-journal","abstract":"High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As a result, </w:t>
      </w:r>
      <m:oMath>
        <m:r>
          <w:rPr>
            <w:rFonts w:ascii="Cambria Math" w:hAnsi="Cambria Math"/>
          </w:rPr>
          <m:t>β</m:t>
        </m:r>
      </m:oMath>
      <w:r w:rsidRPr="0007048F">
        <w:t>-</w:t>
      </w:r>
      <w:r>
        <w:t xml:space="preserve">diversity is often treated as if it includes biomass, even when absolute abundance is either not measured at all or is measured but excluded from the calculation (as in conventional </w:t>
      </w:r>
      <w:proofErr w:type="spellStart"/>
      <w:r>
        <w:t>UniFrac</w:t>
      </w:r>
      <w:proofErr w:type="spellEnd"/>
      <w:r>
        <w:t>). Many studies therefore test biomass-linked hypotheses using a metric that normalizes biomass away</w:t>
      </w:r>
      <w:r w:rsidR="00A20B2F">
        <w:t xml:space="preserve"> </w:t>
      </w:r>
      <w:r w:rsidR="00A20B2F">
        <w:fldChar w:fldCharType="begin"/>
      </w:r>
      <w:r w:rsidR="00A20B2F">
        <w:instrText xml:space="preserve"> ADDIN ZOTERO_ITEM CSL_CITATION {"citationID":"gdWPZVe8","properties":{"formattedCitation":"[4]","plainCitation":"[4]","noteIndex":0},"citationItems":[{"id":2062,"uris":["http://zotero.org/groups/5077571/items/WYESXR85"],"itemData":{"id":2062,"type":"article-journal","abstract":"High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A20B2F">
        <w:fldChar w:fldCharType="separate"/>
      </w:r>
      <w:r w:rsidR="00A20B2F">
        <w:rPr>
          <w:noProof/>
        </w:rPr>
        <w:t>[4]</w:t>
      </w:r>
      <w:r w:rsidR="00A20B2F">
        <w:fldChar w:fldCharType="end"/>
      </w:r>
      <w:r>
        <w:t xml:space="preserve">. A conceptual correction is needed in which </w:t>
      </w:r>
      <m:oMath>
        <m:r>
          <w:rPr>
            <w:rFonts w:ascii="Cambria Math" w:hAnsi="Cambria Math"/>
          </w:rPr>
          <m:t>β</m:t>
        </m:r>
      </m:oMath>
      <w:r w:rsidRPr="0007048F">
        <w:t>-diversity</w:t>
      </w:r>
      <w:r>
        <w:t xml:space="preserve"> is understood as variation along three axes: composition, phylogeny and absolute abundance. </w:t>
      </w:r>
    </w:p>
    <w:p w14:paraId="52C89511" w14:textId="172606BA" w:rsidR="00BE0623" w:rsidRDefault="00444E42" w:rsidP="006A381E">
      <w:pPr>
        <w:spacing w:line="240" w:lineRule="auto"/>
        <w:ind w:firstLine="720"/>
      </w:pPr>
      <w:r>
        <w:t>Absolute microbial load measurements are now increasingly obtainable through</w:t>
      </w:r>
      <w:r w:rsidR="0007048F" w:rsidRPr="0007048F">
        <w:t xml:space="preserve"> flow cytometry, qPCR, and genomic spike-ins</w:t>
      </w:r>
      <w:r w:rsidR="00BE0623">
        <w:t>, allowing biomass to be quanti</w:t>
      </w:r>
      <w:r w:rsidR="00A20B2F">
        <w:t>fi</w:t>
      </w:r>
      <w:r w:rsidR="00BE0623">
        <w:t xml:space="preserve">ed alongside taxonomic composition </w:t>
      </w:r>
      <w:r w:rsidR="00496696">
        <w:fldChar w:fldCharType="begin"/>
      </w:r>
      <w:r w:rsidR="00496696">
        <w:instrText xml:space="preserve"> ADDIN ZOTERO_ITEM CSL_CITATION {"citationID":"Ps2OTEsT","properties":{"formattedCitation":"[4, 5]","plainCitation":"[4, 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2062,"uris":["http://zotero.org/groups/5077571/items/WYESXR85"],"itemData":{"id":2062,"type":"article-journal","abstract":"High throughput sequencing has emerged as one of the most important techniques for characterizing microbial dynamics and revealing bacteria and host interactions. However, data interpretation using this technique is mainly based on relative abundance and ignores total bacteria load. In certain cases, absolute abundance is more important than compositional relative data, and interpretation of microbiota data based solely on relative abundance can be misleading. The available approaches for absolute quantification are highly diverse and challenging, especially for quantification in differing biological situations, such as distinguishing between live and dead cells, quantification of specific taxa, enumeration of low biomass samples, large sample size feasibility, and the detection of various other cellular features. In this review, we first illustrate the importance of integrating absolute abundance into microbiome data interpretation. Second, we briefly discuss the most widely used cell-based and molecular-based bacterial load quantification methods, including fluorescence spectroscopy, flow cytometry, 16S qPCR, 16S qRT-PCR, ddPCR, and reference spike-in. Last, we present a specific decision-making scheme for absolute quantification methods based on different biological questions and some of the latest quantitative methods and procedure modifications.","container-title":"Microorganisms","DOI":"10.3390/microorganisms9091797","ISSN":"2076-2607","issue":"9","language":"en","license":"http://creativecommons.org/licenses/by/3.0/","note":"number: 9\npublisher: Multidisciplinary Digital Publishing Institute","page":"1797","source":"www.mdpi.com","title":"Current Applications of Absolute Bacterial Quantification in Microbiome Studies and Decision-Making Regarding Different Biological Questions","volume":"9","author":[{"family":"Wang","given":"Xiaofan"},{"family":"Howe","given":"Samantha"},{"family":"Deng","given":"Feilong"},{"family":"Zhao","given":"Jiangchao"}],"issued":{"date-parts":[["2021",9]]},"citation-key":"wangCurrentApplicationsAbsolute2021"}}],"schema":"https://github.com/citation-style-language/schema/raw/master/csl-citation.json"} </w:instrText>
      </w:r>
      <w:r w:rsidR="00496696">
        <w:fldChar w:fldCharType="separate"/>
      </w:r>
      <w:r w:rsidR="00496696">
        <w:rPr>
          <w:noProof/>
        </w:rPr>
        <w:t>[4, 5]</w:t>
      </w:r>
      <w:r w:rsidR="00496696">
        <w:fldChar w:fldCharType="end"/>
      </w:r>
      <w:r w:rsidR="0007048F" w:rsidRPr="0007048F">
        <w:t xml:space="preserve">. These </w:t>
      </w:r>
      <w:r w:rsidR="00BE0623">
        <w:t>approaches</w:t>
      </w:r>
      <w:r w:rsidR="0007048F" w:rsidRPr="0007048F">
        <w:t xml:space="preserve"> improve detection of functionally relevant taxa and mitigate the compositional constraints imposed by sequencing </w:t>
      </w:r>
      <w:r w:rsidR="00496696">
        <w:fldChar w:fldCharType="begin"/>
      </w:r>
      <w:r w:rsidR="00496696">
        <w:instrText xml:space="preserve"> ADDIN ZOTERO_ITEM CSL_CITATION {"citationID":"LnXECe42","properties":{"formattedCitation":"[1, 2]","plainCitation":"[1, 2]","noteIndex":0},"citationItems":[{"id":2069,"uris":["http://zotero.org/groups/5077571/items/97IX3MNG"],"itemData":{"id":2069,"type":"article-journal","abstract":"Datasets collected by high-throughput sequencing (HTS) of 16S rRNA gene amplimers, metagenomes or metatranscriptomes are commonplace and being used to study human disease states, ecological differences between sites, and the built environment. There is increasing awareness that microbiome datasets generated by HTS are compositional because they have an arbitrary total imposed by the instrument. However, many investigators are either unaware of this or assume specific properties of the compositional data. The purpose of this review is to alert investigators to the dangers inherent in ignoring the compositional nature of the data, and point out that HTS datasets derived from microbiome studies can and should be treated as compositions at all stages of analysis. We briefly introduce compositional data, illustrate the pathologies that occur when compositional data are analyzed inappropriately, and finally give guidance and point to resources and examples for the analysis of microbiome datasets using compositional data analysis.","container-title":"Frontiers in Microbiology","DOI":"10.3389/fmicb.2017.02224","ISSN":"1664-302X","journalAbbreviation":"Front Microbiol","note":"PMID: 29187837\nPMCID: PMC5695134","page":"2224","source":"PubMed Central","title":"Microbiome Datasets Are Compositional: And This Is Not Optional","title-short":"Microbiome Datasets Are Compositional","volume":"8","author":[{"family":"Gloor","given":"Gregory B."},{"family":"Macklaim","given":"Jean M."},{"family":"Pawlowsky-Glahn","given":"Vera"},{"family":"Egozcue","given":"Juan J."}],"issued":{"date-parts":[["2017",11,15]]},"citation-key":"gloorMicrobiomeDatasetsAre2017"}},{"id":1089,"uris":["http://zotero.org/groups/5077571/items/DEZ9LS8N"],"itemData":{"id":1089,"type":"article-journal","abstract":"Objective The assessment of potentially confounding factors affecting colon microbiota composition is essential to the identification of robust microbiome based disease markers. Here, we investigate the link between gut microbiota variation and stool consistency using Bristol Stool Scale classification, which reflects faecal water content and activity, and is considered a proxy for intestinal colon transit time.\nDesign Through 16S rDNA Illumina profiling of faecal samples of 53 healthy women, we evaluated associations between microbiome richness, Bacteroidetes:Firmicutes ratio, enterotypes, and genus abundance with self-reported, Bristol Stool Scale-based stool consistency. Each sample’s microbiota growth potential was calculated to test whether transit time acts as a selective force on gut bacterial growth rates.\nResults Stool consistency strongly correlates with all known major microbiome markers. It is negatively correlated with species richness, positively associated to the Bacteroidetes:Firmicutes ratio, and linked to Akkermansia and Methanobrevibacter abundance. Enterotypes are distinctly distributed over the BSS-scores. Based on the correlations between microbiota growth potential and stool consistency scores within both enterotypes, we hypothesise that accelerated transit contributes to colon ecosystem differentiation. While shorter transit times can be linked to increased abundance of fast growing species in Ruminococcaceae-Bacteroides samples, hinting to a washout avoidance strategy of faster replication, this trend is absent in Prevotella-enterotyped individuals. Within this enterotype adherence to host tissue therefore appears to be a more likely bacterial strategy to cope with washout.\nConclusions The strength of the associations between stool consistency and species richness, enterotypes and community composition emphasises the crucial importance of stool consistency assessment in gut metagenome-wide association studies.","container-title":"Gut","DOI":"10.1136/gutjnl-2015-309618","ISSN":"0017-5749, 1468-3288","issue":"1","language":"en","license":"Published by the BMJ Publishing Group Limited. For permission to use (where not already granted under a licence) please go to http://www.bmj.com/company/products-services/rights-and-licensing/. 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http://creativecommons.org/licenses/by-nc/4.0/","note":"publisher: BMJ Publishing Group\nsection: Gut microbiota\nPMID: 26069274","page":"57-62","source":"gut.bmj.com","title":"Stool consistency is strongly associated with gut microbiota richness and composition, enterotypes and bacterial growth rates","volume":"65","author":[{"family":"Vandeputte","given":"Doris"},{"family":"Falony","given":"Gwen"},{"family":"Vieira-Silva","given":"Sara"},{"family":"Tito","given":"Raul Y."},{"family":"Joossens","given":"Marie"},{"family":"Raes","given":"Jeroen"}],"issued":{"date-parts":[["2016",1,1]]},"citation-key":"vandeputteStoolConsistencyStrongly2016"}}],"schema":"https://github.com/citation-style-language/schema/raw/master/csl-citation.json"} </w:instrText>
      </w:r>
      <w:r w:rsidR="00496696">
        <w:fldChar w:fldCharType="separate"/>
      </w:r>
      <w:r w:rsidR="00496696">
        <w:rPr>
          <w:noProof/>
        </w:rPr>
        <w:t>[1, 2]</w:t>
      </w:r>
      <w:r w:rsidR="00496696">
        <w:fldChar w:fldCharType="end"/>
      </w:r>
      <w:r w:rsidR="0007048F" w:rsidRPr="0007048F">
        <w:t xml:space="preserve">. Most studies </w:t>
      </w:r>
      <w:r w:rsidR="00BE0623">
        <w:t xml:space="preserve">that incorporate </w:t>
      </w:r>
      <w:r w:rsidR="0007048F" w:rsidRPr="0007048F">
        <w:t xml:space="preserve">absolute </w:t>
      </w:r>
      <w:r w:rsidR="00BE0623">
        <w:t>abundance counts currently rely on</w:t>
      </w:r>
      <w:r w:rsidR="0007048F" w:rsidRPr="0007048F">
        <w:t xml:space="preserve"> Bray-Curtis dissimilarity, which </w:t>
      </w:r>
      <w:r w:rsidR="00BE0623">
        <w:t>can capture load but does not consider phylogenetic similarit</w:t>
      </w:r>
      <w:r w:rsidR="00A20B2F">
        <w:t xml:space="preserve">y </w:t>
      </w:r>
      <w:r w:rsidR="00327654">
        <w:fldChar w:fldCharType="begin"/>
      </w:r>
      <w:r w:rsidR="00A20B2F">
        <w:instrText xml:space="preserve"> ADDIN ZOTERO_ITEM CSL_CITATION {"citationID":"IGDIhePP","properties":{"formattedCitation":"[5\\uc0\\u8211{}7]","plainCitation":"[5–7]","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id":2102,"uris":["http://zotero.org/groups/5077571/items/2RB7Y8HA"],"itemData":{"id":2102,"type":"article-journal","container-title":"Ecological Monographs","DOI":"10.2307/1942268","ISSN":"0012-9615","issue":"4","note":"publisher: Ecological Society of America","page":"326-349","source":"JSTOR","title":"An Ordination of the Upland Forest Communities of Southern Wisconsin","volume":"27","author":[{"family":"Bray","given":"J. Roger"},{"family":"Curtis","given":"J. T."}],"issued":{"date-parts":[["1957"]]},"citation-key":"brayOrdinationUplandForest1957"}}],"schema":"https://github.com/citation-style-language/schema/raw/master/csl-citation.json"} </w:instrText>
      </w:r>
      <w:r w:rsidR="00327654">
        <w:fldChar w:fldCharType="separate"/>
      </w:r>
      <w:r w:rsidR="00A20B2F" w:rsidRPr="00A20B2F">
        <w:rPr>
          <w:rFonts w:cs="Times New Roman"/>
          <w:kern w:val="0"/>
        </w:rPr>
        <w:t>[5–7]</w:t>
      </w:r>
      <w:r w:rsidR="00327654">
        <w:fldChar w:fldCharType="end"/>
      </w:r>
      <w:r w:rsidR="0007048F" w:rsidRPr="0007048F">
        <w:t xml:space="preserve">. </w:t>
      </w:r>
      <w:proofErr w:type="spellStart"/>
      <w:r w:rsidR="00BE0623">
        <w:t>Unifrac</w:t>
      </w:r>
      <w:proofErr w:type="spellEnd"/>
      <w:r w:rsidR="00BE0623">
        <w:t xml:space="preserve"> distances provide the opposite strength, incorporating phylogeny but discarding absolute abundance, as they are restricted to relative abundance data by construction</w:t>
      </w:r>
      <w:r w:rsidR="00A20B2F">
        <w:t xml:space="preserve"> </w:t>
      </w:r>
      <w:r w:rsidR="00A20B2F">
        <w:fldChar w:fldCharType="begin"/>
      </w:r>
      <w:r w:rsidR="00A20B2F">
        <w:instrText xml:space="preserve"> ADDIN ZOTERO_ITEM CSL_CITATION {"citationID":"kVO5ozRq","properties":{"formattedCitation":"[8]","plainCitation":"[8]","noteIndex":0},"citationItems":[{"id":2061,"uris":["http://zotero.org/groups/5077571/items/BA3Y8GL7"],"itemData":{"id":2061,"type":"article-journal","abstract":"The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A20B2F">
        <w:fldChar w:fldCharType="separate"/>
      </w:r>
      <w:r w:rsidR="00A20B2F">
        <w:rPr>
          <w:noProof/>
        </w:rPr>
        <w:t>[8]</w:t>
      </w:r>
      <w:r w:rsidR="00A20B2F">
        <w:fldChar w:fldCharType="end"/>
      </w:r>
      <w:r w:rsidR="00BE0623">
        <w:t xml:space="preserve">. This leaves </w:t>
      </w:r>
      <w:proofErr w:type="gramStart"/>
      <w:r w:rsidR="00BE0623">
        <w:t>no</w:t>
      </w:r>
      <w:proofErr w:type="gramEnd"/>
      <w:r w:rsidR="00BE0623">
        <w:t xml:space="preserve"> phylogenetically informed </w:t>
      </w:r>
      <w:r w:rsidR="00BE0623" w:rsidRPr="006A381E">
        <w:rPr>
          <w:i/>
          <w:iCs/>
        </w:rPr>
        <w:t>β</w:t>
      </w:r>
      <w:r w:rsidR="00BE0623">
        <w:t xml:space="preserve">-diversity metric that operates on absolute counts, </w:t>
      </w:r>
      <w:proofErr w:type="gramStart"/>
      <w:r w:rsidR="00BE0623">
        <w:t>despite the fact that</w:t>
      </w:r>
      <w:proofErr w:type="gramEnd"/>
      <w:r w:rsidR="00BE0623">
        <w:t xml:space="preserve"> biomass is central to many ecological hypotheses.</w:t>
      </w:r>
    </w:p>
    <w:p w14:paraId="3752C22E" w14:textId="11569508" w:rsidR="00BE0623" w:rsidRDefault="00BE0623" w:rsidP="006A381E">
      <w:pPr>
        <w:spacing w:line="240" w:lineRule="auto"/>
        <w:ind w:firstLine="720"/>
      </w:pPr>
      <w:r>
        <w:t xml:space="preserve">To evaluate the implications of incorporating absolute abundance into phylogenetic </w:t>
      </w:r>
      <m:oMath>
        <m:r>
          <w:rPr>
            <w:rFonts w:ascii="Cambria Math" w:hAnsi="Cambria Math"/>
          </w:rPr>
          <m:t>β</m:t>
        </m:r>
      </m:oMath>
      <w:r w:rsidRPr="0007048F">
        <w:t>-</w:t>
      </w:r>
      <w:r>
        <w:t xml:space="preserve">diversity, we use both simulations and reanalysis of four 16S rRNA amplicon datasets. The simulations use a simple four-taxon community with controlled abundance shifts to directly compare both Bray-Curtis and </w:t>
      </w:r>
      <w:proofErr w:type="spellStart"/>
      <w:r>
        <w:t>UniFrac</w:t>
      </w:r>
      <w:proofErr w:type="spellEnd"/>
      <w:r>
        <w:t xml:space="preserve"> in their relative and absolute forms, illustrating how each metric responds when abundance, composition, or evolutionary relatedness differ. We then reanalyze four real-world datasets spanning nuclear reactor cooling water </w:t>
      </w:r>
      <w:r>
        <w:fldChar w:fldCharType="begin"/>
      </w:r>
      <w:r w:rsidR="00A20B2F">
        <w:instrText xml:space="preserve"> ADDIN ZOTERO_ITEM CSL_CITATION {"citationID":"YXhePQcW","properties":{"formattedCitation":"[5]","plainCitation":"[5]","noteIndex":0},"citationItems":[{"id":1451,"uris":["http://zotero.org/groups/5077571/items/JAZBIWBQ"],"itemData":{"id":1451,"type":"article-journal","abstract":"High-throughput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fldChar w:fldCharType="separate"/>
      </w:r>
      <w:r w:rsidR="00A20B2F">
        <w:rPr>
          <w:noProof/>
        </w:rPr>
        <w:t>[5]</w:t>
      </w:r>
      <w:r>
        <w:fldChar w:fldCharType="end"/>
      </w:r>
      <w:r>
        <w:t xml:space="preserve">, the mouse gut </w:t>
      </w:r>
      <w:r>
        <w:fldChar w:fldCharType="begin"/>
      </w:r>
      <w:r>
        <w:instrText xml:space="preserve"> ADDIN ZOTERO_ITEM CSL_CITATION {"citationID":"n4RMJQYI","properties":{"formattedCitation":"[3]","plainCitation":"[3]","noteIndex":0},"citationItems":[{"id":2078,"uris":["http://zotero.org/groups/5077571/items/9FC6PKRB"],"itemData":{"id":2078,"type":"article-journal","abstract":"A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fldChar w:fldCharType="separate"/>
      </w:r>
      <w:r>
        <w:rPr>
          <w:noProof/>
        </w:rPr>
        <w:t>[3]</w:t>
      </w:r>
      <w:r>
        <w:fldChar w:fldCharType="end"/>
      </w:r>
      <w:r>
        <w:t xml:space="preserve">, a freshwater lake </w:t>
      </w:r>
      <w:r>
        <w:fldChar w:fldCharType="begin"/>
      </w:r>
      <w:r w:rsidR="00A20B2F">
        <w:instrText xml:space="preserve"> ADDIN ZOTERO_ITEM CSL_CITATION {"citationID":"Ar3tFVi0","properties":{"formattedCitation":"[9]","plainCitation":"[9]","noteIndex":0},"citationItems":[{"id":2063,"uris":["http://zotero.org/groups/5077571/items/XECMGR9Y"],"itemData":{"id":2063,"type":"article","abstract":"The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fldChar w:fldCharType="separate"/>
      </w:r>
      <w:r w:rsidR="00A20B2F">
        <w:rPr>
          <w:noProof/>
        </w:rPr>
        <w:t>[9]</w:t>
      </w:r>
      <w:r>
        <w:fldChar w:fldCharType="end"/>
      </w:r>
      <w:r>
        <w:t xml:space="preserve">, and rhizosphere soil </w:t>
      </w:r>
      <w:r>
        <w:fldChar w:fldCharType="begin"/>
      </w:r>
      <w:r w:rsidR="00A20B2F">
        <w:instrText xml:space="preserve"> ADDIN ZOTERO_ITEM CSL_CITATION {"citationID":"q9iaTt58","properties":{"formattedCitation":"[10]","plainCitation":"[10]","noteIndex":0},"citationItems":[{"id":2082,"uris":["http://zotero.org/groups/5077571/items/7DSKNWDW"],"itemData":{"id":2082,"type":"article-journal","abstract":"High-throughput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fldChar w:fldCharType="separate"/>
      </w:r>
      <w:r w:rsidR="00A20B2F">
        <w:rPr>
          <w:noProof/>
        </w:rPr>
        <w:t>[10]</w:t>
      </w:r>
      <w:r>
        <w:fldChar w:fldCharType="end"/>
      </w:r>
      <w:r>
        <w:t xml:space="preserve">. These differ widely in richness, biomass range, and ecological context, allowing us to test when absolute abundance changes align with or diverge from phylogenetic turnover. Together, these simulations and </w:t>
      </w:r>
      <w:proofErr w:type="spellStart"/>
      <w:r>
        <w:t>reanalyses</w:t>
      </w:r>
      <w:proofErr w:type="spellEnd"/>
      <w:r>
        <w:t xml:space="preserve"> provide the empirical foundation for interpreting Absolute </w:t>
      </w:r>
      <w:proofErr w:type="spellStart"/>
      <w:r>
        <w:t>UniFrac</w:t>
      </w:r>
      <w:proofErr w:type="spellEnd"/>
      <w:r>
        <w:t xml:space="preserve"> relative to existing </w:t>
      </w:r>
      <m:oMath>
        <m:r>
          <w:rPr>
            <w:rFonts w:ascii="Cambria Math" w:hAnsi="Cambria Math"/>
          </w:rPr>
          <m:t>β</m:t>
        </m:r>
      </m:oMath>
      <w:r w:rsidRPr="0007048F">
        <w:t>-</w:t>
      </w:r>
      <w:r>
        <w:t>diversity measures across the three axes of ecological difference: abundance, composition, and phylogeny.</w:t>
      </w:r>
      <w:r w:rsidRPr="0007048F">
        <w:t xml:space="preserve"> </w:t>
      </w:r>
    </w:p>
    <w:p w14:paraId="1DB89F03" w14:textId="5041D0B5" w:rsidR="00BE0623" w:rsidRDefault="00BE0623" w:rsidP="006A381E">
      <w:pPr>
        <w:spacing w:line="240" w:lineRule="auto"/>
        <w:ind w:firstLine="720"/>
      </w:pPr>
      <w:r>
        <w:t xml:space="preserve">We also extend </w:t>
      </w:r>
      <w:r w:rsidRPr="001061A5">
        <w:t xml:space="preserve">Absolute </w:t>
      </w:r>
      <w:proofErr w:type="spellStart"/>
      <w:r w:rsidRPr="001061A5">
        <w:t>UniFrac</w:t>
      </w:r>
      <w:proofErr w:type="spellEnd"/>
      <w:r>
        <w:t xml:space="preserve"> as was proposed by </w:t>
      </w:r>
      <w:r w:rsidR="00C45617">
        <w:fldChar w:fldCharType="begin"/>
      </w:r>
      <w:r w:rsidR="00A20B2F">
        <w:instrText xml:space="preserve"> ADDIN ZOTERO_ITEM CSL_CITATION {"citationID":"V2qHmKL1","properties":{"formattedCitation":"[11]","plainCitation":"[11]","noteIndex":0},"citationItems":[{"id":2017,"uris":["http://zotero.org/groups/5077571/items/W4RRRQEL"],"itemData":{"id":2017,"type":"article-journal","abstract":"Motivation: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C45617">
        <w:fldChar w:fldCharType="separate"/>
      </w:r>
      <w:r w:rsidR="00A20B2F">
        <w:rPr>
          <w:noProof/>
        </w:rPr>
        <w:t>[11]</w:t>
      </w:r>
      <w:r w:rsidR="00C45617">
        <w:fldChar w:fldCharType="end"/>
      </w:r>
      <w:r>
        <w:t xml:space="preserve"> </w:t>
      </w:r>
      <w:r w:rsidR="00C45617">
        <w:t xml:space="preserve">to </w:t>
      </w:r>
      <w:r>
        <w:t xml:space="preserve">Generalized </w:t>
      </w:r>
      <w:r w:rsidR="00C45617">
        <w:t>Absolute</w:t>
      </w:r>
      <w:r w:rsidRPr="0007048F">
        <w:t xml:space="preserve"> </w:t>
      </w:r>
      <w:proofErr w:type="spellStart"/>
      <w:r w:rsidRPr="0007048F">
        <w:t>UniFrac</w:t>
      </w:r>
      <w:proofErr w:type="spellEnd"/>
      <w:r w:rsidRPr="0007048F">
        <w:t xml:space="preserve"> that incorporates </w:t>
      </w:r>
      <w:r>
        <w:t xml:space="preserve">a tunable ecological dimension, </w:t>
      </w:r>
      <m:oMath>
        <m:r>
          <w:rPr>
            <w:rFonts w:ascii="Cambria Math" w:hAnsi="Cambria Math"/>
          </w:rPr>
          <m:t xml:space="preserve">α, </m:t>
        </m:r>
      </m:oMath>
      <w:r w:rsidRPr="0007048F">
        <w:t>and evaluate its impact across simulated and real-world datasets.</w:t>
      </w:r>
      <w:r>
        <w:t xml:space="preserve"> </w:t>
      </w:r>
      <w:r>
        <w:rPr>
          <w:rFonts w:eastAsiaTheme="minorEastAsia"/>
        </w:rPr>
        <w:t xml:space="preserve">As </w:t>
      </w:r>
      <m:oMath>
        <m:r>
          <w:rPr>
            <w:rFonts w:ascii="Cambria Math" w:hAnsi="Cambria Math"/>
          </w:rPr>
          <m:t>α</m:t>
        </m:r>
      </m:oMath>
      <w:r>
        <w:rPr>
          <w:rFonts w:eastAsiaTheme="minorEastAsia"/>
        </w:rPr>
        <w:t xml:space="preserve"> increases, </w:t>
      </w:r>
      <m:oMath>
        <m:r>
          <w:rPr>
            <w:rFonts w:ascii="Cambria Math" w:hAnsi="Cambria Math"/>
          </w:rPr>
          <m:t>β</m:t>
        </m:r>
      </m:oMath>
      <w:r w:rsidR="00C45617" w:rsidRPr="0007048F">
        <w:t>-</w:t>
      </w:r>
      <w:r w:rsidR="00C45617">
        <w:t>diversity is increasingly correlated with differ</w:t>
      </w:r>
      <w:r w:rsidR="00A20B2F">
        <w:t>e</w:t>
      </w:r>
      <w:r w:rsidR="00C45617">
        <w:t>nces in absolute abundance, allowing researcher</w:t>
      </w:r>
      <w:r w:rsidR="00A20B2F">
        <w:t>s</w:t>
      </w:r>
      <w:r w:rsidR="00C45617">
        <w:t xml:space="preserve"> to fine tune the relative weight their analyses place on microbial load versus composition.</w:t>
      </w:r>
      <w:r>
        <w:t xml:space="preserve"> </w:t>
      </w:r>
    </w:p>
    <w:p w14:paraId="4EB8F135" w14:textId="77777777" w:rsidR="00BE0623" w:rsidRPr="006A381E" w:rsidRDefault="00BE0623" w:rsidP="006A381E">
      <w:pPr>
        <w:spacing w:line="240" w:lineRule="auto"/>
        <w:rPr>
          <w:b/>
          <w:bCs/>
        </w:rPr>
      </w:pPr>
      <w:r w:rsidRPr="006A381E">
        <w:rPr>
          <w:b/>
          <w:bCs/>
        </w:rPr>
        <w:lastRenderedPageBreak/>
        <w:t xml:space="preserve">Defining Absolute </w:t>
      </w:r>
      <w:proofErr w:type="spellStart"/>
      <w:r w:rsidRPr="006A381E">
        <w:rPr>
          <w:b/>
          <w:bCs/>
        </w:rPr>
        <w:t>UniFrac</w:t>
      </w:r>
      <w:proofErr w:type="spellEnd"/>
    </w:p>
    <w:p w14:paraId="022F15C7" w14:textId="385C95BB" w:rsidR="0007048F" w:rsidRPr="0007048F" w:rsidRDefault="0007048F" w:rsidP="006A381E">
      <w:pPr>
        <w:spacing w:line="240" w:lineRule="auto"/>
        <w:ind w:firstLine="720"/>
      </w:pPr>
      <w:r w:rsidRPr="0007048F">
        <w:t xml:space="preserve">The </w:t>
      </w:r>
      <w:proofErr w:type="spellStart"/>
      <w:r w:rsidRPr="0007048F">
        <w:t>UniFrac</w:t>
      </w:r>
      <w:proofErr w:type="spellEnd"/>
      <w:r w:rsidRPr="0007048F">
        <w:t xml:space="preserve"> distance was first introduced by </w:t>
      </w:r>
      <w:proofErr w:type="spellStart"/>
      <w:r w:rsidRPr="0007048F">
        <w:t>Lozupone</w:t>
      </w:r>
      <w:proofErr w:type="spellEnd"/>
      <w:r w:rsidRPr="0007048F">
        <w:t xml:space="preserve"> &amp; Knight (2005) and has since become enormously popular as a measure of </w:t>
      </w:r>
      <m:oMath>
        <m:r>
          <w:rPr>
            <w:rFonts w:ascii="Cambria Math" w:hAnsi="Cambria Math"/>
          </w:rPr>
          <m:t>β</m:t>
        </m:r>
      </m:oMath>
      <w:r w:rsidRPr="0007048F">
        <w:t>-diversity within the field of microbial ecology</w:t>
      </w:r>
      <w:r w:rsidR="00327654">
        <w:t xml:space="preserve"> </w:t>
      </w:r>
      <w:r w:rsidR="00327654">
        <w:fldChar w:fldCharType="begin"/>
      </w:r>
      <w:r w:rsidR="00A20B2F">
        <w:instrText xml:space="preserve"> ADDIN ZOTERO_ITEM CSL_CITATION {"citationID":"nc4wb8dQ","properties":{"formattedCitation":"[12]","plainCitation":"[12]","noteIndex":0},"citationItems":[{"id":2053,"uris":["http://zotero.org/groups/5077571/items/VYUIMKS7"],"itemData":{"id":2053,"type":"article-journal","abstract":"We introduce here a new method for computing differences between microbial communities based on phylogenetic information. This method, UniFrac, measures the phylogenetic distance between sets of taxa in a phylogenetic tree as the fraction of the branch length of the tree that leads to descendants from either one environment or the other, but not both. UniFrac can be used to determine whether communities are significantly different, to compare many communities simultaneously using clustering and ordination techniques, and to measure the relative contributions of different factors, such as chemistry and geography, to similarities between samples. We demonstrate the utility of UniFrac by applying it to published 16S rRNA gene libraries from cultured isolates and environmental clones of bacteria in marine sediment, water, and ice. Our results reveal that (i) cultured isolates from ice, water, and sediment resemble each other and environmental clone sequences from sea ice, but not environmental clone sequences from sediment and water; (ii) the geographical location does not correlate strongly with bacterial community differences in ice and sediment from the Arctic and Antarctic; and (iii) bacterial communities differ between terrestrially impacted seawater (whether polar or temperate) and warm oligotrophic seawater, whereas those in individual seawater samples are not more similar to each other than to those in sediment or ice samples. These results illustrate that UniFrac provides a new way of characterizing microbial communities, using the wealth of environmental rRNA sequences, and allows quantitative insight into the factors that underlie the distribution of lineages among environments.","container-title":"Applied and Environmental Microbiology","DOI":"10.1128/AEM.71.12.8228-8235.2005","issue":"12","note":"publisher: American Society for Microbiology","page":"8228-8235","source":"journals.asm.org (Atypon)","title":"UniFrac: a New Phylogenetic Method for Comparing Microbial Communities","title-short":"UniFrac","volume":"71","author":[{"family":"Lozupone","given":"Catherine"},{"family":"Knight","given":"Rob"}],"issued":{"date-parts":[["2005",12]]},"citation-key":"lozuponeUniFracNewPhylogenetic2005"}}],"schema":"https://github.com/citation-style-language/schema/raw/master/csl-citation.json"} </w:instrText>
      </w:r>
      <w:r w:rsidR="00327654">
        <w:fldChar w:fldCharType="separate"/>
      </w:r>
      <w:r w:rsidR="00A20B2F">
        <w:rPr>
          <w:noProof/>
        </w:rPr>
        <w:t>[12]</w:t>
      </w:r>
      <w:r w:rsidR="00327654">
        <w:fldChar w:fldCharType="end"/>
      </w:r>
      <w:r w:rsidRPr="0007048F">
        <w:t xml:space="preserve">. A benefit of the </w:t>
      </w:r>
      <w:proofErr w:type="spellStart"/>
      <w:r w:rsidRPr="0007048F">
        <w:t>UniFrac</w:t>
      </w:r>
      <w:proofErr w:type="spellEnd"/>
      <w:r w:rsidRPr="0007048F">
        <w:t xml:space="preserve"> distance is that i</w:t>
      </w:r>
      <w:r w:rsidR="00A20B2F">
        <w:t>t</w:t>
      </w:r>
      <w:r w:rsidRPr="0007048F">
        <w:t xml:space="preserve"> considers phylogenetic information when estimating the distance between two communities. After first generating a phylogenetic tree representing species (or amplicon sequence variants, “ASVs”) from all samples, the </w:t>
      </w:r>
      <w:proofErr w:type="spellStart"/>
      <w:r w:rsidRPr="0007048F">
        <w:t>UniFrac</w:t>
      </w:r>
      <w:proofErr w:type="spellEnd"/>
      <w:r w:rsidRPr="0007048F">
        <w:t xml:space="preserve"> distance computes the fraction of branch-lengths which is </w:t>
      </w:r>
      <w:r w:rsidRPr="0007048F">
        <w:rPr>
          <w:i/>
          <w:iCs/>
        </w:rPr>
        <w:t>shared</w:t>
      </w:r>
      <w:r w:rsidRPr="0007048F">
        <w:t xml:space="preserve"> between communities, relative to the total branch length represented in the tree. </w:t>
      </w:r>
      <w:proofErr w:type="spellStart"/>
      <w:r w:rsidRPr="0007048F">
        <w:t>UniFrac</w:t>
      </w:r>
      <w:proofErr w:type="spellEnd"/>
      <w:r w:rsidRPr="0007048F">
        <w:t xml:space="preserve"> can be both unweighted, in which only the incidence of species is considered, or weighted, wherein a branch’s contribution is weighted by the proportional abundance of taxa on that branch</w:t>
      </w:r>
      <w:r w:rsidR="00327654">
        <w:t xml:space="preserve"> </w:t>
      </w:r>
      <w:r w:rsidR="00327654">
        <w:fldChar w:fldCharType="begin"/>
      </w:r>
      <w:r w:rsidR="00A20B2F">
        <w:instrText xml:space="preserve"> ADDIN ZOTERO_ITEM CSL_CITATION {"citationID":"ck1HUnt4","properties":{"formattedCitation":"[8]","plainCitation":"[8]","noteIndex":0},"citationItems":[{"id":2061,"uris":["http://zotero.org/groups/5077571/items/BA3Y8GL7"],"itemData":{"id":2061,"type":"article-journal","abstract":"The assessment of microbial diversity and distribution is a major concern in environmental microbiology. There are two general approaches for measuring community diversity: quantitative measures, which use the abundance of each taxon, and qualitative measures, which use only the presence/absence of data. Quantitative measures are ideally suited to revealing community differences that are due to changes in relative taxon abundance (e.g., when a particular set of taxa flourish because a limiting nutrient source becomes abundant). Qualitative measures are most informative when communities differ primarily by what can live in them (e.g., at high temperatures), in part because abundance information can obscure significant patterns of variation in which taxa are present. We illustrate these principles using two 16S rRNA-based surveys of microbial populations and two phylogenetic measures of community β diversity: unweighted UniFrac, a qualitative measure, and weighted UniFrac, a new quantitative measure, which we have added to the UniFrac website (http://bmf.colorado.edu/unifrac ). These studies considered the relative influences of mineral chemistry, temperature, and geography on microbial community composition in acidic thermal springs in Yellowstone National Park and the influences of obesity and kinship on microbial community composition in the mouse gut. We show that applying qualitative and quantitative measures to the same data set can lead to dramatically different conclusions about the main factors that structure microbial diversity and can provide insight into the nature of community differences. We also demonstrate that both weighted and unweighted UniFrac measurements are robust to the methods used to build the underlying phylogeny.","container-title":"Applied and Environmental Microbiology","DOI":"10.1128/AEM.01996-06","issue":"5","note":"publisher: American Society for Microbiology","page":"1576-1585","source":"journals.asm.org (Atypon)","title":"Quantitative and Qualitative β Diversity Measures Lead to Different Insights into Factors That Structure Microbial Communities","volume":"73","author":[{"family":"Lozupone","given":"Catherine A."},{"family":"Hamady","given":"Micah"},{"family":"Kelley","given":"Scott T."},{"family":"Knight","given":"Rob"}],"issued":{"date-parts":[["2007",3]]},"citation-key":"lozuponeQuantitativeQualitativeDiversity2007"}}],"schema":"https://github.com/citation-style-language/schema/raw/master/csl-citation.json"} </w:instrText>
      </w:r>
      <w:r w:rsidR="00327654">
        <w:fldChar w:fldCharType="separate"/>
      </w:r>
      <w:r w:rsidR="00A20B2F">
        <w:rPr>
          <w:noProof/>
        </w:rPr>
        <w:t>[8]</w:t>
      </w:r>
      <w:r w:rsidR="00327654">
        <w:fldChar w:fldCharType="end"/>
      </w:r>
      <w:r w:rsidRPr="0007048F">
        <w:t xml:space="preserve">. The </w:t>
      </w:r>
      <w:r w:rsidR="00327654">
        <w:t>W</w:t>
      </w:r>
      <w:r w:rsidRPr="0007048F">
        <w:t xml:space="preserve">eighted </w:t>
      </w:r>
      <w:proofErr w:type="spellStart"/>
      <w:r w:rsidRPr="0007048F">
        <w:t>UniFrac</w:t>
      </w:r>
      <w:proofErr w:type="spellEnd"/>
      <w:r w:rsidRPr="0007048F">
        <w:t xml:space="preserve"> is derived:</w:t>
      </w:r>
    </w:p>
    <w:p w14:paraId="636324F8" w14:textId="77777777" w:rsidR="0007048F" w:rsidRPr="0007048F" w:rsidRDefault="00000000" w:rsidP="006A381E">
      <w:pPr>
        <w:spacing w:line="240" w:lineRule="auto"/>
      </w:pPr>
      <m:oMathPara>
        <m:oMathParaPr>
          <m:jc m:val="center"/>
        </m:oMathParaPr>
        <m:oMath>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den>
          </m:f>
        </m:oMath>
      </m:oMathPara>
    </w:p>
    <w:p w14:paraId="6D8E2858" w14:textId="4D6B3926" w:rsidR="0007048F" w:rsidRPr="0007048F" w:rsidRDefault="0007048F" w:rsidP="006A381E">
      <w:pPr>
        <w:spacing w:line="240" w:lineRule="auto"/>
      </w:pPr>
      <w:r w:rsidRPr="0007048F">
        <w:t xml:space="preserve">where </w:t>
      </w:r>
      <w:r w:rsidR="00A20B2F">
        <w:t>the contribution</w:t>
      </w:r>
      <w:r w:rsidRPr="0007048F">
        <w:t xml:space="preserve"> of each branch</w:t>
      </w:r>
      <w:r w:rsidR="005C02A0">
        <w:t xml:space="preserve"> length</w:t>
      </w:r>
      <w:r w:rsidRPr="0007048F">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w:t>
      </w:r>
      <w:r w:rsidR="005C02A0">
        <w:t xml:space="preserve"> is weighted</w:t>
      </w:r>
      <w:r w:rsidRPr="0007048F">
        <w:t xml:space="preserve"> by the difference in the relative abundance of all species (</w:t>
      </w:r>
      <m:oMath>
        <m:sSub>
          <m:sSubPr>
            <m:ctrlPr>
              <w:rPr>
                <w:rFonts w:ascii="Cambria Math" w:hAnsi="Cambria Math"/>
              </w:rPr>
            </m:ctrlPr>
          </m:sSubPr>
          <m:e>
            <m:r>
              <w:rPr>
                <w:rFonts w:ascii="Cambria Math" w:hAnsi="Cambria Math"/>
              </w:rPr>
              <m:t>p</m:t>
            </m:r>
          </m:e>
          <m:sub>
            <m:r>
              <w:rPr>
                <w:rFonts w:ascii="Cambria Math" w:hAnsi="Cambria Math"/>
              </w:rPr>
              <m:t>i</m:t>
            </m:r>
          </m:sub>
        </m:sSub>
      </m:oMath>
      <w:r w:rsidRPr="0007048F">
        <w:t xml:space="preserve">) descended from that branch in sample </w:t>
      </w:r>
      <m:oMath>
        <m:r>
          <w:rPr>
            <w:rFonts w:ascii="Cambria Math" w:hAnsi="Cambria Math"/>
          </w:rPr>
          <m:t>a</m:t>
        </m:r>
      </m:oMath>
      <w:r w:rsidRPr="0007048F">
        <w:t xml:space="preserve"> or sample </w:t>
      </w:r>
      <m:oMath>
        <m:r>
          <w:rPr>
            <w:rFonts w:ascii="Cambria Math" w:hAnsi="Cambria Math"/>
          </w:rPr>
          <m:t>b</m:t>
        </m:r>
      </m:oMath>
      <w:r w:rsidRPr="0007048F">
        <w:t xml:space="preserve">. Here, we denote this distance as </w:t>
      </w:r>
      <w:r w:rsidRPr="0007048F">
        <w:rPr>
          <w:i/>
          <w:iCs/>
        </w:rPr>
        <w:t>U</w:t>
      </w:r>
      <w:r w:rsidRPr="0007048F">
        <w:rPr>
          <w:i/>
          <w:iCs/>
          <w:vertAlign w:val="superscript"/>
        </w:rPr>
        <w:t>R</w:t>
      </w:r>
      <w:r w:rsidRPr="0007048F">
        <w:t xml:space="preserve">, for “Relative </w:t>
      </w:r>
      <w:proofErr w:type="spellStart"/>
      <w:r w:rsidRPr="0007048F">
        <w:t>Uni</w:t>
      </w:r>
      <w:r w:rsidR="00B431C1">
        <w:t>F</w:t>
      </w:r>
      <w:r w:rsidRPr="0007048F">
        <w:t>rac</w:t>
      </w:r>
      <w:proofErr w:type="spellEnd"/>
      <w:r w:rsidRPr="0007048F">
        <w:t xml:space="preserve">”. Popular packages which calculate weighted </w:t>
      </w:r>
      <w:proofErr w:type="spellStart"/>
      <w:r w:rsidRPr="0007048F">
        <w:t>Unifrac</w:t>
      </w:r>
      <w:proofErr w:type="spellEnd"/>
      <w:r w:rsidR="00327654">
        <w:t>—</w:t>
      </w:r>
      <w:r w:rsidRPr="0007048F">
        <w:t xml:space="preserve">including </w:t>
      </w:r>
      <w:r w:rsidR="00327654">
        <w:t xml:space="preserve">the </w:t>
      </w:r>
      <w:r w:rsidRPr="0007048F">
        <w:rPr>
          <w:rStyle w:val="VerbatimChar"/>
          <w:rFonts w:ascii="Times New Roman" w:hAnsi="Times New Roman" w:cs="Times New Roman"/>
          <w:sz w:val="24"/>
        </w:rPr>
        <w:t>diversity-lib</w:t>
      </w:r>
      <w:r w:rsidRPr="0007048F">
        <w:t xml:space="preserve"> QIIME plug-in and the R packages </w:t>
      </w:r>
      <w:proofErr w:type="spellStart"/>
      <w:r w:rsidRPr="0007048F">
        <w:rPr>
          <w:rStyle w:val="VerbatimChar"/>
          <w:rFonts w:ascii="Times New Roman" w:hAnsi="Times New Roman" w:cs="Times New Roman"/>
          <w:sz w:val="24"/>
        </w:rPr>
        <w:t>phyloseq</w:t>
      </w:r>
      <w:proofErr w:type="spellEnd"/>
      <w:r w:rsidRPr="0007048F">
        <w:t xml:space="preserve"> and </w:t>
      </w:r>
      <w:proofErr w:type="spellStart"/>
      <w:r w:rsidRPr="0007048F">
        <w:rPr>
          <w:rStyle w:val="VerbatimChar"/>
          <w:rFonts w:ascii="Times New Roman" w:hAnsi="Times New Roman" w:cs="Times New Roman"/>
          <w:sz w:val="24"/>
        </w:rPr>
        <w:t>GUniFrac</w:t>
      </w:r>
      <w:proofErr w:type="spellEnd"/>
      <w:r w:rsidR="00327654">
        <w:t>—</w:t>
      </w:r>
      <w:r w:rsidRPr="0007048F">
        <w:t>run this normalization by default</w:t>
      </w:r>
      <w:r w:rsidR="00C45617">
        <w:t xml:space="preserve"> </w:t>
      </w:r>
      <w:r w:rsidR="00C45617">
        <w:fldChar w:fldCharType="begin"/>
      </w:r>
      <w:r w:rsidR="00A20B2F">
        <w:instrText xml:space="preserve"> ADDIN ZOTERO_ITEM CSL_CITATION {"citationID":"CZx9BWCH","properties":{"formattedCitation":"[11, 13, 14]","plainCitation":"[11, 13, 14]","noteIndex":0},"citationItems":[{"id":2017,"uris":["http://zotero.org/groups/5077571/items/W4RRRQEL"],"itemData":{"id":2017,"type":"article-journal","abstract":"Motivation: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id":1053,"uris":["http://zotero.org/groups/5077571/items/CJUJ3ICL"],"itemData":{"id":1053,"type":"article-journal","container-title":"PLoS ONE","issue":"4","page":"e61217","title":"phyloseq: An R package for reproducible interactive analysis and graphics of microbiome census data","volume":"8","author":[{"family":"McMurdie","given":"Paul J."},{"family":"Holmes","given":"Susan"}],"issued":{"date-parts":[["2013"]]},"citation-key":"mcmurdiePhyloseqPackageReproducible2013"}},{"id":2101,"uris":["http://zotero.org/groups/5077571/items/IVMF5P83"],"itemData":{"id":2101,"type":"article-journal","container-title":"Nature Biotechnology","DOI":"10.1038/s41587-019-0209-9","ISSN":"1546-1696","issue":"8","journalAbbreviation":"Nat Biotechnol","language":"en","license":"2019 The Author(s), under exclusive licence to Springer Nature America, Inc.","note":"publisher: Nature Publishing Group","page":"852-857","source":"www.nature.com","title":"Reproducible, interactive, scalable and extensible microbiome data science using QIIME 2","volume":"37","author":[{"family":"Bolyen","given":"Evan"},{"family":"Rideout","given":"Jai Ram"},{"family":"Dillon","given":"Matthew R."},{"family":"Bokulich","given":"Nicholas A."},{"family":"Abnet","given":"Christian C."},{"family":"Al-Ghalith","given":"Gabriel A."},{"family":"Alexander","given":"Harriet"},{"family":"Alm","given":"Eric J."},{"family":"Arumugam","given":"Manimozhiyan"},{"family":"Asnicar","given":"Francesco"},{"family":"Bai","given":"Yang"},{"family":"Bisanz","given":"Jordan E."},{"family":"Bittinger","given":"Kyle"},{"family":"Brejnrod","given":"Asker"},{"family":"Brislawn","given":"Colin J."},{"family":"Brown","given":"C. Titus"},{"family":"Callahan","given":"Benjamin J."},{"family":"Caraballo-Rodríguez","given":"Andrés Mauricio"},{"family":"Chase","given":"John"},{"family":"Cope","given":"Emily K."},{"family":"Da Silva","given":"Ricardo"},{"family":"Diener","given":"Christian"},{"family":"Dorrestein","given":"Pieter C."},{"family":"Douglas","given":"Gavin M."},{"family":"Durall","given":"Daniel M."},{"family":"Duvallet","given":"Claire"},{"family":"Edwardson","given":"Christian F."},{"family":"Ernst","given":"Madeleine"},{"family":"Estaki","given":"Mehrbod"},{"family":"Fouquier","given":"Jennifer"},{"family":"Gauglitz","given":"Julia M."},{"family":"Gibbons","given":"Sean M."},{"family":"Gibson","given":"Deanna L."},{"family":"Gonzalez","given":"Antonio"},{"family":"Gorlick","given":"Kestrel"},{"family":"Guo","given":"Jiarong"},{"family":"Hillmann","given":"Benjamin"},{"family":"Holmes","given":"Susan"},{"family":"Holste","given":"Hannes"},{"family":"Huttenhower","given":"Curtis"},{"family":"Huttley","given":"Gavin A."},{"family":"Janssen","given":"Stefan"},{"family":"Jarmusch","given":"Alan K."},{"family":"Jiang","given":"Lingjing"},{"family":"Kaehler","given":"Benjamin D."},{"family":"Kang","given":"Kyo Bin"},{"family":"Keefe","given":"Christopher R."},{"family":"Keim","given":"Paul"},{"family":"Kelley","given":"Scott T."},{"family":"Knights","given":"Dan"},{"family":"Koester","given":"Irina"},{"family":"Kosciolek","given":"Tomasz"},{"family":"Kreps","given":"Jorden"},{"family":"Langille","given":"Morgan G. I."},{"family":"Lee","given":"Joslynn"},{"family":"Ley","given":"Ruth"},{"family":"Liu","given":"Yong-Xin"},{"family":"Loftfield","given":"Erikka"},{"family":"Lozupone","given":"Catherine"},{"family":"Maher","given":"Massoud"},{"family":"Marotz","given":"Clarisse"},{"family":"Martin","given":"Bryan D."},{"family":"McDonald","given":"Daniel"},{"family":"McIver","given":"Lauren J."},{"family":"Melnik","given":"Alexey V."},{"family":"Metcalf","given":"Jessica L."},{"family":"Morgan","given":"Sydney C."},{"family":"Morton","given":"Jamie T."},{"family":"Naimey","given":"Ahmad Turan"},{"family":"Navas-Molina","given":"Jose A."},{"family":"Nothias","given":"Louis Felix"},{"family":"Orchanian","given":"Stephanie B."},{"family":"Pearson","given":"Talima"},{"family":"Peoples","given":"Samuel L."},{"family":"Petras","given":"Daniel"},{"family":"Preuss","given":"Mary Lai"},{"family":"Pruesse","given":"Elmar"},{"family":"Rasmussen","given":"Lasse Buur"},{"family":"Rivers","given":"Adam"},{"family":"Robeson","given":"Michael S."},{"family":"Rosenthal","given":"Patrick"},{"family":"Segata","given":"Nicola"},{"family":"Shaffer","given":"Michael"},{"family":"Shiffer","given":"Arron"},{"family":"Sinha","given":"Rashmi"},{"family":"Song","given":"Se Jin"},{"family":"Spear","given":"John R."},{"family":"Swafford","given":"Austin D."},{"family":"Thompson","given":"Luke R."},{"family":"Torres","given":"Pedro J."},{"family":"Trinh","given":"Pauline"},{"family":"Tripathi","given":"Anupriya"},{"family":"Turnbaugh","given":"Peter J."},{"family":"Ul-Hasan","given":"Sabah"},{"family":"Hooft","given":"Justin J. J.","non-dropping-particle":"van der"},{"family":"Vargas","given":"Fernando"},{"family":"Vázquez-Baeza","given":"Yoshiki"},{"family":"Vogtmann","given":"Emily"},{"family":"Hippel","given":"Max","non-dropping-particle":"von"},{"family":"Walters","given":"William"},{"family":"Wan","given":"Yunhu"},{"family":"Wang","given":"Mingxun"},{"family":"Warren","given":"Jonathan"},{"family":"Weber","given":"Kyle C."},{"family":"Williamson","given":"Charles H. D."},{"family":"Willis","given":"Amy D."},{"family":"Xu","given":"Zhenjiang Zech"},{"family":"Zaneveld","given":"Jesse R."},{"family":"Zhang","given":"Yilong"},{"family":"Zhu","given":"Qiyun"},{"family":"Knight","given":"Rob"},{"family":"Caporaso","given":"J. Gregory"}],"issued":{"date-parts":[["2019",8]]},"citation-key":"bolyenReproducibleInteractiveScalable2019"}}],"schema":"https://github.com/citation-style-language/schema/raw/master/csl-citation.json"} </w:instrText>
      </w:r>
      <w:r w:rsidR="00C45617">
        <w:fldChar w:fldCharType="separate"/>
      </w:r>
      <w:r w:rsidR="00A20B2F">
        <w:rPr>
          <w:noProof/>
        </w:rPr>
        <w:t>[11, 13, 14]</w:t>
      </w:r>
      <w:r w:rsidR="00C45617">
        <w:fldChar w:fldCharType="end"/>
      </w:r>
      <w:r w:rsidRPr="0007048F">
        <w:t>.</w:t>
      </w:r>
    </w:p>
    <w:p w14:paraId="01AE982E" w14:textId="17CA68C1" w:rsidR="0007048F" w:rsidRPr="0007048F" w:rsidRDefault="00B431C1" w:rsidP="006A381E">
      <w:pPr>
        <w:spacing w:line="240" w:lineRule="auto"/>
        <w:ind w:firstLine="720"/>
      </w:pPr>
      <w:r>
        <w:t>Importantly,</w:t>
      </w:r>
      <w:r w:rsidR="0007048F"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is most sensitive to changes in abundant lineages, </w:t>
      </w:r>
      <w:r>
        <w:t>which</w:t>
      </w:r>
      <w:r w:rsidR="0007048F" w:rsidRPr="0007048F">
        <w:t xml:space="preserve"> can sometimes obscure compositional differences driven by rare to moderately-abundant taxa</w:t>
      </w:r>
      <w:r w:rsidR="00327654">
        <w:t xml:space="preserve"> </w:t>
      </w:r>
      <w:r w:rsidR="00327654">
        <w:fldChar w:fldCharType="begin"/>
      </w:r>
      <w:r w:rsidR="00A20B2F">
        <w:instrText xml:space="preserve"> ADDIN ZOTERO_ITEM CSL_CITATION {"citationID":"A3Hhn8QB","properties":{"formattedCitation":"[11]","plainCitation":"[11]","noteIndex":0},"citationItems":[{"id":2017,"uris":["http://zotero.org/groups/5077571/items/W4RRRQEL"],"itemData":{"id":2017,"type":"article-journal","abstract":"Motivation: The human microbiome plays an important role in human disease and health. Identification of factors that affect the microbiome composition can provide insights into disease mechanism as well as suggest ways to modulate the microbiome composition for therapeutical purposes. Distance-based statistical tests have been applied to test the association of microbiome composition with environmental or biological covariates. The unweighted and weighted UniFrac distances are the most widely used distance measures. However, these two measures assign too much weight either to rare lineages or to most abundant lineages, which can lead to loss of power when the important composition change occurs in moderately abundant lineages., Results: We develop generalized UniFrac distances that extend the weighted and unweighted UniFrac distances for detecting a much wider range of biologically relevant changes. We evaluate the use of generalized UniFrac distances in associating microbiome composition with environmental covariates using extensive Monte Carlo simulations. Our results show that tests using the unweighted and weighted UniFrac distances are less powerful in detecting abundance change in moderately abundant lineages. In contrast, the generalized UniFrac distance is most powerful in detecting such changes, yet it retains nearly all its power for detecting rare and highly abundant lineages. The generalized UniFrac distance also has an overall better power than the joint use of unweighted/weighted UniFrac distances. Application to two real microbiome datasets has demonstrated gains in power in testing the associations between human microbiome and diet intakes and habitual smoking., Availability:\nhttp://cran.r-project.org/web/packages/GUniFrac, Contact:\nhongzhe@upenn.edu, Supplementary information:\nSupplementary data are available at Bioinformatics online.","container-title":"Bioinformatics","DOI":"10.1093/bioinformatics/bts342","ISSN":"1367-4803","issue":"16","journalAbbreviation":"Bioinformatics","note":"PMID: 22711789\nPMCID: PMC3413390","page":"2106-2113","source":"PubMed Central","title":"Associating microbiome composition with environmental covariates using generalized UniFrac distances","volume":"28","author":[{"family":"Chen","given":"Jun"},{"family":"Bittinger","given":"Kyle"},{"family":"Charlson","given":"Emily S."},{"family":"Hoffmann","given":"Christian"},{"family":"Lewis","given":"James"},{"family":"Wu","given":"Gary D."},{"family":"Collman","given":"Ronald G."},{"family":"Bushman","given":"Frederic D."},{"family":"Li","given":"Hongzhe"}],"issued":{"date-parts":[["2012",8,15]]},"citation-key":"chenAssociatingMicrobiomeComposition2012"}}],"schema":"https://github.com/citation-style-language/schema/raw/master/csl-citation.json"} </w:instrText>
      </w:r>
      <w:r w:rsidR="00327654">
        <w:fldChar w:fldCharType="separate"/>
      </w:r>
      <w:r w:rsidR="00A20B2F">
        <w:rPr>
          <w:noProof/>
        </w:rPr>
        <w:t>[11]</w:t>
      </w:r>
      <w:r w:rsidR="00327654">
        <w:fldChar w:fldCharType="end"/>
      </w:r>
      <w:r w:rsidR="00327654">
        <w:t>.</w:t>
      </w:r>
      <w:r w:rsidR="0007048F" w:rsidRPr="0007048F">
        <w:t xml:space="preserve"> To address this weakness, Chen et al. (2012) introduced the generalized </w:t>
      </w:r>
      <w:proofErr w:type="spellStart"/>
      <w:r w:rsidR="0007048F" w:rsidRPr="0007048F">
        <w:t>UniFrac</w:t>
      </w:r>
      <w:proofErr w:type="spellEnd"/>
      <w:r w:rsidR="0007048F" w:rsidRPr="0007048F">
        <w:t xml:space="preserve"> distance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xml:space="preserve">), in which the impact of abundant lineages can be mitigated by decreasing the parameter </w:t>
      </w:r>
      <m:oMath>
        <m:r>
          <w:rPr>
            <w:rFonts w:ascii="Cambria Math" w:hAnsi="Cambria Math"/>
          </w:rPr>
          <m:t>α</m:t>
        </m:r>
      </m:oMath>
      <w:r w:rsidR="0007048F" w:rsidRPr="0007048F">
        <w:t>:</w:t>
      </w:r>
    </w:p>
    <w:p w14:paraId="2210D8E1" w14:textId="77777777" w:rsidR="0007048F" w:rsidRPr="0007048F" w:rsidRDefault="0007048F" w:rsidP="006A381E">
      <w:pPr>
        <w:spacing w:line="240" w:lineRule="auto"/>
      </w:pPr>
      <m:oMathPara>
        <m:oMathParaPr>
          <m:jc m:val="center"/>
        </m:oMathParaP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b</m:t>
                          </m:r>
                        </m:sup>
                      </m:sSubSup>
                    </m:e>
                  </m:d>
                </m:e>
                <m:sup>
                  <m:r>
                    <w:rPr>
                      <w:rFonts w:ascii="Cambria Math" w:hAnsi="Cambria Math"/>
                    </w:rPr>
                    <m:t>α</m:t>
                  </m:r>
                </m:sup>
              </m:sSup>
            </m:den>
          </m:f>
        </m:oMath>
      </m:oMathPara>
    </w:p>
    <w:p w14:paraId="7B5D041B" w14:textId="1AA1E69C" w:rsidR="0007048F" w:rsidRPr="0007048F" w:rsidRDefault="0007048F" w:rsidP="006A381E">
      <w:pPr>
        <w:spacing w:line="240" w:lineRule="auto"/>
      </w:pPr>
      <w:r w:rsidRPr="0007048F">
        <w:t xml:space="preserve">where </w:t>
      </w:r>
      <m:oMath>
        <m:r>
          <w:rPr>
            <w:rFonts w:ascii="Cambria Math" w:hAnsi="Cambria Math"/>
          </w:rPr>
          <m:t>α</m:t>
        </m:r>
      </m:oMath>
      <w:r w:rsidRPr="0007048F">
        <w:t xml:space="preserve"> ranges from 0 (close to </w:t>
      </w:r>
      <w:r w:rsidR="00327654">
        <w:t>U</w:t>
      </w:r>
      <w:r w:rsidRPr="0007048F">
        <w:t xml:space="preserve">nweighted </w:t>
      </w:r>
      <w:proofErr w:type="spellStart"/>
      <w:r w:rsidRPr="0007048F">
        <w:t>UniFrac</w:t>
      </w:r>
      <w:proofErr w:type="spellEnd"/>
      <w:r w:rsidRPr="0007048F">
        <w:t xml:space="preserve">) up to 1 (identical to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above). However, if one wishes to use absolute abundances, both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can be derived without normalizing to proportions:</w:t>
      </w:r>
    </w:p>
    <w:p w14:paraId="3A7384E2" w14:textId="77777777" w:rsidR="0007048F" w:rsidRPr="0007048F" w:rsidRDefault="00000000" w:rsidP="006A381E">
      <w:pPr>
        <w:spacing w:line="240" w:lineRule="auto"/>
      </w:pPr>
      <m:oMathPara>
        <m:oMathParaPr>
          <m:jc m:val="center"/>
        </m:oMathParaPr>
        <m:oMath>
          <m:m>
            <m:mPr>
              <m:plcHide m:val="1"/>
              <m:mcs>
                <m:mc>
                  <m:mcPr>
                    <m:count m:val="1"/>
                    <m:mcJc m:val="right"/>
                  </m:mcPr>
                </m:mc>
                <m:mc>
                  <m:mcPr>
                    <m:count m:val="1"/>
                    <m:mcJc m:val="left"/>
                  </m:mcPr>
                </m:mc>
                <m:mc>
                  <m:mcPr>
                    <m:count m:val="1"/>
                    <m:mcJc m:val="right"/>
                  </m:mcPr>
                </m:mc>
              </m:mcs>
              <m:ctrlPr>
                <w:rPr>
                  <w:rFonts w:ascii="Cambria Math" w:hAnsi="Cambria Math"/>
                </w:rPr>
              </m:ctrlPr>
            </m:mPr>
            <m:mr>
              <m:e>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den>
                </m:f>
                <m:r>
                  <w:rPr>
                    <w:rFonts w:ascii="Cambria Math" w:hAnsi="Cambria Math"/>
                  </w:rPr>
                  <m:t>  </m:t>
                </m:r>
              </m:e>
              <m:e/>
              <m:e>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
                      <m:dPr>
                        <m:begChr m:val="|"/>
                        <m:endChr m:val="|"/>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num>
                          <m:den>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den>
                        </m:f>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b</m:t>
                            </m:r>
                          </m:e>
                          <m:sub>
                            <m:r>
                              <w:rPr>
                                <w:rFonts w:ascii="Cambria Math" w:hAnsi="Cambria Math"/>
                              </w:rPr>
                              <m:t>i</m:t>
                            </m:r>
                          </m:sub>
                        </m:sSub>
                      </m:e>
                    </m:nary>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r>
                              <m:rPr>
                                <m:sty m:val="p"/>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e>
                        </m:d>
                      </m:e>
                      <m:sup>
                        <m:r>
                          <w:rPr>
                            <w:rFonts w:ascii="Cambria Math" w:hAnsi="Cambria Math"/>
                          </w:rPr>
                          <m:t>α</m:t>
                        </m:r>
                      </m:sup>
                    </m:sSup>
                  </m:den>
                </m:f>
              </m:e>
            </m:mr>
          </m:m>
        </m:oMath>
      </m:oMathPara>
    </w:p>
    <w:p w14:paraId="7CBD9C5A" w14:textId="7FBF1832" w:rsidR="0007048F" w:rsidRDefault="0007048F" w:rsidP="006A381E">
      <w:pPr>
        <w:spacing w:line="240" w:lineRule="auto"/>
      </w:pPr>
      <w:r w:rsidRPr="0007048F">
        <w:t xml:space="preserve">Where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a</m:t>
            </m:r>
          </m:sup>
        </m:sSubSup>
      </m:oMath>
      <w:r w:rsidRPr="0007048F">
        <w:t xml:space="preserve"> and </w:t>
      </w:r>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b</m:t>
            </m:r>
          </m:sup>
        </m:sSubSup>
      </m:oMath>
      <w:r w:rsidRPr="0007048F">
        <w:t xml:space="preserve"> </w:t>
      </w:r>
      <w:r w:rsidR="00B431C1">
        <w:t>denote</w:t>
      </w:r>
      <w:r w:rsidRPr="0007048F">
        <w:t xml:space="preserve"> for the absolute counts of species descend</w:t>
      </w:r>
      <w:r w:rsidR="00B431C1">
        <w:t>ing</w:t>
      </w:r>
      <w:r w:rsidRPr="0007048F">
        <w:t xml:space="preserve"> from branch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7048F">
        <w:t xml:space="preserve"> in communit</w:t>
      </w:r>
      <w:r w:rsidR="00B431C1">
        <w:t>ies</w:t>
      </w:r>
      <w:r w:rsidRPr="0007048F">
        <w:t xml:space="preserve"> </w:t>
      </w:r>
      <m:oMath>
        <m:r>
          <w:rPr>
            <w:rFonts w:ascii="Cambria Math" w:hAnsi="Cambria Math"/>
          </w:rPr>
          <m:t>a</m:t>
        </m:r>
      </m:oMath>
      <w:r w:rsidRPr="0007048F">
        <w:t xml:space="preserve"> and </w:t>
      </w:r>
      <m:oMath>
        <m:r>
          <w:rPr>
            <w:rFonts w:ascii="Cambria Math" w:hAnsi="Cambria Math"/>
          </w:rPr>
          <m:t>b</m:t>
        </m:r>
      </m:oMath>
      <w:r w:rsidRPr="0007048F">
        <w:t xml:space="preserve">, respectively. We refer to these distances as </w:t>
      </w:r>
      <w:r w:rsidRPr="0007048F">
        <w:rPr>
          <w:i/>
          <w:iCs/>
        </w:rPr>
        <w:t xml:space="preserve">Absolute </w:t>
      </w:r>
      <w:proofErr w:type="spellStart"/>
      <w:r w:rsidRPr="0007048F">
        <w:rPr>
          <w:i/>
          <w:iCs/>
        </w:rPr>
        <w:t>Uni</w:t>
      </w:r>
      <w:r w:rsidR="00B431C1">
        <w:rPr>
          <w:i/>
          <w:iCs/>
        </w:rPr>
        <w:t>F</w:t>
      </w:r>
      <w:r w:rsidRPr="0007048F">
        <w:rPr>
          <w:i/>
          <w:iCs/>
        </w:rPr>
        <w:t>rac</w:t>
      </w:r>
      <w:proofErr w:type="spellEnd"/>
      <w:r w:rsidR="00B431C1">
        <w:rPr>
          <w:i/>
          <w:iCs/>
        </w:rPr>
        <w:t xml:space="preserve"> </w:t>
      </w:r>
      <w:r w:rsidR="00B431C1">
        <w:t>(</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t>)</w:t>
      </w:r>
      <w:r w:rsidRPr="0007048F">
        <w:t xml:space="preserve">and </w:t>
      </w:r>
      <w:r w:rsidRPr="0007048F">
        <w:rPr>
          <w:i/>
          <w:iCs/>
        </w:rPr>
        <w:t xml:space="preserve">Generalized Absolute </w:t>
      </w:r>
      <w:proofErr w:type="spellStart"/>
      <w:r w:rsidRPr="0007048F">
        <w:rPr>
          <w:i/>
          <w:iCs/>
        </w:rPr>
        <w:t>Unifrac</w:t>
      </w:r>
      <w:proofErr w:type="spellEnd"/>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w:t>
      </w:r>
      <w:r w:rsidR="00686055">
        <w:t xml:space="preserve"> </w:t>
      </w:r>
      <w:r w:rsidR="00B431C1">
        <w:t xml:space="preserve">Although substituting absolute for relative abundances is mathematically straightforward, </w:t>
      </w:r>
      <w:r w:rsidR="00944367">
        <w:t>to our knowledge there is</w:t>
      </w:r>
      <w:r w:rsidR="00B431C1">
        <w:t xml:space="preserve"> no prior work that examines </w:t>
      </w:r>
      <w:proofErr w:type="spellStart"/>
      <w:r w:rsidR="00B431C1">
        <w:t>UniFrac</w:t>
      </w:r>
      <w:proofErr w:type="spellEnd"/>
      <w:r w:rsidR="00B431C1">
        <w:t xml:space="preserve"> in the context of absolute abundance, either conceptually or in application. Incorporating absolut</w:t>
      </w:r>
      <w:r w:rsidR="005C02A0">
        <w:t>e</w:t>
      </w:r>
      <w:r w:rsidR="00B431C1">
        <w:t xml:space="preserve"> abundances introduces a third axis of ecological variation: beyond differences in composition and phylogenetic similarity,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B431C1">
        <w:rPr>
          <w:rFonts w:eastAsiaTheme="minorEastAsia"/>
        </w:rPr>
        <w:t xml:space="preserve"> </w:t>
      </w:r>
      <w:r w:rsidR="00475C3E">
        <w:rPr>
          <w:rFonts w:eastAsiaTheme="minorEastAsia"/>
        </w:rPr>
        <w:t xml:space="preserve">also captures divergence in microbial load. This makes interpretation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rsidR="00475C3E">
        <w:rPr>
          <w:rFonts w:eastAsiaTheme="minorEastAsia"/>
        </w:rPr>
        <w:t>nontrivial, particularly in complex microbiomes.</w:t>
      </w:r>
      <w:r w:rsidR="00686055">
        <w:t xml:space="preserve"> </w:t>
      </w:r>
    </w:p>
    <w:p w14:paraId="2835298F" w14:textId="016672FD" w:rsidR="00475C3E" w:rsidRPr="006A381E" w:rsidRDefault="00475C3E" w:rsidP="006A381E">
      <w:pPr>
        <w:spacing w:line="240" w:lineRule="auto"/>
        <w:rPr>
          <w:b/>
          <w:bCs/>
        </w:rPr>
      </w:pPr>
      <w:r>
        <w:rPr>
          <w:b/>
          <w:bCs/>
        </w:rPr>
        <w:t xml:space="preserve">Demonstrating </w:t>
      </w:r>
      <m:oMath>
        <m:r>
          <m:rPr>
            <m:sty m:val="bi"/>
          </m:rPr>
          <w:rPr>
            <w:rFonts w:ascii="Cambria Math" w:hAnsi="Cambria Math"/>
          </w:rPr>
          <m:t>β</m:t>
        </m:r>
      </m:oMath>
      <w:r w:rsidRPr="001061A5">
        <w:rPr>
          <w:b/>
          <w:bCs/>
        </w:rPr>
        <w:t>-diversity</w:t>
      </w:r>
      <w:r>
        <w:rPr>
          <w:b/>
          <w:bCs/>
        </w:rPr>
        <w:t xml:space="preserve"> metrics’ behavior </w:t>
      </w:r>
      <w:r w:rsidRPr="00DB4875">
        <w:rPr>
          <w:b/>
          <w:bCs/>
        </w:rPr>
        <w:t>with a simple s</w:t>
      </w:r>
      <w:r w:rsidRPr="006A381E">
        <w:rPr>
          <w:b/>
          <w:bCs/>
        </w:rPr>
        <w:t>imulation</w:t>
      </w:r>
    </w:p>
    <w:p w14:paraId="11242920" w14:textId="5CC2EE29" w:rsidR="0007048F" w:rsidRPr="0007048F" w:rsidRDefault="00475C3E" w:rsidP="006A381E">
      <w:pPr>
        <w:spacing w:line="240" w:lineRule="auto"/>
        <w:ind w:firstLine="720"/>
      </w:pPr>
      <w:r w:rsidRPr="0007048F">
        <w:lastRenderedPageBreak/>
        <w:t xml:space="preserve">To </w:t>
      </w:r>
      <w:r>
        <w:t xml:space="preserve">clarify </w:t>
      </w:r>
      <w:r w:rsidRPr="0007048F">
        <w:t xml:space="preserve">how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behaves relative to existing </w:t>
      </w:r>
      <m:oMath>
        <m:r>
          <w:rPr>
            <w:rFonts w:ascii="Cambria Math" w:hAnsi="Cambria Math"/>
          </w:rPr>
          <m:t>β</m:t>
        </m:r>
      </m:oMath>
      <w:r w:rsidRPr="0007048F">
        <w:t>-diversity</w:t>
      </w:r>
      <w:r>
        <w:t xml:space="preserve"> metrics</w:t>
      </w:r>
      <w:r w:rsidRPr="0007048F">
        <w:t xml:space="preserve">, we </w:t>
      </w:r>
      <w:r>
        <w:t xml:space="preserve">first </w:t>
      </w:r>
      <w:r w:rsidRPr="0007048F">
        <w:t xml:space="preserve">constructed a </w:t>
      </w:r>
      <w:r>
        <w:t xml:space="preserve">simple four-taxon </w:t>
      </w:r>
      <w:r w:rsidRPr="0007048F">
        <w:t xml:space="preserve">simulated community arranged in a </w:t>
      </w:r>
      <w:r>
        <w:t>small</w:t>
      </w:r>
      <w:r w:rsidRPr="0007048F">
        <w:t xml:space="preserve"> phylogeny (Fig. 1A).</w:t>
      </w:r>
      <w:r>
        <w:t xml:space="preserve"> </w:t>
      </w:r>
      <w:r w:rsidR="0007048F" w:rsidRPr="0007048F">
        <w:t>By varying the absolute abundance of each ASV (1, 10, or 100), we generated 81 samples and 3,240 pairwise comparisons. For each pair, we computed four dissimilarity metrics: Bray-Curtis with relative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07048F" w:rsidRPr="0007048F">
        <w:t>), Bray-Curtis with absolute abundance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Weighted UniFrac with relative abundance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07048F" w:rsidRPr="0007048F">
        <w:t>), and Weighted UniFrac with absolute abundance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w:t>
      </w:r>
      <w:r>
        <w:t xml:space="preserve"> These comparisons help to illustrate how each axis of ecological difference—abundance, composition, and phylogeny—is expressed by the different metrics.</w:t>
      </w:r>
    </w:p>
    <w:p w14:paraId="334A70D7" w14:textId="146C17A0" w:rsidR="0007048F" w:rsidRPr="0007048F" w:rsidRDefault="00000000" w:rsidP="006A381E">
      <w:pPr>
        <w:spacing w:line="240" w:lineRule="auto"/>
        <w:ind w:firstLine="720"/>
      </w:pP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does not consistently yield higher or lower distances</w:t>
      </w:r>
      <w:r w:rsidR="005C02A0">
        <w:t xml:space="preserve"> compared to other </w:t>
      </w:r>
      <w:proofErr w:type="gramStart"/>
      <w:r w:rsidR="005C02A0">
        <w:t>metrics,</w:t>
      </w:r>
      <w:r w:rsidR="0007048F" w:rsidRPr="0007048F">
        <w:t xml:space="preserve"> but</w:t>
      </w:r>
      <w:proofErr w:type="gramEnd"/>
      <w:r w:rsidR="0007048F" w:rsidRPr="0007048F">
        <w:t xml:space="preserve"> instead varies depending on how abundance and phylogeny intersect (Fig. 1B). In the improbable scenario that all branch lengths are equal,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07048F" w:rsidRPr="0007048F">
        <w:t xml:space="preserve"> is always less than or equal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07048F" w:rsidRPr="0007048F">
        <w:t xml:space="preserve"> (Fig. S1). These comparisons emphasize that</w:t>
      </w:r>
      <w:r w:rsidR="00475C3E">
        <w:t xml:space="preserve"> once branch length</w:t>
      </w:r>
      <w:r w:rsidR="005C02A0">
        <w:t>s</w:t>
      </w:r>
      <w:r w:rsidR="00475C3E">
        <w:t xml:space="preserve"> differ,</w:t>
      </w:r>
      <w:r w:rsidR="0007048F" w:rsidRPr="0007048F">
        <w:t xml:space="preserve"> incorporating phylogeny and absolute abundance</w:t>
      </w:r>
      <w:r w:rsidR="00475C3E">
        <w:t xml:space="preserve"> alters the structure of the distance space. The direction and magnitude of that change depend on which branches carry the abundance shifts.</w:t>
      </w:r>
      <w:r w:rsidR="005C02A0">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5C02A0" w:rsidRPr="0007048F">
        <w:t xml:space="preserve"> is </w:t>
      </w:r>
      <w:r w:rsidR="005C02A0">
        <w:t xml:space="preserve">also </w:t>
      </w:r>
      <w:r w:rsidR="005C02A0" w:rsidRPr="0007048F">
        <w:t xml:space="preserve">usually smaller than </w:t>
      </w:r>
      <w:r w:rsidR="005C02A0">
        <w:rPr>
          <w:i/>
          <w:iCs/>
        </w:rPr>
        <w:t>BC</w:t>
      </w:r>
      <w:r w:rsidR="005C02A0">
        <w:rPr>
          <w:i/>
          <w:iCs/>
          <w:vertAlign w:val="superscript"/>
        </w:rPr>
        <w:t>A</w:t>
      </w:r>
      <w:r w:rsidR="005C02A0">
        <w:rPr>
          <w:i/>
          <w:iCs/>
        </w:rPr>
        <w:t xml:space="preserve"> </w:t>
      </w:r>
      <w:r w:rsidR="005C02A0" w:rsidRPr="0007048F">
        <w:t xml:space="preserve">and </w:t>
      </w:r>
      <w:r w:rsidR="005C02A0">
        <w:t xml:space="preserve">is more </w:t>
      </w:r>
      <w:r w:rsidR="005C02A0" w:rsidRPr="0007048F">
        <w:t xml:space="preserve">strongly correlated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005C02A0" w:rsidRPr="0007048F">
        <w:t xml:space="preserve"> (Pearsons </w:t>
      </w:r>
      <m:oMath>
        <m:r>
          <w:rPr>
            <w:rFonts w:ascii="Cambria Math" w:hAnsi="Cambria Math"/>
          </w:rPr>
          <m:t>r</m:t>
        </m:r>
      </m:oMath>
      <w:r w:rsidR="005C02A0" w:rsidRPr="0007048F">
        <w:t xml:space="preserve"> = 0.82, </w:t>
      </w:r>
      <m:oMath>
        <m:r>
          <w:rPr>
            <w:rFonts w:ascii="Cambria Math" w:hAnsi="Cambria Math"/>
          </w:rPr>
          <m:t>p</m:t>
        </m:r>
      </m:oMath>
      <w:r w:rsidR="005C02A0" w:rsidRPr="0007048F">
        <w:t xml:space="preserve"> &lt; 0.0001) than with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0.41)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005C02A0" w:rsidRPr="0007048F">
        <w:t xml:space="preserve"> (</w:t>
      </w:r>
      <m:oMath>
        <m:r>
          <w:rPr>
            <w:rFonts w:ascii="Cambria Math" w:hAnsi="Cambria Math"/>
          </w:rPr>
          <m:t>r</m:t>
        </m:r>
      </m:oMath>
      <w:r w:rsidR="005C02A0" w:rsidRPr="0007048F">
        <w:t xml:space="preserve"> = 0.55)</w:t>
      </w:r>
      <w:r w:rsidR="005C02A0">
        <w:t>.</w:t>
      </w:r>
    </w:p>
    <w:p w14:paraId="582144C2" w14:textId="12558DB4" w:rsidR="005C02A0" w:rsidRDefault="0007048F" w:rsidP="005C02A0">
      <w:pPr>
        <w:spacing w:line="240" w:lineRule="auto"/>
        <w:ind w:firstLine="720"/>
      </w:pPr>
      <w:r w:rsidRPr="0007048F">
        <w:t xml:space="preserve">To better understand how these metrics diverge, we examined individual sample pairs (Fig. 1C). Scenario 1 (gold star) illustrates the classic advantage of </w:t>
      </w:r>
      <w:proofErr w:type="spellStart"/>
      <w:r w:rsidRPr="0007048F">
        <w:t>UniFrac</w:t>
      </w:r>
      <w:proofErr w:type="spellEnd"/>
      <w:r w:rsidRPr="0007048F">
        <w:t xml:space="preserve">: ASV_1 and ASV_2 are phylogenetically close, so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discern greater similarity between samples than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which ignore phylogenetic structure. Scenario 2 (red star) highlights a limitation of relative metrics: two samples with identical relative composition but a 100-fold difference in biomass appear identical to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R</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R</m:t>
            </m:r>
          </m:sup>
        </m:sSup>
      </m:oMath>
      <w:r w:rsidRPr="0007048F">
        <w:t xml:space="preserve">, but not to their absolute counterparts. In Scenario 3 (green star), incorporating absolute abundance decreases dissimilarity.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and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are lower than their relative counterparts because half the community is identical in absolute </w:t>
      </w:r>
      <w:r w:rsidR="00475C3E">
        <w:t>abundance, even though their proportions differ</w:t>
      </w:r>
      <w:r w:rsidRPr="0007048F">
        <w:t xml:space="preserve">. In contrast, Scenario 4 (blue star) shows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can </w:t>
      </w:r>
      <w:r w:rsidR="00475C3E">
        <w:t xml:space="preserve">exceed  </w:t>
      </w:r>
      <m:oMath>
        <m:r>
          <w:rPr>
            <w:rFonts w:ascii="Cambria Math" w:hAnsi="Cambria Math"/>
          </w:rPr>
          <m:t>B</m:t>
        </m:r>
        <m:sSup>
          <m:sSupPr>
            <m:ctrlPr>
              <w:rPr>
                <w:rFonts w:ascii="Cambria Math" w:hAnsi="Cambria Math"/>
              </w:rPr>
            </m:ctrlPr>
          </m:sSupPr>
          <m:e>
            <m:r>
              <w:rPr>
                <w:rFonts w:ascii="Cambria Math" w:hAnsi="Cambria Math"/>
              </w:rPr>
              <m:t>C</m:t>
            </m:r>
          </m:e>
          <m:sup>
            <m:r>
              <w:rPr>
                <w:rFonts w:ascii="Cambria Math" w:hAnsi="Cambria Math"/>
              </w:rPr>
              <m:t>A</m:t>
            </m:r>
          </m:sup>
        </m:sSup>
      </m:oMath>
      <w:r w:rsidRPr="0007048F">
        <w:t xml:space="preserve"> when abundance differences occur on long branches, amplifying phylogenetic dissimilarity.</w:t>
      </w:r>
      <w:r w:rsidR="00AE18EA">
        <w:t xml:space="preserve"> </w:t>
      </w:r>
    </w:p>
    <w:p w14:paraId="30848F7D" w14:textId="3F44D099" w:rsidR="005C02A0" w:rsidRDefault="005C02A0" w:rsidP="005C02A0">
      <w:pPr>
        <w:spacing w:line="240" w:lineRule="auto"/>
        <w:ind w:firstLine="720"/>
      </w:pPr>
      <w:r w:rsidRPr="0007048F">
        <w:t xml:space="preserve">These scenarios demonstrate that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 xml:space="preserve">integrates variation along three ecologically relevant axes: composition, phylogenetic similarity, and microbial load, rather than isolating any single dimension. Because a given </w:t>
      </w:r>
      <m:oMath>
        <m:sSup>
          <m:sSupPr>
            <m:ctrlPr>
              <w:rPr>
                <w:rFonts w:ascii="Cambria Math" w:hAnsi="Cambria Math"/>
              </w:rPr>
            </m:ctrlPr>
          </m:sSupPr>
          <m:e>
            <m:r>
              <w:rPr>
                <w:rFonts w:ascii="Cambria Math" w:hAnsi="Cambria Math"/>
              </w:rPr>
              <m:t>U</m:t>
            </m:r>
          </m:e>
          <m:sup>
            <m:r>
              <w:rPr>
                <w:rFonts w:ascii="Cambria Math" w:hAnsi="Cambria Math"/>
              </w:rPr>
              <m:t>A</m:t>
            </m:r>
          </m:sup>
        </m:sSup>
      </m:oMath>
      <w:r>
        <w:t xml:space="preserve"> value can reflect multiple drivers of community change, interpreting it requires downstream analyses to disentangle the relative contributions of these three axes. To evaluate how this plays out in real systems we next reanalyzed four previously published datasets spanning diverse microbial environments. </w:t>
      </w:r>
    </w:p>
    <w:p w14:paraId="660C8EA0" w14:textId="66B0146F" w:rsidR="005C02A0" w:rsidRDefault="005C02A0" w:rsidP="006A381E">
      <w:pPr>
        <w:spacing w:line="240" w:lineRule="auto"/>
      </w:pPr>
    </w:p>
    <w:p w14:paraId="4192CDC4" w14:textId="4A609174" w:rsidR="005C02A0" w:rsidRDefault="005C02A0" w:rsidP="006A381E">
      <w:pPr>
        <w:spacing w:line="240" w:lineRule="auto"/>
        <w:ind w:firstLine="720"/>
      </w:pPr>
    </w:p>
    <w:p w14:paraId="36028C7A" w14:textId="77777777" w:rsidR="00AE18EA" w:rsidRDefault="00AE18EA" w:rsidP="006A381E">
      <w:pPr>
        <w:spacing w:line="240" w:lineRule="auto"/>
        <w:ind w:firstLine="720"/>
      </w:pPr>
    </w:p>
    <w:p w14:paraId="26A4AD24" w14:textId="0F5026BD" w:rsidR="00AE18EA" w:rsidRPr="00AE18EA" w:rsidRDefault="005C02A0" w:rsidP="006A381E">
      <w:pPr>
        <w:spacing w:line="240" w:lineRule="auto"/>
        <w:rPr>
          <w:sz w:val="20"/>
          <w:szCs w:val="20"/>
        </w:rPr>
      </w:pPr>
      <w:r>
        <w:rPr>
          <w:noProof/>
        </w:rPr>
        <w:lastRenderedPageBreak/>
        <w:drawing>
          <wp:anchor distT="0" distB="0" distL="114300" distR="114300" simplePos="0" relativeHeight="251658240" behindDoc="0" locked="0" layoutInCell="1" allowOverlap="1" wp14:anchorId="746AB1CC" wp14:editId="29C77D53">
            <wp:simplePos x="0" y="0"/>
            <wp:positionH relativeFrom="column">
              <wp:posOffset>-152400</wp:posOffset>
            </wp:positionH>
            <wp:positionV relativeFrom="paragraph">
              <wp:posOffset>0</wp:posOffset>
            </wp:positionV>
            <wp:extent cx="6111240" cy="3355340"/>
            <wp:effectExtent l="0" t="0" r="0" b="0"/>
            <wp:wrapSquare wrapText="bothSides"/>
            <wp:docPr id="52330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309400"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11240" cy="3355340"/>
                    </a:xfrm>
                    <a:prstGeom prst="rect">
                      <a:avLst/>
                    </a:prstGeom>
                  </pic:spPr>
                </pic:pic>
              </a:graphicData>
            </a:graphic>
            <wp14:sizeRelH relativeFrom="page">
              <wp14:pctWidth>0</wp14:pctWidth>
            </wp14:sizeRelH>
            <wp14:sizeRelV relativeFrom="page">
              <wp14:pctHeight>0</wp14:pctHeight>
            </wp14:sizeRelV>
          </wp:anchor>
        </w:drawing>
      </w:r>
      <w:r w:rsidR="00AE18EA" w:rsidRPr="00AE18EA">
        <w:rPr>
          <w:i/>
          <w:iCs/>
          <w:sz w:val="20"/>
          <w:szCs w:val="20"/>
        </w:rPr>
        <w:t>Figure 1. Simulated communities reveal how absolute abundance affects phylogenetic and non-phylogenetic β-diversity measures.</w:t>
      </w:r>
      <w:r w:rsidR="00AE18EA" w:rsidRPr="00AE18EA">
        <w:rPr>
          <w:sz w:val="20"/>
          <w:szCs w:val="20"/>
        </w:rPr>
        <w:t xml:space="preserve"> (A) We constructed a simple four-ASV community with a known phylogeny and generated all permutations of each ASV having an absolute abundance of 1, 10, or 100, resulting in 81 unique communities and 3,240 pairwise comparisons. (B) Distributions of pairwise differences between weighted </w:t>
      </w:r>
      <w:proofErr w:type="spellStart"/>
      <w:r w:rsidR="00AE18EA" w:rsidRPr="00AE18EA">
        <w:rPr>
          <w:sz w:val="20"/>
          <w:szCs w:val="20"/>
        </w:rPr>
        <w:t>UniFrac</w:t>
      </w:r>
      <w:proofErr w:type="spellEnd"/>
      <w:r w:rsidR="00AE18EA" w:rsidRPr="00AE18EA">
        <w:rPr>
          <w:sz w:val="20"/>
          <w:szCs w:val="20"/>
        </w:rPr>
        <w:t xml:space="preserve"> using absolute abundance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A</m:t>
            </m:r>
          </m:sup>
        </m:sSup>
      </m:oMath>
      <w:r w:rsidR="00AE18EA" w:rsidRPr="00AE18EA">
        <w:rPr>
          <w:sz w:val="20"/>
          <w:szCs w:val="20"/>
        </w:rPr>
        <w:t>) and three other metrics: Bray-Curtis using relative abundance (</w:t>
      </w:r>
      <m:oMath>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C</m:t>
            </m:r>
          </m:e>
          <m:sup>
            <m:r>
              <w:rPr>
                <w:rFonts w:ascii="Cambria Math" w:hAnsi="Cambria Math"/>
                <w:sz w:val="20"/>
                <w:szCs w:val="20"/>
              </w:rPr>
              <m:t>R</m:t>
            </m:r>
          </m:sup>
        </m:sSup>
      </m:oMath>
      <w:r w:rsidR="00AE18EA" w:rsidRPr="00AE18EA">
        <w:rPr>
          <w:sz w:val="20"/>
          <w:szCs w:val="20"/>
        </w:rPr>
        <w:t>), weighted UniFrac using relative abundance (</w:t>
      </w:r>
      <m:oMath>
        <m:sSup>
          <m:sSupPr>
            <m:ctrlPr>
              <w:rPr>
                <w:rFonts w:ascii="Cambria Math" w:hAnsi="Cambria Math"/>
                <w:sz w:val="20"/>
                <w:szCs w:val="20"/>
              </w:rPr>
            </m:ctrlPr>
          </m:sSupPr>
          <m:e>
            <m:r>
              <w:rPr>
                <w:rFonts w:ascii="Cambria Math" w:hAnsi="Cambria Math"/>
                <w:sz w:val="20"/>
                <w:szCs w:val="20"/>
              </w:rPr>
              <m:t>U</m:t>
            </m:r>
          </m:e>
          <m:sup>
            <m:r>
              <w:rPr>
                <w:rFonts w:ascii="Cambria Math" w:hAnsi="Cambria Math"/>
                <w:sz w:val="20"/>
                <w:szCs w:val="20"/>
              </w:rPr>
              <m:t>R</m:t>
            </m:r>
          </m:sup>
        </m:sSup>
      </m:oMath>
      <w:r w:rsidR="00AE18EA" w:rsidRPr="00AE18EA">
        <w:rPr>
          <w:sz w:val="20"/>
          <w:szCs w:val="20"/>
        </w:rPr>
        <w:t>), and Bray-Curtis using absolute abundance (</w:t>
      </w:r>
      <m:oMath>
        <m:r>
          <w:rPr>
            <w:rFonts w:ascii="Cambria Math" w:hAnsi="Cambria Math"/>
            <w:sz w:val="20"/>
            <w:szCs w:val="20"/>
          </w:rPr>
          <m:t>B</m:t>
        </m:r>
        <m:sSup>
          <m:sSupPr>
            <m:ctrlPr>
              <w:rPr>
                <w:rFonts w:ascii="Cambria Math" w:hAnsi="Cambria Math"/>
                <w:sz w:val="20"/>
                <w:szCs w:val="20"/>
              </w:rPr>
            </m:ctrlPr>
          </m:sSupPr>
          <m:e>
            <m:r>
              <w:rPr>
                <w:rFonts w:ascii="Cambria Math" w:hAnsi="Cambria Math"/>
                <w:sz w:val="20"/>
                <w:szCs w:val="20"/>
              </w:rPr>
              <m:t>C</m:t>
            </m:r>
          </m:e>
          <m:sup>
            <m:r>
              <w:rPr>
                <w:rFonts w:ascii="Cambria Math" w:hAnsi="Cambria Math"/>
                <w:sz w:val="20"/>
                <w:szCs w:val="20"/>
              </w:rPr>
              <m:t>A</m:t>
            </m:r>
          </m:sup>
        </m:sSup>
      </m:oMath>
      <w:r w:rsidR="00AE18EA" w:rsidRPr="00AE18EA">
        <w:rPr>
          <w:sz w:val="20"/>
          <w:szCs w:val="20"/>
        </w:rPr>
        <w:t xml:space="preserve">). (C) </w:t>
      </w:r>
      <w:r w:rsidR="00475C3E">
        <w:rPr>
          <w:sz w:val="20"/>
          <w:szCs w:val="20"/>
        </w:rPr>
        <w:t>I</w:t>
      </w:r>
      <w:r w:rsidR="00AE18EA" w:rsidRPr="00AE18EA">
        <w:rPr>
          <w:sz w:val="20"/>
          <w:szCs w:val="20"/>
        </w:rPr>
        <w:t>llustrati</w:t>
      </w:r>
      <w:r w:rsidR="003E5D44">
        <w:rPr>
          <w:sz w:val="20"/>
          <w:szCs w:val="20"/>
        </w:rPr>
        <w:t>ve</w:t>
      </w:r>
      <w:r w:rsidR="00475C3E">
        <w:rPr>
          <w:sz w:val="20"/>
          <w:szCs w:val="20"/>
        </w:rPr>
        <w:t xml:space="preserve"> sample pairs demonstrate how absolute abundances and phylogenetic structure interact to increase or decrease dissimilarity across metrics. S</w:t>
      </w:r>
      <w:r w:rsidR="00AE18EA" w:rsidRPr="00AE18EA">
        <w:rPr>
          <w:sz w:val="20"/>
          <w:szCs w:val="20"/>
        </w:rPr>
        <w:t>tars indicate where each scenario falls within the distributions shown in panel B. Actual values for each metric are displayed beneath each scenario.</w:t>
      </w:r>
    </w:p>
    <w:p w14:paraId="05CE7710" w14:textId="5027802F" w:rsidR="006237CB" w:rsidRPr="006A381E" w:rsidRDefault="006237CB" w:rsidP="006A381E">
      <w:pPr>
        <w:spacing w:line="240" w:lineRule="auto"/>
        <w:rPr>
          <w:b/>
          <w:bCs/>
        </w:rPr>
      </w:pPr>
      <w:r>
        <w:rPr>
          <w:b/>
          <w:bCs/>
        </w:rPr>
        <w:t xml:space="preserve">Application of Absolute </w:t>
      </w:r>
      <w:proofErr w:type="spellStart"/>
      <w:r>
        <w:rPr>
          <w:b/>
          <w:bCs/>
        </w:rPr>
        <w:t>UniFrac</w:t>
      </w:r>
      <w:proofErr w:type="spellEnd"/>
      <w:r>
        <w:rPr>
          <w:b/>
          <w:bCs/>
        </w:rPr>
        <w:t xml:space="preserve"> to Four Real-World Microbiome Datasets</w:t>
      </w:r>
    </w:p>
    <w:p w14:paraId="7A0417CA" w14:textId="39FB208D" w:rsidR="00CA4E44" w:rsidRDefault="00CC3C53">
      <w:pPr>
        <w:spacing w:line="240" w:lineRule="auto"/>
        <w:ind w:firstLine="720"/>
      </w:pPr>
      <w:r>
        <w:t xml:space="preserve">To illustrate the sensitivity of </w:t>
      </w:r>
      <m:oMath>
        <m:sSup>
          <m:sSupPr>
            <m:ctrlPr>
              <w:rPr>
                <w:rFonts w:ascii="Cambria Math" w:hAnsi="Cambria Math"/>
              </w:rPr>
            </m:ctrlPr>
          </m:sSupPr>
          <m:e>
            <m:r>
              <w:rPr>
                <w:rFonts w:ascii="Cambria Math" w:hAnsi="Cambria Math"/>
              </w:rPr>
              <m:t>U</m:t>
            </m:r>
          </m:e>
          <m:sup>
            <m:r>
              <w:rPr>
                <w:rFonts w:ascii="Cambria Math" w:hAnsi="Cambria Math"/>
              </w:rPr>
              <m:t>A</m:t>
            </m:r>
          </m:sup>
        </m:sSup>
        <m:r>
          <w:rPr>
            <w:rFonts w:ascii="Cambria Math" w:hAnsi="Cambria Math"/>
          </w:rPr>
          <m:t xml:space="preserve"> </m:t>
        </m:r>
      </m:oMath>
      <w:r>
        <w:t xml:space="preserve">to </w:t>
      </w:r>
      <w:r w:rsidR="006237CB">
        <w:t xml:space="preserve">both </w:t>
      </w:r>
      <w:r>
        <w:t>variation in composition and absolute abundance, we re-analy</w:t>
      </w:r>
      <w:r w:rsidR="008729F6">
        <w:t>z</w:t>
      </w:r>
      <w:r>
        <w:t xml:space="preserve">ed four previously published datasets from diverse microbial systems. </w:t>
      </w:r>
      <w:r w:rsidR="008729F6">
        <w:t xml:space="preserve">These datasets included: </w:t>
      </w:r>
      <w:r w:rsidR="006237CB">
        <w:t>(</w:t>
      </w:r>
      <w:proofErr w:type="spellStart"/>
      <w:r w:rsidR="006237CB">
        <w:t>i</w:t>
      </w:r>
      <w:proofErr w:type="spellEnd"/>
      <w:r w:rsidR="006237CB">
        <w:t xml:space="preserve">) </w:t>
      </w:r>
      <w:r w:rsidR="008729F6">
        <w:t xml:space="preserve">nuclear reactor cooling water </w:t>
      </w:r>
      <w:r w:rsidR="006237CB">
        <w:t xml:space="preserve">sampled </w:t>
      </w:r>
      <w:r w:rsidR="008729F6">
        <w:t xml:space="preserve">across three reactor cycle phases </w:t>
      </w:r>
      <w:r w:rsidR="008729F6">
        <w:fldChar w:fldCharType="begin"/>
      </w:r>
      <w:r w:rsidR="00A20B2F">
        <w:instrText xml:space="preserve"> ADDIN ZOTERO_ITEM CSL_CITATION {"citationID":"cjTz9RrO","properties":{"formattedCitation":"[5]","plainCitation":"[5]","noteIndex":0},"citationItems":[{"id":1451,"uris":["http://zotero.org/groups/5077571/items/JAZBIWBQ"],"itemData":{"id":1451,"type":"article-journal","abstract":"High-throughput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schema":"https://github.com/citation-style-language/schema/raw/master/csl-citation.json"} </w:instrText>
      </w:r>
      <w:r w:rsidR="008729F6">
        <w:fldChar w:fldCharType="separate"/>
      </w:r>
      <w:r w:rsidR="00A20B2F">
        <w:rPr>
          <w:noProof/>
        </w:rPr>
        <w:t>[5]</w:t>
      </w:r>
      <w:r w:rsidR="008729F6">
        <w:fldChar w:fldCharType="end"/>
      </w:r>
      <w:r w:rsidR="008729F6">
        <w:t xml:space="preserve">; </w:t>
      </w:r>
      <w:r w:rsidR="006237CB">
        <w:t xml:space="preserve">(ii) the </w:t>
      </w:r>
      <w:r w:rsidR="008729F6">
        <w:t>mouse gut sample</w:t>
      </w:r>
      <w:r w:rsidR="003973E9">
        <w:t>d</w:t>
      </w:r>
      <w:r w:rsidR="008729F6">
        <w:t xml:space="preserve"> across multiple </w:t>
      </w:r>
      <w:r w:rsidR="003973E9">
        <w:t>regions</w:t>
      </w:r>
      <w:r w:rsidR="00BB7799">
        <w:t xml:space="preserve"> and</w:t>
      </w:r>
      <w:r w:rsidR="008729F6">
        <w:t xml:space="preserve"> between two diets </w:t>
      </w:r>
      <w:r w:rsidR="008729F6">
        <w:fldChar w:fldCharType="begin"/>
      </w:r>
      <w:r w:rsidR="00C45617">
        <w:instrText xml:space="preserve"> ADDIN ZOTERO_ITEM CSL_CITATION {"citationID":"TYVMoQJy","properties":{"formattedCitation":"[3]","plainCitation":"[3]","noteIndex":0},"citationItems":[{"id":2078,"uris":["http://zotero.org/groups/5077571/items/9FC6PKRB"],"itemData":{"id":2078,"type":"article-journal","abstract":"A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008729F6">
        <w:fldChar w:fldCharType="separate"/>
      </w:r>
      <w:r w:rsidR="008729F6">
        <w:rPr>
          <w:noProof/>
        </w:rPr>
        <w:t>[3]</w:t>
      </w:r>
      <w:r w:rsidR="008729F6">
        <w:fldChar w:fldCharType="end"/>
      </w:r>
      <w:r w:rsidR="008729F6">
        <w:t xml:space="preserve">; </w:t>
      </w:r>
      <w:r w:rsidR="003973E9">
        <w:t>(iii) depth-stratified freshwater communities sampled across two months</w:t>
      </w:r>
      <w:r w:rsidR="008729F6">
        <w:t xml:space="preserve"> </w:t>
      </w:r>
      <w:r w:rsidR="008729F6">
        <w:fldChar w:fldCharType="begin"/>
      </w:r>
      <w:r w:rsidR="00A20B2F">
        <w:instrText xml:space="preserve"> ADDIN ZOTERO_ITEM CSL_CITATION {"citationID":"oYw3GPst","properties":{"formattedCitation":"[9]","plainCitation":"[9]","noteIndex":0},"citationItems":[{"id":2063,"uris":["http://zotero.org/groups/5077571/items/XECMGR9Y"],"itemData":{"id":2063,"type":"article","abstract":"The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8729F6">
        <w:fldChar w:fldCharType="separate"/>
      </w:r>
      <w:r w:rsidR="00A20B2F">
        <w:rPr>
          <w:noProof/>
        </w:rPr>
        <w:t>[9]</w:t>
      </w:r>
      <w:r w:rsidR="008729F6">
        <w:fldChar w:fldCharType="end"/>
      </w:r>
      <w:r w:rsidR="008729F6">
        <w:t>; and</w:t>
      </w:r>
      <w:r w:rsidR="003973E9">
        <w:t xml:space="preserve"> (iv)</w:t>
      </w:r>
      <w:r w:rsidR="008729F6">
        <w:t xml:space="preserve"> peanut rhizo</w:t>
      </w:r>
      <w:r w:rsidR="003973E9">
        <w:t>s</w:t>
      </w:r>
      <w:r w:rsidR="008729F6">
        <w:t>pher</w:t>
      </w:r>
      <w:r w:rsidR="003973E9">
        <w:t>es under tw</w:t>
      </w:r>
      <w:r w:rsidR="008729F6">
        <w:t>o crop rotation schemes (conventional rotation (CR) vs. sod-based rotation (SBR)</w:t>
      </w:r>
      <w:r w:rsidR="003973E9">
        <w:t>)</w:t>
      </w:r>
      <w:r w:rsidR="00BB7799">
        <w:t xml:space="preserve">, plant maturities, and irrigation </w:t>
      </w:r>
      <w:r w:rsidR="003973E9">
        <w:t>treatments</w:t>
      </w:r>
      <w:r w:rsidR="008729F6">
        <w:t xml:space="preserve"> </w:t>
      </w:r>
      <w:r w:rsidR="008729F6">
        <w:fldChar w:fldCharType="begin"/>
      </w:r>
      <w:r w:rsidR="00A20B2F">
        <w:instrText xml:space="preserve"> ADDIN ZOTERO_ITEM CSL_CITATION {"citationID":"YA20tb0p","properties":{"formattedCitation":"[10]","plainCitation":"[10]","noteIndex":0},"citationItems":[{"id":2082,"uris":["http://zotero.org/groups/5077571/items/7DSKNWDW"],"itemData":{"id":2082,"type":"article-journal","abstract":"High-throughput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008729F6">
        <w:fldChar w:fldCharType="separate"/>
      </w:r>
      <w:r w:rsidR="00A20B2F">
        <w:rPr>
          <w:noProof/>
        </w:rPr>
        <w:t>[10]</w:t>
      </w:r>
      <w:r w:rsidR="008729F6">
        <w:fldChar w:fldCharType="end"/>
      </w:r>
      <w:r w:rsidR="008729F6">
        <w:t xml:space="preserve">. </w:t>
      </w:r>
      <w:r w:rsidR="00CA4E44">
        <w:t>Absolute abundance was quantified by flow cytometry for the cooling water and freshwater datasets, droplet digital PCR for the mouse gut, and by qPCR for the rhizosphere dataset. Together these span a wide range of richness–from 215 ASVs in the cooling water to 24,000 ASVs in the soil–and microbial load–from as low as 4x10</w:t>
      </w:r>
      <w:r w:rsidR="00CA4E44" w:rsidRPr="001061A5">
        <w:rPr>
          <w:vertAlign w:val="superscript"/>
        </w:rPr>
        <w:t>5</w:t>
      </w:r>
      <w:r w:rsidR="00CA4E44">
        <w:t xml:space="preserve"> cells/ml (cooling water) up to 2x10</w:t>
      </w:r>
      <w:r w:rsidR="00CA4E44">
        <w:rPr>
          <w:vertAlign w:val="superscript"/>
        </w:rPr>
        <w:t>12</w:t>
      </w:r>
      <w:r w:rsidR="00CA4E44">
        <w:t xml:space="preserve"> 16S rRNA copies/gram (mouse gut). Additional </w:t>
      </w:r>
      <w:r w:rsidR="00CA4E44">
        <w:lastRenderedPageBreak/>
        <w:t xml:space="preserve">details of the re-analysis workflow, including ASV generation and phylogenetic inference, are </w:t>
      </w:r>
      <w:r w:rsidR="005C02A0" w:rsidRPr="006A381E">
        <w:rPr>
          <w:noProof/>
          <w:sz w:val="20"/>
          <w:szCs w:val="20"/>
        </w:rPr>
        <w:drawing>
          <wp:anchor distT="0" distB="0" distL="114300" distR="114300" simplePos="0" relativeHeight="251659264" behindDoc="0" locked="0" layoutInCell="1" allowOverlap="1" wp14:anchorId="73DB701C" wp14:editId="5B60C08B">
            <wp:simplePos x="0" y="0"/>
            <wp:positionH relativeFrom="margin">
              <wp:posOffset>-23929</wp:posOffset>
            </wp:positionH>
            <wp:positionV relativeFrom="margin">
              <wp:posOffset>436880</wp:posOffset>
            </wp:positionV>
            <wp:extent cx="5942965" cy="5723255"/>
            <wp:effectExtent l="0" t="0" r="635" b="4445"/>
            <wp:wrapSquare wrapText="bothSides"/>
            <wp:docPr id="190665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5899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2965" cy="5723255"/>
                    </a:xfrm>
                    <a:prstGeom prst="rect">
                      <a:avLst/>
                    </a:prstGeom>
                  </pic:spPr>
                </pic:pic>
              </a:graphicData>
            </a:graphic>
            <wp14:sizeRelH relativeFrom="page">
              <wp14:pctWidth>0</wp14:pctWidth>
            </wp14:sizeRelH>
            <wp14:sizeRelV relativeFrom="page">
              <wp14:pctHeight>0</wp14:pctHeight>
            </wp14:sizeRelV>
          </wp:anchor>
        </w:drawing>
      </w:r>
      <w:r w:rsidR="00CA4E44">
        <w:t>provided in the Supporting Methods.</w:t>
      </w:r>
    </w:p>
    <w:p w14:paraId="32468638" w14:textId="6A305754" w:rsidR="005C02A0" w:rsidRPr="006A381E" w:rsidRDefault="005C02A0" w:rsidP="006A381E">
      <w:pPr>
        <w:spacing w:line="240" w:lineRule="auto"/>
        <w:rPr>
          <w:sz w:val="20"/>
          <w:szCs w:val="20"/>
        </w:rPr>
      </w:pPr>
      <w:r w:rsidRPr="001061A5">
        <w:rPr>
          <w:i/>
          <w:iCs/>
          <w:sz w:val="20"/>
          <w:szCs w:val="20"/>
        </w:rPr>
        <w:t xml:space="preserve">Figure 2. </w:t>
      </w:r>
      <w:r>
        <w:rPr>
          <w:i/>
          <w:iCs/>
          <w:sz w:val="20"/>
          <w:szCs w:val="20"/>
        </w:rPr>
        <w:t xml:space="preserve">Absolute </w:t>
      </w:r>
      <w:proofErr w:type="spellStart"/>
      <w:r>
        <w:rPr>
          <w:i/>
          <w:iCs/>
          <w:sz w:val="20"/>
          <w:szCs w:val="20"/>
        </w:rPr>
        <w:t>UniFrac</w:t>
      </w:r>
      <w:proofErr w:type="spellEnd"/>
      <w:r w:rsidRPr="001061A5">
        <w:rPr>
          <w:i/>
          <w:iCs/>
          <w:sz w:val="20"/>
          <w:szCs w:val="20"/>
        </w:rPr>
        <w:t xml:space="preserve"> </w:t>
      </w:r>
      <w:r>
        <w:rPr>
          <w:i/>
          <w:iCs/>
          <w:sz w:val="20"/>
          <w:szCs w:val="20"/>
        </w:rPr>
        <w:t>(</w:t>
      </w:r>
      <w:r w:rsidRPr="001061A5">
        <w:rPr>
          <w:i/>
          <w:iCs/>
          <w:sz w:val="20"/>
          <w:szCs w:val="20"/>
        </w:rPr>
        <w:t>U</w:t>
      </w:r>
      <w:r w:rsidRPr="001061A5">
        <w:rPr>
          <w:i/>
          <w:iCs/>
          <w:sz w:val="20"/>
          <w:szCs w:val="20"/>
          <w:vertAlign w:val="superscript"/>
        </w:rPr>
        <w:t>A</w:t>
      </w:r>
      <w:r>
        <w:rPr>
          <w:i/>
          <w:iCs/>
          <w:sz w:val="20"/>
          <w:szCs w:val="20"/>
        </w:rPr>
        <w:t xml:space="preserve">) compared with </w:t>
      </w:r>
      <w:r w:rsidRPr="001061A5">
        <w:rPr>
          <w:i/>
          <w:iCs/>
          <w:sz w:val="20"/>
          <w:szCs w:val="20"/>
        </w:rPr>
        <w:t xml:space="preserve">other </w:t>
      </w:r>
      <w:r>
        <w:rPr>
          <w:i/>
          <w:iCs/>
          <w:sz w:val="20"/>
          <w:szCs w:val="20"/>
        </w:rPr>
        <w:sym w:font="Symbol" w:char="F062"/>
      </w:r>
      <w:r>
        <w:rPr>
          <w:i/>
          <w:iCs/>
          <w:sz w:val="20"/>
          <w:szCs w:val="20"/>
        </w:rPr>
        <w:t xml:space="preserve">-diversity </w:t>
      </w:r>
      <w:r w:rsidRPr="001061A5">
        <w:rPr>
          <w:i/>
          <w:iCs/>
          <w:sz w:val="20"/>
          <w:szCs w:val="20"/>
        </w:rPr>
        <w:t xml:space="preserve">metrics across </w:t>
      </w:r>
      <w:r>
        <w:rPr>
          <w:i/>
          <w:iCs/>
          <w:sz w:val="20"/>
          <w:szCs w:val="20"/>
        </w:rPr>
        <w:t xml:space="preserve">four </w:t>
      </w:r>
      <w:r w:rsidRPr="001061A5">
        <w:rPr>
          <w:i/>
          <w:iCs/>
          <w:sz w:val="20"/>
          <w:szCs w:val="20"/>
        </w:rPr>
        <w:t xml:space="preserve">real microbial </w:t>
      </w:r>
      <w:r>
        <w:rPr>
          <w:i/>
          <w:iCs/>
          <w:sz w:val="20"/>
          <w:szCs w:val="20"/>
        </w:rPr>
        <w:t>datasets</w:t>
      </w:r>
      <w:r w:rsidRPr="001061A5">
        <w:rPr>
          <w:i/>
          <w:iCs/>
          <w:sz w:val="20"/>
          <w:szCs w:val="20"/>
        </w:rPr>
        <w:t xml:space="preserve">. </w:t>
      </w:r>
      <w:r>
        <w:rPr>
          <w:sz w:val="20"/>
          <w:szCs w:val="20"/>
        </w:rPr>
        <w:t xml:space="preserve">Each panel shows pairwise sample distances for </w:t>
      </w:r>
      <w:r w:rsidRPr="001061A5">
        <w:rPr>
          <w:i/>
          <w:iCs/>
          <w:sz w:val="20"/>
          <w:szCs w:val="20"/>
        </w:rPr>
        <w:t>U</w:t>
      </w:r>
      <w:r w:rsidRPr="001061A5">
        <w:rPr>
          <w:i/>
          <w:iCs/>
          <w:sz w:val="20"/>
          <w:szCs w:val="20"/>
          <w:vertAlign w:val="superscript"/>
        </w:rPr>
        <w:t>A</w:t>
      </w:r>
      <w:r w:rsidRPr="001061A5">
        <w:rPr>
          <w:sz w:val="20"/>
          <w:szCs w:val="20"/>
        </w:rPr>
        <w:t xml:space="preserve"> </w:t>
      </w:r>
      <w:r>
        <w:rPr>
          <w:sz w:val="20"/>
          <w:szCs w:val="20"/>
        </w:rPr>
        <w:t xml:space="preserve">(x-axis) against </w:t>
      </w:r>
      <w:r w:rsidRPr="001061A5">
        <w:rPr>
          <w:sz w:val="20"/>
          <w:szCs w:val="20"/>
        </w:rPr>
        <w:t xml:space="preserve">another metric </w:t>
      </w:r>
      <w:r>
        <w:rPr>
          <w:sz w:val="20"/>
          <w:szCs w:val="20"/>
        </w:rPr>
        <w:t>(</w:t>
      </w:r>
      <w:r w:rsidRPr="001061A5">
        <w:rPr>
          <w:sz w:val="20"/>
          <w:szCs w:val="20"/>
        </w:rPr>
        <w:t>y-axis</w:t>
      </w:r>
      <w:r>
        <w:rPr>
          <w:sz w:val="20"/>
          <w:szCs w:val="20"/>
        </w:rPr>
        <w:t>)</w:t>
      </w:r>
      <w:r w:rsidRPr="001061A5">
        <w:rPr>
          <w:sz w:val="20"/>
          <w:szCs w:val="20"/>
        </w:rPr>
        <w:t xml:space="preserve">: </w:t>
      </w:r>
      <w:r>
        <w:rPr>
          <w:sz w:val="20"/>
          <w:szCs w:val="20"/>
        </w:rPr>
        <w:t>Bray-Curtis using relative abundance (</w:t>
      </w:r>
      <w:r w:rsidRPr="001061A5">
        <w:rPr>
          <w:i/>
          <w:iCs/>
          <w:sz w:val="20"/>
          <w:szCs w:val="20"/>
        </w:rPr>
        <w:t>BC</w:t>
      </w:r>
      <w:r w:rsidRPr="001061A5">
        <w:rPr>
          <w:i/>
          <w:iCs/>
          <w:sz w:val="20"/>
          <w:szCs w:val="20"/>
          <w:vertAlign w:val="superscript"/>
        </w:rPr>
        <w:t>R</w:t>
      </w:r>
      <w:r>
        <w:rPr>
          <w:sz w:val="20"/>
          <w:szCs w:val="20"/>
        </w:rPr>
        <w:t xml:space="preserve">, </w:t>
      </w:r>
      <w:r w:rsidRPr="001061A5">
        <w:rPr>
          <w:sz w:val="20"/>
          <w:szCs w:val="20"/>
        </w:rPr>
        <w:t>first column</w:t>
      </w:r>
      <w:r>
        <w:rPr>
          <w:sz w:val="20"/>
          <w:szCs w:val="20"/>
        </w:rPr>
        <w:t>)</w:t>
      </w:r>
      <w:r w:rsidRPr="001061A5">
        <w:rPr>
          <w:sz w:val="20"/>
          <w:szCs w:val="20"/>
        </w:rPr>
        <w:t>,</w:t>
      </w:r>
      <w:r>
        <w:rPr>
          <w:sz w:val="20"/>
          <w:szCs w:val="20"/>
        </w:rPr>
        <w:t xml:space="preserve"> weighted </w:t>
      </w:r>
      <w:proofErr w:type="spellStart"/>
      <w:r>
        <w:rPr>
          <w:sz w:val="20"/>
          <w:szCs w:val="20"/>
        </w:rPr>
        <w:t>UniFrac</w:t>
      </w:r>
      <w:proofErr w:type="spellEnd"/>
      <w:r>
        <w:rPr>
          <w:sz w:val="20"/>
          <w:szCs w:val="20"/>
        </w:rPr>
        <w:t xml:space="preserve"> using relative abundances (</w:t>
      </w:r>
      <w:r w:rsidRPr="001061A5">
        <w:rPr>
          <w:i/>
          <w:iCs/>
          <w:sz w:val="20"/>
          <w:szCs w:val="20"/>
        </w:rPr>
        <w:t>U</w:t>
      </w:r>
      <w:r w:rsidRPr="001061A5">
        <w:rPr>
          <w:i/>
          <w:iCs/>
          <w:sz w:val="20"/>
          <w:szCs w:val="20"/>
          <w:vertAlign w:val="superscript"/>
        </w:rPr>
        <w:t>R</w:t>
      </w:r>
      <w:r>
        <w:rPr>
          <w:sz w:val="20"/>
          <w:szCs w:val="20"/>
        </w:rPr>
        <w:t xml:space="preserve">, </w:t>
      </w:r>
      <w:r w:rsidRPr="001061A5">
        <w:rPr>
          <w:sz w:val="20"/>
          <w:szCs w:val="20"/>
        </w:rPr>
        <w:t>second</w:t>
      </w:r>
      <w:r>
        <w:rPr>
          <w:sz w:val="20"/>
          <w:szCs w:val="20"/>
        </w:rPr>
        <w:t xml:space="preserve"> column)</w:t>
      </w:r>
      <w:r w:rsidRPr="001061A5">
        <w:rPr>
          <w:sz w:val="20"/>
          <w:szCs w:val="20"/>
        </w:rPr>
        <w:t>, and</w:t>
      </w:r>
      <w:r>
        <w:rPr>
          <w:sz w:val="20"/>
          <w:szCs w:val="20"/>
        </w:rPr>
        <w:t xml:space="preserve"> Bray-</w:t>
      </w:r>
      <w:proofErr w:type="spellStart"/>
      <w:r>
        <w:rPr>
          <w:sz w:val="20"/>
          <w:szCs w:val="20"/>
        </w:rPr>
        <w:t>curtis</w:t>
      </w:r>
      <w:proofErr w:type="spellEnd"/>
      <w:r>
        <w:rPr>
          <w:sz w:val="20"/>
          <w:szCs w:val="20"/>
        </w:rPr>
        <w:t xml:space="preserve"> using absolute abundances (</w:t>
      </w:r>
      <w:r w:rsidRPr="001061A5">
        <w:rPr>
          <w:i/>
          <w:iCs/>
          <w:sz w:val="20"/>
          <w:szCs w:val="20"/>
        </w:rPr>
        <w:t>BC</w:t>
      </w:r>
      <w:r w:rsidRPr="001061A5">
        <w:rPr>
          <w:i/>
          <w:iCs/>
          <w:sz w:val="20"/>
          <w:szCs w:val="20"/>
          <w:vertAlign w:val="superscript"/>
        </w:rPr>
        <w:t>A</w:t>
      </w:r>
      <w:r>
        <w:rPr>
          <w:sz w:val="20"/>
          <w:szCs w:val="20"/>
        </w:rPr>
        <w:t xml:space="preserve">, </w:t>
      </w:r>
      <w:r w:rsidRPr="001061A5">
        <w:rPr>
          <w:sz w:val="20"/>
          <w:szCs w:val="20"/>
        </w:rPr>
        <w:t>third</w:t>
      </w:r>
      <w:r>
        <w:rPr>
          <w:sz w:val="20"/>
          <w:szCs w:val="20"/>
        </w:rPr>
        <w:t xml:space="preserve"> column)</w:t>
      </w:r>
      <w:r w:rsidRPr="001061A5">
        <w:rPr>
          <w:sz w:val="20"/>
          <w:szCs w:val="20"/>
        </w:rPr>
        <w:t>. Contours in</w:t>
      </w:r>
      <w:r>
        <w:rPr>
          <w:sz w:val="20"/>
          <w:szCs w:val="20"/>
        </w:rPr>
        <w:t xml:space="preserve">dicate </w:t>
      </w:r>
      <w:r w:rsidRPr="001061A5">
        <w:rPr>
          <w:sz w:val="20"/>
          <w:szCs w:val="20"/>
        </w:rPr>
        <w:t xml:space="preserve">the </w:t>
      </w:r>
      <w:r>
        <w:rPr>
          <w:sz w:val="20"/>
          <w:szCs w:val="20"/>
        </w:rPr>
        <w:t xml:space="preserve">relative </w:t>
      </w:r>
      <w:r w:rsidRPr="001061A5">
        <w:rPr>
          <w:sz w:val="20"/>
          <w:szCs w:val="20"/>
        </w:rPr>
        <w:t xml:space="preserve">density of </w:t>
      </w:r>
      <w:r>
        <w:rPr>
          <w:sz w:val="20"/>
          <w:szCs w:val="20"/>
        </w:rPr>
        <w:t>pairwise comparisons (</w:t>
      </w:r>
      <w:r w:rsidRPr="001061A5">
        <w:rPr>
          <w:sz w:val="20"/>
          <w:szCs w:val="20"/>
        </w:rPr>
        <w:t xml:space="preserve">n </w:t>
      </w:r>
      <w:r>
        <w:rPr>
          <w:sz w:val="20"/>
          <w:szCs w:val="20"/>
        </w:rPr>
        <w:t xml:space="preserve">shown for </w:t>
      </w:r>
      <w:r w:rsidRPr="001061A5">
        <w:rPr>
          <w:sz w:val="20"/>
          <w:szCs w:val="20"/>
        </w:rPr>
        <w:t>each dataset</w:t>
      </w:r>
      <w:r>
        <w:rPr>
          <w:sz w:val="20"/>
          <w:szCs w:val="20"/>
        </w:rPr>
        <w:t>, left</w:t>
      </w:r>
      <w:r w:rsidRPr="001061A5">
        <w:rPr>
          <w:sz w:val="20"/>
          <w:szCs w:val="20"/>
        </w:rPr>
        <w:t xml:space="preserve">), with darker </w:t>
      </w:r>
      <w:r>
        <w:rPr>
          <w:sz w:val="20"/>
          <w:szCs w:val="20"/>
        </w:rPr>
        <w:t>shading</w:t>
      </w:r>
      <w:r w:rsidRPr="001061A5">
        <w:rPr>
          <w:sz w:val="20"/>
          <w:szCs w:val="20"/>
        </w:rPr>
        <w:t xml:space="preserve"> corresponding to more observations. The</w:t>
      </w:r>
      <w:r>
        <w:rPr>
          <w:sz w:val="20"/>
          <w:szCs w:val="20"/>
        </w:rPr>
        <w:t xml:space="preserve"> dashed line marks the </w:t>
      </w:r>
      <w:r w:rsidRPr="001061A5">
        <w:rPr>
          <w:sz w:val="20"/>
          <w:szCs w:val="20"/>
        </w:rPr>
        <w:t xml:space="preserve">1:1 </w:t>
      </w:r>
      <w:r>
        <w:rPr>
          <w:sz w:val="20"/>
          <w:szCs w:val="20"/>
        </w:rPr>
        <w:t xml:space="preserve">relationship. Points </w:t>
      </w:r>
      <w:r w:rsidRPr="001061A5">
        <w:rPr>
          <w:sz w:val="20"/>
          <w:szCs w:val="20"/>
        </w:rPr>
        <w:t>above the line</w:t>
      </w:r>
      <w:r>
        <w:rPr>
          <w:sz w:val="20"/>
          <w:szCs w:val="20"/>
        </w:rPr>
        <w:t xml:space="preserve"> indicate cases where</w:t>
      </w:r>
      <w:r w:rsidRPr="001061A5">
        <w:rPr>
          <w:sz w:val="20"/>
          <w:szCs w:val="20"/>
        </w:rPr>
        <w:t xml:space="preserve"> </w:t>
      </w:r>
      <w:r w:rsidRPr="001061A5">
        <w:rPr>
          <w:i/>
          <w:iCs/>
          <w:sz w:val="20"/>
          <w:szCs w:val="20"/>
        </w:rPr>
        <w:t>U</w:t>
      </w:r>
      <w:r w:rsidRPr="001061A5">
        <w:rPr>
          <w:i/>
          <w:iCs/>
          <w:sz w:val="20"/>
          <w:szCs w:val="20"/>
          <w:vertAlign w:val="superscript"/>
        </w:rPr>
        <w:t>A</w:t>
      </w:r>
      <w:r w:rsidRPr="001061A5">
        <w:rPr>
          <w:sz w:val="20"/>
          <w:szCs w:val="20"/>
        </w:rPr>
        <w:t xml:space="preserve"> </w:t>
      </w:r>
      <w:r>
        <w:rPr>
          <w:sz w:val="20"/>
          <w:szCs w:val="20"/>
        </w:rPr>
        <w:t xml:space="preserve">is smaller than the comparator metric, while points below the line indicate cases where </w:t>
      </w:r>
      <w:r w:rsidRPr="00B926F8">
        <w:rPr>
          <w:i/>
          <w:iCs/>
          <w:sz w:val="20"/>
          <w:szCs w:val="20"/>
        </w:rPr>
        <w:t>U</w:t>
      </w:r>
      <w:r w:rsidRPr="00B926F8">
        <w:rPr>
          <w:i/>
          <w:iCs/>
          <w:sz w:val="20"/>
          <w:szCs w:val="20"/>
          <w:vertAlign w:val="superscript"/>
        </w:rPr>
        <w:t>A</w:t>
      </w:r>
      <w:r w:rsidRPr="00B926F8">
        <w:rPr>
          <w:sz w:val="20"/>
          <w:szCs w:val="20"/>
        </w:rPr>
        <w:t xml:space="preserve"> </w:t>
      </w:r>
      <w:r>
        <w:rPr>
          <w:sz w:val="20"/>
          <w:szCs w:val="20"/>
        </w:rPr>
        <w:t>is larger.</w:t>
      </w:r>
    </w:p>
    <w:p w14:paraId="0A11A17D" w14:textId="532E8CE9" w:rsidR="00CA4E44" w:rsidRDefault="00CA4E44" w:rsidP="006A381E">
      <w:pPr>
        <w:spacing w:line="240" w:lineRule="auto"/>
        <w:ind w:firstLine="720"/>
      </w:pPr>
      <w:r>
        <w:t>We first calculated four</w:t>
      </w:r>
      <w:r w:rsidRPr="001061A5">
        <w:t xml:space="preserve"> β-diversity</w:t>
      </w:r>
      <w:r>
        <w:t xml:space="preserve"> metrics for all sample pairs in each dataset and compared them to </w:t>
      </w:r>
      <w:r>
        <w:rPr>
          <w:i/>
          <w:iCs/>
        </w:rPr>
        <w:t>U</w:t>
      </w:r>
      <w:r>
        <w:rPr>
          <w:i/>
          <w:iCs/>
          <w:vertAlign w:val="superscript"/>
        </w:rPr>
        <w:t>A</w:t>
      </w:r>
      <w:r>
        <w:t xml:space="preserve"> (Fig. 2). The degree of concordance </w:t>
      </w:r>
      <w:r w:rsidRPr="006B42C1">
        <w:t xml:space="preserve">between </w:t>
      </w:r>
      <w:r>
        <w:rPr>
          <w:i/>
          <w:iCs/>
        </w:rPr>
        <w:t>U</w:t>
      </w:r>
      <w:r>
        <w:rPr>
          <w:i/>
          <w:iCs/>
          <w:vertAlign w:val="superscript"/>
        </w:rPr>
        <w:t>A</w:t>
      </w:r>
      <w:r>
        <w:t xml:space="preserve"> and other metrics was</w:t>
      </w:r>
      <w:r w:rsidRPr="006B42C1">
        <w:t xml:space="preserve"> highly context dependent</w:t>
      </w:r>
      <w:r w:rsidRPr="001061A5">
        <w:rPr>
          <w:i/>
          <w:iCs/>
        </w:rPr>
        <w:t xml:space="preserve">. </w:t>
      </w:r>
      <w:r>
        <w:t xml:space="preserve">In the cooling water dataset, </w:t>
      </w:r>
      <w:r>
        <w:rPr>
          <w:i/>
          <w:iCs/>
        </w:rPr>
        <w:t>U</w:t>
      </w:r>
      <w:r>
        <w:rPr>
          <w:i/>
          <w:iCs/>
          <w:vertAlign w:val="superscript"/>
        </w:rPr>
        <w:t>A</w:t>
      </w:r>
      <w:r>
        <w:rPr>
          <w:i/>
          <w:iCs/>
        </w:rPr>
        <w:t xml:space="preserve"> </w:t>
      </w:r>
      <w:r>
        <w:t xml:space="preserve">closely tracked all three alternatives, whereas in the remaining systems it diverged substantially. </w:t>
      </w:r>
      <w:r>
        <w:rPr>
          <w:i/>
          <w:iCs/>
        </w:rPr>
        <w:t>U</w:t>
      </w:r>
      <w:r>
        <w:rPr>
          <w:i/>
          <w:iCs/>
          <w:vertAlign w:val="superscript"/>
        </w:rPr>
        <w:t>A</w:t>
      </w:r>
      <w:r>
        <w:t xml:space="preserve"> also spanned a similar or wider </w:t>
      </w:r>
      <w:r>
        <w:lastRenderedPageBreak/>
        <w:t xml:space="preserve">range of distances than the other metrics. For example, in the soil dataset </w:t>
      </w:r>
      <w:r>
        <w:rPr>
          <w:i/>
          <w:iCs/>
        </w:rPr>
        <w:t>BC</w:t>
      </w:r>
      <w:r>
        <w:rPr>
          <w:i/>
          <w:iCs/>
          <w:vertAlign w:val="superscript"/>
        </w:rPr>
        <w:t>R</w:t>
      </w:r>
      <w:r>
        <w:rPr>
          <w:i/>
          <w:iCs/>
        </w:rPr>
        <w:t xml:space="preserve"> </w:t>
      </w:r>
      <w:r>
        <w:t xml:space="preserve">and </w:t>
      </w:r>
      <w:r>
        <w:rPr>
          <w:i/>
          <w:iCs/>
        </w:rPr>
        <w:t>U</w:t>
      </w:r>
      <w:r>
        <w:rPr>
          <w:i/>
          <w:iCs/>
          <w:vertAlign w:val="superscript"/>
        </w:rPr>
        <w:t>R</w:t>
      </w:r>
      <w:r>
        <w:t xml:space="preserve"> occupied a narrow range relative to the broad separation observed under </w:t>
      </w:r>
      <w:r>
        <w:rPr>
          <w:i/>
          <w:iCs/>
        </w:rPr>
        <w:t>U</w:t>
      </w:r>
      <w:r>
        <w:rPr>
          <w:i/>
          <w:iCs/>
          <w:vertAlign w:val="superscript"/>
        </w:rPr>
        <w:t>A</w:t>
      </w:r>
      <w:r>
        <w:rPr>
          <w:i/>
          <w:iCs/>
        </w:rPr>
        <w:t>.</w:t>
      </w:r>
    </w:p>
    <w:p w14:paraId="6CC29618" w14:textId="77777777" w:rsidR="00CA4E44" w:rsidRDefault="00CA4E44" w:rsidP="006A381E">
      <w:pPr>
        <w:spacing w:line="240" w:lineRule="auto"/>
        <w:ind w:firstLine="720"/>
      </w:pPr>
      <w:r>
        <w:rPr>
          <w:i/>
          <w:iCs/>
        </w:rPr>
        <w:t>U</w:t>
      </w:r>
      <w:r>
        <w:rPr>
          <w:i/>
          <w:iCs/>
          <w:vertAlign w:val="superscript"/>
        </w:rPr>
        <w:t>A</w:t>
      </w:r>
      <w:r>
        <w:rPr>
          <w:i/>
          <w:iCs/>
        </w:rPr>
        <w:t xml:space="preserve"> </w:t>
      </w:r>
      <w:r>
        <w:t xml:space="preserve">generally reported distances that were </w:t>
      </w:r>
      <w:proofErr w:type="gramStart"/>
      <w:r>
        <w:t>similar to</w:t>
      </w:r>
      <w:proofErr w:type="gramEnd"/>
      <w:r>
        <w:t xml:space="preserve"> or greater than </w:t>
      </w:r>
      <w:r>
        <w:rPr>
          <w:i/>
          <w:iCs/>
        </w:rPr>
        <w:t>U</w:t>
      </w:r>
      <w:r>
        <w:rPr>
          <w:i/>
          <w:iCs/>
          <w:vertAlign w:val="superscript"/>
        </w:rPr>
        <w:t>R</w:t>
      </w:r>
      <w:r>
        <w:rPr>
          <w:i/>
          <w:iCs/>
        </w:rPr>
        <w:t xml:space="preserve">, </w:t>
      </w:r>
      <w:r>
        <w:t xml:space="preserve">consistent with the simulations shown in Fig. 1B. This reflects the ability of </w:t>
      </w:r>
      <w:r>
        <w:rPr>
          <w:i/>
          <w:iCs/>
        </w:rPr>
        <w:t>U</w:t>
      </w:r>
      <w:r>
        <w:rPr>
          <w:i/>
          <w:iCs/>
          <w:vertAlign w:val="superscript"/>
        </w:rPr>
        <w:t>A</w:t>
      </w:r>
      <w:r>
        <w:rPr>
          <w:i/>
          <w:iCs/>
        </w:rPr>
        <w:t xml:space="preserve"> </w:t>
      </w:r>
      <w:r>
        <w:t xml:space="preserve">to discern dissimilarity due to differences in microbial load, even when community composition is conserved. In contrast, </w:t>
      </w:r>
      <w:r>
        <w:rPr>
          <w:i/>
          <w:iCs/>
        </w:rPr>
        <w:t>U</w:t>
      </w:r>
      <w:r>
        <w:rPr>
          <w:i/>
          <w:iCs/>
          <w:vertAlign w:val="superscript"/>
        </w:rPr>
        <w:t>A</w:t>
      </w:r>
      <w:r>
        <w:rPr>
          <w:i/>
          <w:iCs/>
        </w:rPr>
        <w:t xml:space="preserve"> </w:t>
      </w:r>
      <w:r>
        <w:t xml:space="preserve">yielded distances that were </w:t>
      </w:r>
      <w:proofErr w:type="gramStart"/>
      <w:r>
        <w:t>similar to</w:t>
      </w:r>
      <w:proofErr w:type="gramEnd"/>
      <w:r>
        <w:t xml:space="preserve"> or lower than </w:t>
      </w:r>
      <w:r>
        <w:rPr>
          <w:i/>
          <w:iCs/>
        </w:rPr>
        <w:t>BC</w:t>
      </w:r>
      <w:r>
        <w:rPr>
          <w:i/>
          <w:iCs/>
          <w:vertAlign w:val="superscript"/>
        </w:rPr>
        <w:t>A</w:t>
      </w:r>
      <w:r>
        <w:rPr>
          <w:i/>
          <w:iCs/>
        </w:rPr>
        <w:t xml:space="preserve">, </w:t>
      </w:r>
      <w:r>
        <w:t xml:space="preserve">again matching the simulated behavior in Fig 1B. In these cases, phylogenetic proximity between abundant, </w:t>
      </w:r>
      <w:proofErr w:type="gramStart"/>
      <w:r>
        <w:t>closely-related</w:t>
      </w:r>
      <w:proofErr w:type="gramEnd"/>
      <w:r>
        <w:t xml:space="preserve"> ASVs leads </w:t>
      </w:r>
      <w:r>
        <w:rPr>
          <w:i/>
          <w:iCs/>
        </w:rPr>
        <w:t>U</w:t>
      </w:r>
      <w:r>
        <w:rPr>
          <w:i/>
          <w:iCs/>
          <w:vertAlign w:val="superscript"/>
        </w:rPr>
        <w:t>A</w:t>
      </w:r>
      <w:r>
        <w:t xml:space="preserve"> to register greater similarity than </w:t>
      </w:r>
      <w:r>
        <w:rPr>
          <w:i/>
          <w:iCs/>
        </w:rPr>
        <w:t>BC</w:t>
      </w:r>
      <w:r>
        <w:rPr>
          <w:i/>
          <w:iCs/>
          <w:vertAlign w:val="superscript"/>
        </w:rPr>
        <w:t>A</w:t>
      </w:r>
      <w:r>
        <w:rPr>
          <w:i/>
          <w:iCs/>
        </w:rPr>
        <w:t>.</w:t>
      </w:r>
    </w:p>
    <w:p w14:paraId="0004FF8C" w14:textId="7505EE4E" w:rsidR="00CA4E44" w:rsidRDefault="00CA4E44" w:rsidP="006A381E">
      <w:pPr>
        <w:spacing w:line="240" w:lineRule="auto"/>
        <w:ind w:firstLine="720"/>
        <w:rPr>
          <w:rFonts w:eastAsiaTheme="minorEastAsia"/>
        </w:rPr>
      </w:pPr>
      <w:r>
        <w:t>Given these differences, we next quantified how well each metric discriminates among categorical sample groups. For each dataset, we ran PERMANOVAs to measure the proportion of variance (</w:t>
      </w:r>
      <w:r w:rsidRPr="001061A5">
        <w:rPr>
          <w:i/>
          <w:iCs/>
        </w:rPr>
        <w:t>R</w:t>
      </w:r>
      <w:r w:rsidRPr="001061A5">
        <w:rPr>
          <w:i/>
          <w:iCs/>
          <w:vertAlign w:val="superscript"/>
        </w:rPr>
        <w:t>2</w:t>
      </w:r>
      <w:r>
        <w:t>) and statistical power (</w:t>
      </w:r>
      <w:r w:rsidRPr="001061A5">
        <w:rPr>
          <w:i/>
          <w:iCs/>
        </w:rPr>
        <w:t>pseudo-F</w:t>
      </w:r>
      <w:r>
        <w:rPr>
          <w:i/>
          <w:iCs/>
        </w:rPr>
        <w:t>, p-</w:t>
      </w:r>
      <w:r w:rsidRPr="001061A5">
        <w:t>value</w:t>
      </w:r>
      <w:r>
        <w:t xml:space="preserve">) attributable to group structure, using groupings that were determined to be significant in the original publications. To evaluate how strongly absolute abundance contributed to this discrimination, we also calculated </w:t>
      </w:r>
      <w:r>
        <w:rPr>
          <w:i/>
          <w:iCs/>
        </w:rPr>
        <w:t>GU</w:t>
      </w:r>
      <w:r>
        <w:rPr>
          <w:i/>
          <w:iCs/>
          <w:vertAlign w:val="superscript"/>
        </w:rPr>
        <w:t>A</w:t>
      </w:r>
      <w:r>
        <w:rPr>
          <w:i/>
          <w:iCs/>
        </w:rPr>
        <w:t xml:space="preserve"> </w:t>
      </w:r>
      <w:r>
        <w:t xml:space="preserve">across a range of </w:t>
      </w:r>
      <m:oMath>
        <m:r>
          <w:rPr>
            <w:rFonts w:ascii="Cambria Math" w:hAnsi="Cambria Math"/>
          </w:rPr>
          <m:t>α</m:t>
        </m:r>
      </m:oMath>
      <w:r>
        <w:rPr>
          <w:rFonts w:eastAsiaTheme="minorEastAsia"/>
        </w:rPr>
        <w:t xml:space="preserve"> values. The resulting </w:t>
      </w:r>
      <w:r>
        <w:rPr>
          <w:rFonts w:eastAsiaTheme="minorEastAsia"/>
          <w:i/>
          <w:iCs/>
        </w:rPr>
        <w:t>R</w:t>
      </w:r>
      <w:r>
        <w:rPr>
          <w:rFonts w:eastAsiaTheme="minorEastAsia"/>
          <w:i/>
          <w:iCs/>
          <w:vertAlign w:val="superscript"/>
        </w:rPr>
        <w:t>2</w:t>
      </w:r>
      <w:r>
        <w:rPr>
          <w:rFonts w:eastAsiaTheme="minorEastAsia"/>
        </w:rPr>
        <w:t xml:space="preserve"> values are displayed in Fig. 3A, with the corresponding </w:t>
      </w:r>
      <w:r>
        <w:rPr>
          <w:rFonts w:eastAsiaTheme="minorEastAsia"/>
          <w:i/>
          <w:iCs/>
        </w:rPr>
        <w:t xml:space="preserve">pseudo-F </w:t>
      </w:r>
      <w:r>
        <w:rPr>
          <w:rFonts w:eastAsiaTheme="minorEastAsia"/>
        </w:rPr>
        <w:t xml:space="preserve">statistics and </w:t>
      </w:r>
      <w:r>
        <w:rPr>
          <w:rFonts w:eastAsiaTheme="minorEastAsia"/>
          <w:i/>
          <w:iCs/>
        </w:rPr>
        <w:t>p</w:t>
      </w:r>
      <w:r>
        <w:rPr>
          <w:rFonts w:eastAsiaTheme="minorEastAsia"/>
        </w:rPr>
        <w:t xml:space="preserve">-values provided in Fig. S2. </w:t>
      </w:r>
    </w:p>
    <w:p w14:paraId="772E1E7B" w14:textId="0062F88D" w:rsidR="00CA4E44" w:rsidRDefault="00CA4E44" w:rsidP="006A381E">
      <w:pPr>
        <w:spacing w:line="240" w:lineRule="auto"/>
        <w:rPr>
          <w:rFonts w:eastAsiaTheme="minorEastAsia"/>
        </w:rPr>
      </w:pPr>
      <w:r>
        <w:rPr>
          <w:rFonts w:eastAsiaTheme="minorEastAsia"/>
        </w:rPr>
        <w:t>As in Fig. 2, the performance of each metric was strongly context dependent (Fig. 3A). In the mouse gut and freshwater datasets, absolute-abundance-aware metrics (</w:t>
      </w:r>
      <w:r>
        <w:rPr>
          <w:rFonts w:eastAsiaTheme="minorEastAsia"/>
          <w:i/>
          <w:iCs/>
        </w:rPr>
        <w:t>BC</w:t>
      </w:r>
      <w:r>
        <w:rPr>
          <w:rFonts w:eastAsiaTheme="minorEastAsia"/>
          <w:i/>
          <w:iCs/>
          <w:vertAlign w:val="superscript"/>
        </w:rPr>
        <w:t>A</w:t>
      </w:r>
      <w:r>
        <w:rPr>
          <w:rFonts w:eastAsiaTheme="minorEastAsia"/>
          <w:i/>
          <w:iCs/>
        </w:rPr>
        <w:t xml:space="preserve"> </w:t>
      </w:r>
      <w:r>
        <w:rPr>
          <w:rFonts w:eastAsiaTheme="minorEastAsia"/>
        </w:rPr>
        <w:t>and</w:t>
      </w:r>
      <w:r>
        <w:rPr>
          <w:rFonts w:eastAsiaTheme="minorEastAsia"/>
          <w:i/>
          <w:iCs/>
        </w:rPr>
        <w:t xml:space="preserve"> GU</w:t>
      </w:r>
      <w:r>
        <w:rPr>
          <w:rFonts w:eastAsiaTheme="minorEastAsia"/>
          <w:i/>
          <w:iCs/>
          <w:vertAlign w:val="superscript"/>
        </w:rPr>
        <w:t>A</w:t>
      </w:r>
      <w:r>
        <w:rPr>
          <w:rFonts w:eastAsiaTheme="minorEastAsia"/>
        </w:rPr>
        <w:t>) explained the greatest proportion of variance (</w:t>
      </w:r>
      <w:r>
        <w:rPr>
          <w:rFonts w:eastAsiaTheme="minorEastAsia"/>
          <w:i/>
          <w:iCs/>
        </w:rPr>
        <w:t>R</w:t>
      </w:r>
      <w:r>
        <w:rPr>
          <w:rFonts w:eastAsiaTheme="minorEastAsia"/>
          <w:i/>
          <w:iCs/>
          <w:vertAlign w:val="superscript"/>
        </w:rPr>
        <w:t>2</w:t>
      </w:r>
      <w:r>
        <w:rPr>
          <w:rFonts w:eastAsiaTheme="minorEastAsia"/>
          <w:iCs/>
        </w:rPr>
        <w:t xml:space="preserve">), and </w:t>
      </w:r>
      <w:r>
        <w:rPr>
          <w:rFonts w:eastAsiaTheme="minorEastAsia"/>
          <w:i/>
          <w:iCs/>
        </w:rPr>
        <w:t>R</w:t>
      </w:r>
      <w:r>
        <w:rPr>
          <w:rFonts w:eastAsiaTheme="minorEastAsia"/>
          <w:i/>
          <w:iCs/>
          <w:vertAlign w:val="superscript"/>
        </w:rPr>
        <w:t xml:space="preserve">2 </w:t>
      </w:r>
      <w:r>
        <w:rPr>
          <w:rFonts w:eastAsiaTheme="minorEastAsia"/>
        </w:rPr>
        <w:t xml:space="preserve">generally increasing as </w:t>
      </w:r>
      <m:oMath>
        <m:r>
          <w:rPr>
            <w:rFonts w:ascii="Cambria Math" w:hAnsi="Cambria Math"/>
          </w:rPr>
          <m:t>α</m:t>
        </m:r>
      </m:oMath>
      <w:r>
        <w:rPr>
          <w:rFonts w:eastAsiaTheme="minorEastAsia"/>
        </w:rPr>
        <w:t xml:space="preserve"> increased. In contrast, relative metrics captured more variation in the cooling water dataset (again at higher </w:t>
      </w:r>
      <m:oMath>
        <m:r>
          <w:rPr>
            <w:rFonts w:ascii="Cambria Math" w:hAnsi="Cambria Math"/>
          </w:rPr>
          <m:t>α)</m:t>
        </m:r>
      </m:oMath>
      <w:r>
        <w:rPr>
          <w:rFonts w:eastAsiaTheme="minorEastAsia"/>
        </w:rPr>
        <w:t xml:space="preserve">, and all metrics explained comparably little variance in the soil dataset. Taken at face value, these trends might suggest that higher </w:t>
      </w:r>
      <m:oMath>
        <m:r>
          <w:rPr>
            <w:rFonts w:ascii="Cambria Math" w:hAnsi="Cambria Math"/>
          </w:rPr>
          <m:t>α</m:t>
        </m:r>
      </m:oMath>
      <w:r>
        <w:rPr>
          <w:rFonts w:eastAsiaTheme="minorEastAsia"/>
        </w:rPr>
        <w:t xml:space="preserve"> values typically improve group differentiation. </w:t>
      </w:r>
    </w:p>
    <w:p w14:paraId="56080E16" w14:textId="76308881" w:rsidR="00CA4E44" w:rsidRDefault="00CA4E44" w:rsidP="00B25A30">
      <w:pPr>
        <w:spacing w:line="240" w:lineRule="auto"/>
        <w:ind w:firstLine="720"/>
      </w:pPr>
      <w:r>
        <w:rPr>
          <w:rFonts w:eastAsiaTheme="minorEastAsia"/>
        </w:rPr>
        <w:t xml:space="preserve">However, this comes with a major caveat: </w:t>
      </w:r>
      <w:r w:rsidRPr="0007048F">
        <w:t xml:space="preserve">at high </w:t>
      </w:r>
      <w:bookmarkStart w:id="3" w:name="_Hlk214542613"/>
      <m:oMath>
        <m:r>
          <w:rPr>
            <w:rFonts w:ascii="Cambria Math" w:hAnsi="Cambria Math"/>
          </w:rPr>
          <m:t>α</m:t>
        </m:r>
      </m:oMath>
      <w:bookmarkEnd w:id="3"/>
      <w:r w:rsidRPr="0007048F">
        <w:t xml:space="preserve"> values,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bec</w:t>
      </w:r>
      <w:r>
        <w:t>o</w:t>
      </w:r>
      <w:r w:rsidRPr="0007048F">
        <w:t>me</w:t>
      </w:r>
      <w:r>
        <w:t>s</w:t>
      </w:r>
      <w:r w:rsidRPr="0007048F">
        <w:t xml:space="preserve"> strongly correlated with total cell count alone (Fig. </w:t>
      </w:r>
      <w:r>
        <w:t>3B</w:t>
      </w:r>
      <w:r w:rsidRPr="0007048F">
        <w:t xml:space="preserve">). Mantel tests </w:t>
      </w:r>
      <w:r>
        <w:t>confirmed</w:t>
      </w:r>
      <w:r w:rsidRPr="0007048F">
        <w:t xml:space="preserve"> that absolute</w:t>
      </w:r>
      <w:r>
        <w:t xml:space="preserve">-abundance </w:t>
      </w:r>
      <w:r w:rsidRPr="0007048F">
        <w:t xml:space="preserve">metrics are </w:t>
      </w:r>
      <w:r>
        <w:t>far</w:t>
      </w:r>
      <w:r w:rsidRPr="0007048F">
        <w:t xml:space="preserve"> more sensitive to differences in </w:t>
      </w:r>
      <w:r>
        <w:t>microbial load</w:t>
      </w:r>
      <w:r w:rsidRPr="0007048F">
        <w:t xml:space="preserve"> than their relative counterparts. This </w:t>
      </w:r>
      <w:r>
        <w:t xml:space="preserve">behavior </w:t>
      </w:r>
      <w:r w:rsidRPr="0007048F">
        <w:t xml:space="preserve">is intuitive, and to </w:t>
      </w:r>
      <w:r>
        <w:t>some extent desirable,</w:t>
      </w:r>
      <w:r w:rsidRPr="0007048F">
        <w:t xml:space="preserve"> </w:t>
      </w:r>
      <w:r>
        <w:t xml:space="preserve">because </w:t>
      </w:r>
      <w:r w:rsidRPr="0007048F">
        <w:t xml:space="preserve">these metrics </w:t>
      </w:r>
      <w:r>
        <w:t>are designed</w:t>
      </w:r>
      <w:r w:rsidRPr="0007048F">
        <w:t xml:space="preserve"> to detect changes in </w:t>
      </w:r>
      <w:r>
        <w:t>microbial load</w:t>
      </w:r>
      <w:r w:rsidRPr="0007048F">
        <w:t xml:space="preserve"> even when composition remains constant. Yet at </w:t>
      </w:r>
      <m:oMath>
        <m:r>
          <w:rPr>
            <w:rFonts w:ascii="Cambria Math" w:hAnsi="Cambria Math"/>
          </w:rPr>
          <m:t>α</m:t>
        </m:r>
      </m:oMath>
      <w:r w:rsidRPr="0007048F">
        <w:t xml:space="preserve"> = 1,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t>approaches</w:t>
      </w:r>
      <w:r w:rsidRPr="0007048F">
        <w:t xml:space="preserve"> a proxy for sample </w:t>
      </w:r>
      <w:r>
        <w:t>absolute abundance itself</w:t>
      </w:r>
      <w:r w:rsidRPr="0007048F">
        <w:t>. In ordination space</w:t>
      </w:r>
      <w:r>
        <w:t xml:space="preserve"> (Fig. S3)</w:t>
      </w:r>
      <w:r w:rsidRPr="0007048F">
        <w:t xml:space="preserve">, this </w:t>
      </w:r>
      <w:r>
        <w:t>can cause</w:t>
      </w:r>
      <w:r w:rsidRPr="0007048F">
        <w:t xml:space="preserve"> Axis 1 </w:t>
      </w:r>
      <w:r>
        <w:t>to</w:t>
      </w:r>
      <w:r w:rsidRPr="0007048F">
        <w:t xml:space="preserve"> correlate with absolute abundance</w:t>
      </w:r>
      <w:r>
        <w:t xml:space="preserve"> and in some cases (freshwater and soil) produces strong horseshoe effects </w:t>
      </w:r>
      <w:r>
        <w:fldChar w:fldCharType="begin"/>
      </w:r>
      <w:r w:rsidR="00A20B2F">
        <w:instrText xml:space="preserve"> ADDIN ZOTERO_ITEM CSL_CITATION {"citationID":"aJLkmMWk","properties":{"formattedCitation":"[15]","plainCitation":"[15]","noteIndex":0},"citationItems":[{"id":2064,"uris":["http://zotero.org/groups/5077571/items/93267LKJ"],"itemData":{"id":2064,"type":"article-journal","abstract":"The horseshoe effect is a phenomenon that has long intrigued ecologists. The effect was commonly thought to be an artifact of dimensionality reduction, and multiple techniques were developed to unravel this phenomenon and simplify interpretation. Here, we provide evidence that horseshoes arise as a consequence of distance metrics that saturate—a familiar concept in other fields but new to microbial ecology. This saturation property loses information about community dissimilarity, simply because it cannot discriminate between samples that do not share any common features. The phenomenon illuminates niche differentiation in microbial communities and indicates species turnover along environmental gradients. Here we propose a rationale for the observed horseshoe effect from multiple dimensionality reduction techniques applied to simulations, soil samples, and samples from postmortem mice. An in-depth understanding of this phenomenon allows targeting of niche differentiation patterns from high-level ordination plots, which can guide conventional statistical tools to pinpoint microbial niches along environmental gradients.IMPORTANCE The horseshoe effect is often considered an artifact of dimensionality reduction. We show that this is not true in the case for microbiome data and that, in fact, horseshoes can help analysts discover microbial niches across environments.","container-title":"mSystems","DOI":"10.1128/msystems.00166-16","issue":"1","note":"publisher: American Society for Microbiology","page":"10.1128/msystems.00166-16","source":"journals.asm.org (Atypon)","title":"Uncovering the Horseshoe Effect in Microbial Analyses","volume":"2","author":[{"family":"Morton","given":"James T."},{"family":"Toran","given":"Liam"},{"family":"Edlund","given":"Anna"},{"family":"Metcalf","given":"Jessica L."},{"family":"Lauber","given":"Christian"},{"family":"Knight","given":"Rob"}],"issued":{"date-parts":[["2017",2,21]]},"citation-key":"mortonUncoveringHorseshoeEffect2017"}}],"schema":"https://github.com/citation-style-language/schema/raw/master/csl-citation.json"} </w:instrText>
      </w:r>
      <w:r>
        <w:fldChar w:fldCharType="separate"/>
      </w:r>
      <w:r w:rsidR="00A20B2F">
        <w:rPr>
          <w:noProof/>
        </w:rPr>
        <w:t>[15]</w:t>
      </w:r>
      <w:r>
        <w:fldChar w:fldCharType="end"/>
      </w:r>
      <w:r>
        <w:t xml:space="preserve">, </w:t>
      </w:r>
      <w:r w:rsidRPr="0007048F">
        <w:t>potentially distorting ecological interpretation</w:t>
      </w:r>
      <w:r>
        <w:rPr>
          <w:rFonts w:eastAsiaTheme="minorEastAsia"/>
        </w:rPr>
        <w:t>.</w:t>
      </w:r>
      <w:r w:rsidR="00210DF7">
        <w:rPr>
          <w:rFonts w:eastAsiaTheme="minorEastAsia"/>
        </w:rPr>
        <w:t xml:space="preserve"> </w:t>
      </w:r>
      <w:r w:rsidR="00B25A30">
        <w:rPr>
          <w:rFonts w:eastAsiaTheme="minorEastAsia"/>
        </w:rPr>
        <w:t xml:space="preserve">Beyond tuning </w:t>
      </w:r>
      <m:oMath>
        <m:r>
          <w:rPr>
            <w:rFonts w:ascii="Cambria Math" w:hAnsi="Cambria Math"/>
          </w:rPr>
          <m:t>α</m:t>
        </m:r>
      </m:oMath>
      <w:r w:rsidR="00B25A30">
        <w:rPr>
          <w:rFonts w:eastAsiaTheme="minorEastAsia"/>
        </w:rPr>
        <w:t xml:space="preserve"> to modify the influence of abundances, approaches such as NMDS or partial ordination can also be used to modulate the sensitivity of ordinations to microbial load </w:t>
      </w:r>
      <w:r w:rsidR="00B25A30">
        <w:rPr>
          <w:rFonts w:eastAsiaTheme="minorEastAsia"/>
        </w:rPr>
        <w:fldChar w:fldCharType="begin"/>
      </w:r>
      <w:r w:rsidR="00B25A30">
        <w:rPr>
          <w:rFonts w:eastAsiaTheme="minorEastAsia"/>
        </w:rPr>
        <w:instrText xml:space="preserve"> ADDIN ZOTERO_ITEM CSL_CITATION {"citationID":"UFCDz8wT","properties":{"formattedCitation":"[16]","plainCitation":"[16]","noteIndex":0},"citationItems":[{"id":2114,"uris":["http://zotero.org/groups/5077571/items/DZ3L3JDK"],"itemData":{"id":2114,"type":"article-journal","abstract":"Recent advances in high-throughput methods of molecular analyses have led to an explosion of studies generating large-scale ecological data sets. In particular, noticeable effect has been attained in the field of microbial ecology, where new experimental approaches provided in-depth assessments of the composition, functions and dynamic changes of complex microbial communities. Because even a single high-throughput experiment produces large amount of data, powerful statistical techniques of multivariate analysis are well suited to analyse and interpret these data sets. Many different multivariate techniques are available, and often it is not clear which method should be applied to a particular data set. In this review, we describe and compare the most widely used multivariate statistical techniques including exploratory, interpretive and discriminatory procedures. We consider several important limitations and assumptions of these methods, and we present examples of how these approaches have been utilized in recent studies to provide insight into the ecology of the microbial world. Finally, we offer suggestions for the selection of appropriate methods based on the research question and data set structure.","container-title":"Molecular Ecology","DOI":"10.1111/mec.13536","ISSN":"1365-294X","issue":"5","language":"en","license":"© 2016 John Wiley &amp; Sons Ltd","note":"_eprint: https://onlinelibrary.wiley.com/doi/pdf/10.1111/mec.13536","page":"1032-1057","source":"Wiley Online Library","title":"Application of multivariate statistical techniques in microbial ecology","volume":"25","author":[{"family":"Paliy","given":"O."},{"family":"Shankar","given":"V."}],"issued":{"date-parts":[["2016"]]},"citation-key":"paliyApplicationMultivariateStatistical2016"}}],"schema":"https://github.com/citation-style-language/schema/raw/master/csl-citation.json"} </w:instrText>
      </w:r>
      <w:r w:rsidR="00B25A30">
        <w:rPr>
          <w:rFonts w:eastAsiaTheme="minorEastAsia"/>
        </w:rPr>
        <w:fldChar w:fldCharType="separate"/>
      </w:r>
      <w:r w:rsidR="00B25A30">
        <w:rPr>
          <w:rFonts w:eastAsiaTheme="minorEastAsia"/>
          <w:noProof/>
        </w:rPr>
        <w:t>[16]</w:t>
      </w:r>
      <w:r w:rsidR="00B25A30">
        <w:rPr>
          <w:rFonts w:eastAsiaTheme="minorEastAsia"/>
        </w:rPr>
        <w:fldChar w:fldCharType="end"/>
      </w:r>
      <w:r w:rsidR="00B25A30">
        <w:rPr>
          <w:rFonts w:eastAsiaTheme="minorEastAsia"/>
        </w:rPr>
        <w:t>.</w:t>
      </w:r>
    </w:p>
    <w:p w14:paraId="14B5890C" w14:textId="2A3F1D73" w:rsidR="0007048F" w:rsidRDefault="0007048F" w:rsidP="006A381E">
      <w:pPr>
        <w:spacing w:line="240" w:lineRule="auto"/>
        <w:ind w:firstLine="720"/>
      </w:pPr>
    </w:p>
    <w:p w14:paraId="7FD12C05" w14:textId="0C7DADAE" w:rsidR="008A350F" w:rsidRDefault="0099506B" w:rsidP="006A381E">
      <w:pPr>
        <w:spacing w:line="240" w:lineRule="auto"/>
      </w:pPr>
      <w:r>
        <w:rPr>
          <w:noProof/>
        </w:rPr>
        <w:lastRenderedPageBreak/>
        <w:drawing>
          <wp:anchor distT="0" distB="0" distL="114300" distR="114300" simplePos="0" relativeHeight="251660288" behindDoc="0" locked="0" layoutInCell="1" allowOverlap="1" wp14:anchorId="0079D173" wp14:editId="6D1F0DC9">
            <wp:simplePos x="0" y="0"/>
            <wp:positionH relativeFrom="column">
              <wp:posOffset>-88900</wp:posOffset>
            </wp:positionH>
            <wp:positionV relativeFrom="paragraph">
              <wp:posOffset>101600</wp:posOffset>
            </wp:positionV>
            <wp:extent cx="5942330" cy="2492375"/>
            <wp:effectExtent l="0" t="0" r="1270" b="0"/>
            <wp:wrapSquare wrapText="bothSides"/>
            <wp:docPr id="14303456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45689"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330" cy="2492375"/>
                    </a:xfrm>
                    <a:prstGeom prst="rect">
                      <a:avLst/>
                    </a:prstGeom>
                  </pic:spPr>
                </pic:pic>
              </a:graphicData>
            </a:graphic>
            <wp14:sizeRelH relativeFrom="page">
              <wp14:pctWidth>0</wp14:pctWidth>
            </wp14:sizeRelH>
            <wp14:sizeRelV relativeFrom="page">
              <wp14:pctHeight>0</wp14:pctHeight>
            </wp14:sizeRelV>
          </wp:anchor>
        </w:drawing>
      </w:r>
      <w:r w:rsidR="00E32F80" w:rsidRPr="006A381E">
        <w:rPr>
          <w:i/>
          <w:iCs/>
          <w:sz w:val="20"/>
          <w:szCs w:val="20"/>
        </w:rPr>
        <w:t xml:space="preserve">Figure 3. </w:t>
      </w:r>
      <w:r w:rsidR="00CA4E44">
        <w:rPr>
          <w:i/>
          <w:iCs/>
          <w:sz w:val="20"/>
          <w:szCs w:val="20"/>
        </w:rPr>
        <w:t>D</w:t>
      </w:r>
      <w:r w:rsidR="00CA4E44" w:rsidRPr="001061A5">
        <w:rPr>
          <w:i/>
          <w:iCs/>
          <w:sz w:val="20"/>
          <w:szCs w:val="20"/>
        </w:rPr>
        <w:t>iscriminat</w:t>
      </w:r>
      <w:r w:rsidR="00CA4E44">
        <w:rPr>
          <w:i/>
          <w:iCs/>
          <w:sz w:val="20"/>
          <w:szCs w:val="20"/>
        </w:rPr>
        <w:t>ory performance of U</w:t>
      </w:r>
      <w:r w:rsidR="00CA4E44" w:rsidRPr="001061A5">
        <w:rPr>
          <w:i/>
          <w:iCs/>
          <w:sz w:val="20"/>
          <w:szCs w:val="20"/>
          <w:vertAlign w:val="superscript"/>
        </w:rPr>
        <w:t>A</w:t>
      </w:r>
      <w:r w:rsidR="00CA4E44">
        <w:rPr>
          <w:i/>
          <w:iCs/>
          <w:sz w:val="20"/>
          <w:szCs w:val="20"/>
        </w:rPr>
        <w:t xml:space="preserve"> and related metrics across four microbial systems</w:t>
      </w:r>
      <w:r w:rsidR="00CA4E44" w:rsidRPr="001061A5">
        <w:rPr>
          <w:i/>
          <w:iCs/>
          <w:sz w:val="20"/>
          <w:szCs w:val="20"/>
        </w:rPr>
        <w:t xml:space="preserve">. </w:t>
      </w:r>
      <w:r w:rsidR="00CA4E44" w:rsidRPr="001061A5">
        <w:rPr>
          <w:sz w:val="20"/>
          <w:szCs w:val="20"/>
        </w:rPr>
        <w:t xml:space="preserve">(A) PERMANOVAs were </w:t>
      </w:r>
      <w:r w:rsidR="00CA4E44">
        <w:rPr>
          <w:sz w:val="20"/>
          <w:szCs w:val="20"/>
        </w:rPr>
        <w:t>used to quantify the percent variance (</w:t>
      </w:r>
      <w:r w:rsidR="00CA4E44" w:rsidRPr="001061A5">
        <w:rPr>
          <w:i/>
          <w:iCs/>
          <w:sz w:val="20"/>
          <w:szCs w:val="20"/>
        </w:rPr>
        <w:t>R</w:t>
      </w:r>
      <w:r w:rsidR="00CA4E44" w:rsidRPr="001061A5">
        <w:rPr>
          <w:i/>
          <w:iCs/>
          <w:sz w:val="20"/>
          <w:szCs w:val="20"/>
          <w:vertAlign w:val="superscript"/>
        </w:rPr>
        <w:t>2</w:t>
      </w:r>
      <w:r w:rsidR="00CA4E44">
        <w:rPr>
          <w:sz w:val="20"/>
          <w:szCs w:val="20"/>
        </w:rPr>
        <w:t xml:space="preserve">) explained by predefined </w:t>
      </w:r>
      <w:r w:rsidR="00CA4E44" w:rsidRPr="001061A5">
        <w:rPr>
          <w:sz w:val="20"/>
          <w:szCs w:val="20"/>
        </w:rPr>
        <w:t>categor</w:t>
      </w:r>
      <w:r w:rsidR="00CA4E44">
        <w:rPr>
          <w:sz w:val="20"/>
          <w:szCs w:val="20"/>
        </w:rPr>
        <w:t>ical</w:t>
      </w:r>
      <w:r w:rsidR="00CA4E44" w:rsidRPr="001061A5">
        <w:rPr>
          <w:sz w:val="20"/>
          <w:szCs w:val="20"/>
        </w:rPr>
        <w:t xml:space="preserve"> groups </w:t>
      </w:r>
      <w:r w:rsidR="00CA4E44">
        <w:rPr>
          <w:sz w:val="20"/>
          <w:szCs w:val="20"/>
        </w:rPr>
        <w:t>(shown in italics beneath each dataset name),</w:t>
      </w:r>
      <w:r w:rsidR="00CA4E44" w:rsidRPr="001061A5">
        <w:rPr>
          <w:sz w:val="20"/>
          <w:szCs w:val="20"/>
        </w:rPr>
        <w:t xml:space="preserve"> with 1,000 </w:t>
      </w:r>
      <w:r w:rsidR="00CA4E44">
        <w:rPr>
          <w:sz w:val="20"/>
          <w:szCs w:val="20"/>
        </w:rPr>
        <w:t>permutations</w:t>
      </w:r>
      <w:r w:rsidR="00CA4E44" w:rsidRPr="001061A5">
        <w:rPr>
          <w:sz w:val="20"/>
          <w:szCs w:val="20"/>
        </w:rPr>
        <w:t xml:space="preserve">. </w:t>
      </w:r>
      <w:r w:rsidR="00DB4875">
        <w:rPr>
          <w:sz w:val="20"/>
          <w:szCs w:val="20"/>
        </w:rPr>
        <w:t>PERMANOVA results</w:t>
      </w:r>
      <w:r w:rsidR="00CA4E44">
        <w:rPr>
          <w:sz w:val="20"/>
          <w:szCs w:val="20"/>
        </w:rPr>
        <w:t xml:space="preserve"> were evaluated</w:t>
      </w:r>
      <w:r w:rsidR="00CA4E44" w:rsidRPr="001061A5">
        <w:rPr>
          <w:sz w:val="20"/>
          <w:szCs w:val="20"/>
        </w:rPr>
        <w:t xml:space="preserve"> across five metrics and, where applicable, across eleven </w:t>
      </w:r>
      <m:oMath>
        <m:r>
          <w:rPr>
            <w:rFonts w:ascii="Cambria Math" w:hAnsi="Cambria Math"/>
            <w:sz w:val="20"/>
            <w:szCs w:val="20"/>
          </w:rPr>
          <m:t>α</m:t>
        </m:r>
      </m:oMath>
      <w:r w:rsidR="00CA4E44" w:rsidRPr="001061A5">
        <w:rPr>
          <w:rFonts w:eastAsiaTheme="minorEastAsia"/>
          <w:sz w:val="20"/>
          <w:szCs w:val="20"/>
        </w:rPr>
        <w:t xml:space="preserve"> values (0</w:t>
      </w:r>
      <w:r w:rsidR="00CA4E44">
        <w:rPr>
          <w:rFonts w:eastAsiaTheme="minorEastAsia"/>
          <w:sz w:val="20"/>
          <w:szCs w:val="20"/>
        </w:rPr>
        <w:t>-</w:t>
      </w:r>
      <w:r w:rsidR="00CA4E44" w:rsidRPr="001061A5">
        <w:rPr>
          <w:rFonts w:eastAsiaTheme="minorEastAsia"/>
          <w:sz w:val="20"/>
          <w:szCs w:val="20"/>
        </w:rPr>
        <w:t xml:space="preserve">1 in 0.1 </w:t>
      </w:r>
      <w:r w:rsidR="00CA4E44">
        <w:rPr>
          <w:rFonts w:eastAsiaTheme="minorEastAsia"/>
          <w:sz w:val="20"/>
          <w:szCs w:val="20"/>
        </w:rPr>
        <w:t>increments</w:t>
      </w:r>
      <w:r w:rsidR="00CA4E44" w:rsidRPr="001061A5">
        <w:rPr>
          <w:rFonts w:eastAsiaTheme="minorEastAsia"/>
          <w:sz w:val="20"/>
          <w:szCs w:val="20"/>
        </w:rPr>
        <w:t>).</w:t>
      </w:r>
      <w:r w:rsidR="00CA4E44">
        <w:rPr>
          <w:rFonts w:eastAsiaTheme="minorEastAsia"/>
          <w:sz w:val="20"/>
          <w:szCs w:val="20"/>
        </w:rPr>
        <w:t xml:space="preserve"> For consistency with the original studies, only samples from Reactor cycle 1 were used for the cooling-water dataset, only stool samples for the mouse gut dataset, and only mature rhizosphere samples for the </w:t>
      </w:r>
      <w:r w:rsidR="00210DF7">
        <w:rPr>
          <w:rFonts w:eastAsiaTheme="minorEastAsia"/>
          <w:sz w:val="20"/>
          <w:szCs w:val="20"/>
        </w:rPr>
        <w:t xml:space="preserve">soil </w:t>
      </w:r>
      <w:r w:rsidR="00CA4E44">
        <w:rPr>
          <w:rFonts w:eastAsiaTheme="minorEastAsia"/>
          <w:sz w:val="20"/>
          <w:szCs w:val="20"/>
        </w:rPr>
        <w:t>dataset</w:t>
      </w:r>
      <w:r w:rsidR="00210DF7">
        <w:rPr>
          <w:rFonts w:eastAsiaTheme="minorEastAsia"/>
          <w:sz w:val="20"/>
          <w:szCs w:val="20"/>
        </w:rPr>
        <w:t xml:space="preserve"> (no samples were excluded from the freshwater dataset)</w:t>
      </w:r>
      <w:r w:rsidR="00CA4E44">
        <w:rPr>
          <w:rFonts w:eastAsiaTheme="minorEastAsia"/>
          <w:sz w:val="20"/>
          <w:szCs w:val="20"/>
        </w:rPr>
        <w:t>.</w:t>
      </w:r>
      <w:r w:rsidR="00CA4E44" w:rsidRPr="001061A5">
        <w:rPr>
          <w:rFonts w:eastAsiaTheme="minorEastAsia"/>
          <w:sz w:val="20"/>
          <w:szCs w:val="20"/>
        </w:rPr>
        <w:t xml:space="preserve"> (B) </w:t>
      </w:r>
      <w:r w:rsidR="00CA4E44">
        <w:rPr>
          <w:rFonts w:eastAsiaTheme="minorEastAsia"/>
          <w:sz w:val="20"/>
          <w:szCs w:val="20"/>
        </w:rPr>
        <w:t>Mantel c</w:t>
      </w:r>
      <w:r w:rsidR="00CA4E44" w:rsidRPr="001061A5">
        <w:rPr>
          <w:rFonts w:eastAsiaTheme="minorEastAsia"/>
          <w:sz w:val="20"/>
          <w:szCs w:val="20"/>
        </w:rPr>
        <w:t xml:space="preserve">orrelation </w:t>
      </w:r>
      <w:r w:rsidR="00CA4E44">
        <w:rPr>
          <w:rFonts w:eastAsiaTheme="minorEastAsia"/>
          <w:sz w:val="20"/>
          <w:szCs w:val="20"/>
        </w:rPr>
        <w:t xml:space="preserve">(R) </w:t>
      </w:r>
      <w:r w:rsidR="00CA4E44" w:rsidRPr="001061A5">
        <w:rPr>
          <w:rFonts w:eastAsiaTheme="minorEastAsia"/>
          <w:sz w:val="20"/>
          <w:szCs w:val="20"/>
        </w:rPr>
        <w:t xml:space="preserve">between each distance metric and the </w:t>
      </w:r>
      <w:r w:rsidR="00CA4E44">
        <w:rPr>
          <w:rFonts w:eastAsiaTheme="minorEastAsia"/>
          <w:sz w:val="20"/>
          <w:szCs w:val="20"/>
        </w:rPr>
        <w:t xml:space="preserve">pairwise differences in </w:t>
      </w:r>
      <w:r w:rsidR="00CA4E44" w:rsidRPr="001061A5">
        <w:rPr>
          <w:rFonts w:eastAsiaTheme="minorEastAsia"/>
          <w:sz w:val="20"/>
          <w:szCs w:val="20"/>
        </w:rPr>
        <w:t xml:space="preserve">absolute </w:t>
      </w:r>
      <w:r w:rsidR="00CA4E44">
        <w:rPr>
          <w:rFonts w:eastAsiaTheme="minorEastAsia"/>
          <w:sz w:val="20"/>
          <w:szCs w:val="20"/>
        </w:rPr>
        <w:t>abundance (</w:t>
      </w:r>
      <w:r w:rsidR="00CA4E44" w:rsidRPr="001061A5">
        <w:rPr>
          <w:rFonts w:eastAsiaTheme="minorEastAsia"/>
          <w:sz w:val="20"/>
          <w:szCs w:val="20"/>
        </w:rPr>
        <w:t>cell counts or 16S copy number</w:t>
      </w:r>
      <w:r w:rsidR="00CA4E44">
        <w:rPr>
          <w:rFonts w:eastAsiaTheme="minorEastAsia"/>
          <w:sz w:val="20"/>
          <w:szCs w:val="20"/>
        </w:rPr>
        <w:t>), illustrating the degree to which each metric is driven by biomass differences</w:t>
      </w:r>
      <w:r w:rsidR="00CA4E44" w:rsidRPr="001061A5">
        <w:rPr>
          <w:rFonts w:eastAsiaTheme="minorEastAsia"/>
          <w:sz w:val="20"/>
          <w:szCs w:val="20"/>
        </w:rPr>
        <w:t>.</w:t>
      </w:r>
    </w:p>
    <w:p w14:paraId="4F0CD58C" w14:textId="3BAAEEDE" w:rsidR="008A350F" w:rsidRDefault="0007048F" w:rsidP="006A381E">
      <w:pPr>
        <w:spacing w:line="240" w:lineRule="auto"/>
        <w:ind w:firstLine="720"/>
      </w:pPr>
      <w:r w:rsidRPr="0007048F">
        <w:t xml:space="preserve">We </w:t>
      </w:r>
      <w:r w:rsidR="008A350F">
        <w:t xml:space="preserve">recommend calibrating </w:t>
      </w:r>
      <m:oMath>
        <m:r>
          <w:rPr>
            <w:rFonts w:ascii="Cambria Math" w:hAnsi="Cambria Math"/>
          </w:rPr>
          <m:t>α</m:t>
        </m:r>
      </m:oMath>
      <w:r w:rsidRPr="0007048F">
        <w:t xml:space="preserve"> based on research goals, </w:t>
      </w:r>
      <w:r w:rsidR="008A350F">
        <w:t xml:space="preserve">modulating </w:t>
      </w:r>
      <w:r w:rsidRPr="0007048F">
        <w:t>this effect</w:t>
      </w:r>
      <w:r w:rsidR="00F86279">
        <w:t xml:space="preserve"> by</w:t>
      </w:r>
      <w:r w:rsidRPr="0007048F">
        <w:t xml:space="preserve"> using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w:t>
      </w:r>
      <w:r w:rsidR="00F86279">
        <w:t>a</w:t>
      </w:r>
      <w:r w:rsidR="00AA63C5">
        <w:t>cross</w:t>
      </w:r>
      <w:r w:rsidR="00F86279">
        <w:t xml:space="preserve"> a range of </w:t>
      </w:r>
      <m:oMath>
        <m:r>
          <w:rPr>
            <w:rFonts w:ascii="Cambria Math" w:hAnsi="Cambria Math"/>
          </w:rPr>
          <m:t>α</m:t>
        </m:r>
      </m:oMath>
      <w:r w:rsidR="00F86279" w:rsidRPr="0007048F">
        <w:t xml:space="preserve"> </w:t>
      </w:r>
      <w:r w:rsidRPr="0007048F">
        <w:t>rather than</w:t>
      </w:r>
      <w:r w:rsidR="008A350F">
        <w:t xml:space="preserve"> relying on</w:t>
      </w:r>
      <w:r w:rsidRPr="0007048F">
        <w:t xml:space="preserve"> </w:t>
      </w:r>
      <m:oMath>
        <m:sSup>
          <m:sSupPr>
            <m:ctrlPr>
              <w:rPr>
                <w:rFonts w:ascii="Cambria Math" w:hAnsi="Cambria Math"/>
              </w:rPr>
            </m:ctrlPr>
          </m:sSupPr>
          <m:e>
            <m:r>
              <w:rPr>
                <w:rFonts w:ascii="Cambria Math" w:hAnsi="Cambria Math"/>
              </w:rPr>
              <m:t>U</m:t>
            </m:r>
          </m:e>
          <m:sup>
            <m:r>
              <w:rPr>
                <w:rFonts w:ascii="Cambria Math" w:hAnsi="Cambria Math"/>
              </w:rPr>
              <m:t>A</m:t>
            </m:r>
          </m:sup>
        </m:sSup>
      </m:oMath>
      <w:r w:rsidR="008A350F">
        <w:rPr>
          <w:rFonts w:eastAsiaTheme="minorEastAsia"/>
        </w:rPr>
        <w:t xml:space="preserve"> (</w:t>
      </w:r>
      <m:oMath>
        <m:r>
          <w:rPr>
            <w:rFonts w:ascii="Cambria Math" w:hAnsi="Cambria Math"/>
          </w:rPr>
          <m:t>α=1)</m:t>
        </m:r>
      </m:oMath>
      <w:r w:rsidRPr="0007048F">
        <w:t>.</w:t>
      </w:r>
      <w:r w:rsidR="008A350F">
        <w:t xml:space="preserve"> </w:t>
      </w:r>
      <w:r w:rsidRPr="0007048F">
        <w:t>Researchers should consider how much emphasis they want their dissimilarity metric to place on microbial load</w:t>
      </w:r>
      <w:r w:rsidR="008A350F">
        <w:t xml:space="preserve"> (Box 1)</w:t>
      </w:r>
      <w:r w:rsidRPr="0007048F">
        <w:t xml:space="preserve">. </w:t>
      </w:r>
      <w:r w:rsidR="008A350F">
        <w:t xml:space="preserve">When biomass differences are central to the hypothesis being tested (for example, detecting cyanobacterial blooms), high </w:t>
      </w:r>
      <m:oMath>
        <m:r>
          <w:rPr>
            <w:rFonts w:ascii="Cambria Math" w:hAnsi="Cambria Math"/>
          </w:rPr>
          <m:t>α</m:t>
        </m:r>
      </m:oMath>
      <w:r w:rsidR="008A350F">
        <w:rPr>
          <w:rFonts w:eastAsiaTheme="minorEastAsia"/>
        </w:rPr>
        <w:t xml:space="preserve"> are recommended. In contrast, if microbial load is irrelevant or independent of the hypothesis in question, low </w:t>
      </w:r>
      <m:oMath>
        <m:r>
          <w:rPr>
            <w:rFonts w:ascii="Cambria Math" w:hAnsi="Cambria Math"/>
          </w:rPr>
          <m:t>α</m:t>
        </m:r>
      </m:oMath>
      <w:r w:rsidR="008A350F">
        <w:rPr>
          <w:rFonts w:eastAsiaTheme="minorEastAsia"/>
        </w:rPr>
        <w:t xml:space="preserve"> (or </w:t>
      </w:r>
      <w:r w:rsidR="008A350F">
        <w:rPr>
          <w:i/>
          <w:iCs/>
        </w:rPr>
        <w:t>U</w:t>
      </w:r>
      <w:r w:rsidR="008A350F">
        <w:rPr>
          <w:i/>
          <w:iCs/>
          <w:vertAlign w:val="superscript"/>
        </w:rPr>
        <w:t>R</w:t>
      </w:r>
      <w:r w:rsidR="008A350F">
        <w:t xml:space="preserve">) may be preferred; for </w:t>
      </w:r>
      <w:proofErr w:type="gramStart"/>
      <w:r w:rsidR="008A350F">
        <w:t>example</w:t>
      </w:r>
      <w:proofErr w:type="gramEnd"/>
      <w:r w:rsidR="008A350F">
        <w:t xml:space="preserve"> in the soil dataset, fine-scale differences in composition may be obscured by random variation in microbial load. </w:t>
      </w:r>
    </w:p>
    <w:p w14:paraId="7133A012" w14:textId="602AEB1D" w:rsidR="0007048F" w:rsidRDefault="008A350F" w:rsidP="006A381E">
      <w:pPr>
        <w:spacing w:line="240" w:lineRule="auto"/>
        <w:ind w:firstLine="720"/>
      </w:pPr>
      <w:r>
        <w:t>In many systems, microbial biomass is one piece of the story, likely correlated to other variables being tested</w:t>
      </w:r>
      <w:r>
        <w:rPr>
          <w:rFonts w:eastAsiaTheme="minorEastAsia"/>
        </w:rPr>
        <w:t>.</w:t>
      </w:r>
      <w:r>
        <w:t xml:space="preserve"> If the importance of microbia</w:t>
      </w:r>
      <w:r w:rsidR="008E17D7">
        <w:t>l</w:t>
      </w:r>
      <w:r>
        <w:t xml:space="preserve"> load in the system is unknown, o</w:t>
      </w:r>
      <w:r w:rsidR="00042DC3">
        <w:t>ne potential approac</w:t>
      </w:r>
      <w:r>
        <w:t>h</w:t>
      </w:r>
      <w:r w:rsidR="00042DC3">
        <w:t xml:space="preserve"> is to calculate correlations as demonstrated in Fig. 3B and select an </w:t>
      </w:r>
      <m:oMath>
        <m:r>
          <w:rPr>
            <w:rFonts w:ascii="Cambria Math" w:hAnsi="Cambria Math"/>
          </w:rPr>
          <m:t>α</m:t>
        </m:r>
      </m:oMath>
      <w:r w:rsidR="00042DC3">
        <w:t xml:space="preserve"> prior to any ordinations or statistical testing. </w:t>
      </w:r>
      <w:r w:rsidR="00DB4875">
        <w:t xml:space="preserve">Again, correlation to cell count is valuable and is intrinsic to absolute abundance-aware measures, </w:t>
      </w:r>
      <w:r w:rsidR="00042DC3">
        <w:t>especially when microbial load is relevant to the hypotheses being tested. C</w:t>
      </w:r>
      <w:r w:rsidR="00F86279">
        <w:t xml:space="preserve">orrelations to cell count in </w:t>
      </w:r>
      <w:r w:rsidR="00F86279">
        <w:rPr>
          <w:i/>
          <w:iCs/>
        </w:rPr>
        <w:t>BC</w:t>
      </w:r>
      <w:r w:rsidR="00F86279">
        <w:rPr>
          <w:i/>
          <w:iCs/>
          <w:vertAlign w:val="superscript"/>
        </w:rPr>
        <w:t>A</w:t>
      </w:r>
      <w:r w:rsidR="00F86279">
        <w:rPr>
          <w:i/>
          <w:iCs/>
        </w:rPr>
        <w:t>,</w:t>
      </w:r>
      <w:r w:rsidR="00F86279">
        <w:t xml:space="preserve"> an accepted approach in the literature</w:t>
      </w:r>
      <w:r w:rsidR="00042DC3">
        <w:t>,</w:t>
      </w:r>
      <w:r w:rsidR="00F86279">
        <w:t xml:space="preserve"> range</w:t>
      </w:r>
      <w:r w:rsidR="00042DC3">
        <w:t>d</w:t>
      </w:r>
      <w:r w:rsidR="00F86279">
        <w:t xml:space="preserve"> from ~0.5 up to ~0.8</w:t>
      </w:r>
      <w:r w:rsidR="00042DC3">
        <w:t xml:space="preserve">. As a general recommendation from these analyses, we recommend </w:t>
      </w:r>
      <m:oMath>
        <m:r>
          <w:rPr>
            <w:rFonts w:ascii="Cambria Math" w:hAnsi="Cambria Math"/>
          </w:rPr>
          <m:t>α</m:t>
        </m:r>
      </m:oMath>
      <w:r w:rsidR="00042DC3">
        <w:t xml:space="preserve"> values in an intermediate range from 0.</w:t>
      </w:r>
      <w:r w:rsidR="008E17D7">
        <w:t>1</w:t>
      </w:r>
      <w:r w:rsidR="00042DC3">
        <w:t xml:space="preserve"> up to 0.</w:t>
      </w:r>
      <w:r w:rsidR="008E17D7">
        <w:t>6</w:t>
      </w:r>
      <w:r w:rsidR="00DB4875">
        <w:t xml:space="preserve">, wherein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00DB4875">
        <w:rPr>
          <w:rFonts w:eastAsiaTheme="minorEastAsia"/>
        </w:rPr>
        <w:t xml:space="preserve"> has similar correlation to cell count as </w:t>
      </w:r>
      <w:r w:rsidR="00DB4875">
        <w:rPr>
          <w:i/>
          <w:iCs/>
        </w:rPr>
        <w:t>BC</w:t>
      </w:r>
      <w:r w:rsidR="00DB4875">
        <w:rPr>
          <w:i/>
          <w:iCs/>
          <w:vertAlign w:val="superscript"/>
        </w:rPr>
        <w:t>A</w:t>
      </w:r>
      <w:r w:rsidR="00042DC3">
        <w:t>.</w:t>
      </w:r>
      <w:r w:rsidR="00B64A34" w:rsidRPr="0007048F" w:rsidDel="00B64A34">
        <w:t xml:space="preserve"> </w:t>
      </w:r>
    </w:p>
    <w:p w14:paraId="008924E5" w14:textId="7D4C7C7D" w:rsidR="008E17D7" w:rsidRPr="006A381E" w:rsidRDefault="008E17D7" w:rsidP="006A381E">
      <w:pPr>
        <w:spacing w:line="240" w:lineRule="auto"/>
        <w:rPr>
          <w:b/>
          <w:bCs/>
        </w:rPr>
      </w:pPr>
      <w:r>
        <w:rPr>
          <w:b/>
          <w:bCs/>
        </w:rPr>
        <w:t xml:space="preserve">Computational and Methodological Considerations </w:t>
      </w:r>
    </w:p>
    <w:p w14:paraId="190E19DD" w14:textId="77777777" w:rsidR="00B25A30" w:rsidRDefault="00B25A30" w:rsidP="00B25A30">
      <w:pPr>
        <w:spacing w:line="240" w:lineRule="auto"/>
        <w:ind w:firstLine="720"/>
      </w:pPr>
      <w:r>
        <w:t xml:space="preserve">Applying </w:t>
      </w:r>
      <w:r>
        <w:rPr>
          <w:i/>
          <w:iCs/>
        </w:rPr>
        <w:t>GU</w:t>
      </w:r>
      <w:r>
        <w:rPr>
          <w:i/>
          <w:iCs/>
          <w:vertAlign w:val="superscript"/>
        </w:rPr>
        <w:t>A</w:t>
      </w:r>
      <w:r>
        <w:t xml:space="preserve"> in practice raises several considerations related to sequencing depth, richness, and computational cost. Both Bray-Curtis and </w:t>
      </w:r>
      <w:proofErr w:type="spellStart"/>
      <w:r>
        <w:t>UniFrac</w:t>
      </w:r>
      <w:proofErr w:type="spellEnd"/>
      <w:r>
        <w:t xml:space="preserve"> can be sensitive to sequencing depth because richness varies with read count </w:t>
      </w:r>
      <w:r>
        <w:fldChar w:fldCharType="begin"/>
      </w:r>
      <w:r>
        <w:instrText xml:space="preserve"> ADDIN ZOTERO_ITEM CSL_CITATION {"citationID":"4bq3QkSL","properties":{"formattedCitation":"[17\\uc0\\u8211{}19]","plainCitation":"[17–19]","noteIndex":0},"citationItems":[{"id":2059,"uris":["http://zotero.org/groups/5077571/items/HNQGY2XA"],"itemData":{"id":2059,"type":"article-journal","abstract":"As microbial ecology investigations have progressed from descriptive characterizations of a community to hypothesis-driven ecological research, a number of different statistical techniques have been developed to describe and compare the structure of microbial communities. Thus far, these methods have only been evaluated using 16S rRNA gene sequence data obtained from incomplete characterizations of microbial communities. In this investigation, simulations were designed to test the statistical power of different methods to differentiate between communities with known memberships and structures. These simulations revealed three important results that affect how the results of the tests are interpreted. First, ∫-LIBSHUFF, TreeClimber, UniFrac, analysis of molecular variance (AMOVA) and homogeneity of molecular variance (HOMOVA) compare the structure of communities and not just their memberships. Second, ∫-LIBSHUFF is unable to detect cases when one community structure is a subset of another. Third, AMOVA determines whether the genetic diversity within two or more communities is greater than their pooled genetic diversity, and HOMOVA determines whether the amount of genetic diversity in each community is significantly different. ∫-LIBSHUFF, TreeClimber and UniFrac lump these and other factors together when performing their analysis making it difficult to discern the nature of the differences that are detected between communities. These findings demonstrate that when correctly employed, the current statistical toolbox has the ability to address specific ecological questions concerning the differences between microbial communities.","container-title":"The ISME Journal","DOI":"10.1038/ismej.2008.5","ISSN":"1751-7362","issue":"3","journalAbbreviation":"The ISME Journal","page":"265-275","source":"Silverchair","title":"Evaluating different approaches that test whether microbial communities have the same structure","volume":"2","author":[{"family":"Schloss","given":"Patrick D"}],"issued":{"date-parts":[["2008",3,1]]},"citation-key":"schlossEvaluatingDifferentApproaches2008"}},{"id":2055,"uris":["http://zotero.org/groups/5077571/items/V3VBCZEE"],"itemData":{"id":2055,"type":"chapter","container-title":"Biocomputing 2012","ISBN":"978-981-4596-37-4","note":"DOI: 10.1142/9789814366496_0021","page":"213-224","publisher":"WORLD SCIENTIFIC","source":"worldscientific.com (Atypon)","title":"Comparisons of distance methods for combining covariates and abundances in microbiome studies","URL":"https://www.worldscientific.com/doi/abs/10.1142/9789814366496_0021","author":[{"family":"Fukuyama","given":"Julia"},{"family":"Mcmurdie","given":"Paul J."},{"family":"Dethlefsen","given":"Les"},{"family":"Relman","given":"David A."},{"family":"Holmes","given":"Susan"}],"accessed":{"date-parts":[["2025",7,2]]},"issued":{"date-parts":[["2011",11,20]]},"citation-key":"fukuyamaComparisonsDistanceMethods2011"}},{"id":986,"uris":["http://zotero.org/groups/5077571/items/LPWQ3DY5"],"itemData":{"id":986,"type":"article-journal","abstract":"Current practice in the normalization of microbiome count data is inefficient in the statistical sense. For apparently historical reasons, the common approach is either to use simple proportions (which does not address heteroscedasticity) or to use rarefying of counts, even though both of these approaches are inappropriate for detection of differentially abundant species. Well-established statistical theory is available that simultaneously accounts for library size differences and biological variability using an appropriate mixture model. Moreover, specific implementations for DNA sequencing read count data (based on a Negative Binomial model for instance) are already available in RNA-Seq focused R packages such as edgeR and DESeq. Here we summarize the supporting statistical theory and use simulations and empirical data to demonstrate substantial improvements provided by a relevant mixture model framework over simple proportions or rarefying. We show how both proportions and rarefied counts result in a high rate of false positives in tests for species that are differentially abundant across sample classes. Regarding microbiome sample-wise clustering, we also show that the rarefying procedure often discards samples that can be accurately clustered by alternative methods. We further compare different Negative Binomial methods with a recently-described zero-inflated Gaussian mixture, implemented in a package called metagenomeSeq. We find that metagenomeSeq performs well when there is an adequate number of biological replicates, but it nevertheless tends toward a higher false positive rate. Based on these results and well-established statistical theory, we advocate that investigators avoid rarefying altogether. We have provided microbiome-specific extensions to these tools in the R package, phyloseq.","container-title":"PLOS Computational Biology","DOI":"10.1371/journal.pcbi.1003531","ISSN":"1553-7358","issue":"4","journalAbbreviation":"PLOS Computational Biology","language":"en","note":"publisher: Public Library of Science","page":"e1003531","source":"PLoS Journals","title":"Waste Not, Want Not: Why Rarefying Microbiome Data Is Inadmissible","title-short":"Waste Not, Want Not","volume":"10","author":[{"family":"McMurdie","given":"Paul J."},{"family":"Holmes","given":"Susan"}],"issued":{"date-parts":[["2014",4,3]]},"citation-key":"mcmurdieWasteNotWant2014"}}],"schema":"https://github.com/citation-style-language/schema/raw/master/csl-citation.json"} </w:instrText>
      </w:r>
      <w:r>
        <w:fldChar w:fldCharType="separate"/>
      </w:r>
      <w:r w:rsidRPr="00210DF7">
        <w:rPr>
          <w:rFonts w:cs="Times New Roman"/>
          <w:kern w:val="0"/>
        </w:rPr>
        <w:t>[17–19]</w:t>
      </w:r>
      <w:r>
        <w:fldChar w:fldCharType="end"/>
      </w:r>
      <w:r>
        <w:t xml:space="preserve">. To address this, we provide a workflow and accompanying code describing how we incorporated rarefaction into our own analyses (Box </w:t>
      </w:r>
      <w:r>
        <w:lastRenderedPageBreak/>
        <w:t xml:space="preserve">2; available code). This approach minimizes sequencing-depth biases while preserving abundance scaling for downstream </w:t>
      </w:r>
      <m:oMath>
        <m:r>
          <w:rPr>
            <w:rFonts w:ascii="Cambria Math" w:hAnsi="Cambria Math"/>
          </w:rPr>
          <m:t>β</m:t>
        </m:r>
      </m:oMath>
      <w:r>
        <w:t xml:space="preserve">-diversity analysis. </w:t>
      </w:r>
    </w:p>
    <w:p w14:paraId="08449A29" w14:textId="08C8AD26" w:rsidR="00F81530" w:rsidRPr="00620593" w:rsidRDefault="00B25A30" w:rsidP="00B25A30">
      <w:pPr>
        <w:spacing w:line="240" w:lineRule="auto"/>
        <w:ind w:firstLine="720"/>
        <w:rPr>
          <w:iCs/>
        </w:rPr>
      </w:pPr>
      <w:r>
        <w:t xml:space="preserve">To explore the sensitivity of </w:t>
      </w:r>
      <w:r>
        <w:rPr>
          <w:i/>
          <w:iCs/>
        </w:rPr>
        <w:t>GU</w:t>
      </w:r>
      <w:r>
        <w:rPr>
          <w:i/>
          <w:iCs/>
          <w:vertAlign w:val="superscript"/>
        </w:rPr>
        <w:t>A</w:t>
      </w:r>
      <w:r>
        <w:t xml:space="preserve"> to rarefaction, we calculated </w:t>
      </w:r>
      <w:r>
        <w:rPr>
          <w:i/>
          <w:iCs/>
        </w:rPr>
        <w:t>GU</w:t>
      </w:r>
      <w:r>
        <w:rPr>
          <w:i/>
          <w:iCs/>
          <w:vertAlign w:val="superscript"/>
        </w:rPr>
        <w:t>A</w:t>
      </w:r>
      <w:r>
        <w:t xml:space="preserve"> using rarefaction at multiple sequencing </w:t>
      </w:r>
      <w:proofErr w:type="gramStart"/>
      <w:r>
        <w:t>depths, and</w:t>
      </w:r>
      <w:proofErr w:type="gramEnd"/>
      <w:r>
        <w:t xml:space="preserve"> used Mantel tests to assess the correlation between the rarefied </w:t>
      </w:r>
      <w:r>
        <w:rPr>
          <w:i/>
          <w:iCs/>
        </w:rPr>
        <w:t>GU</w:t>
      </w:r>
      <w:r>
        <w:rPr>
          <w:i/>
          <w:iCs/>
          <w:vertAlign w:val="superscript"/>
        </w:rPr>
        <w:t>A</w:t>
      </w:r>
      <w:r>
        <w:t xml:space="preserve"> distance matrices the non-rarefied control (Fig. S4; supplemental methods). </w:t>
      </w:r>
      <w:r>
        <w:rPr>
          <w:i/>
          <w:iCs/>
        </w:rPr>
        <w:t>GU</w:t>
      </w:r>
      <w:r>
        <w:rPr>
          <w:i/>
          <w:iCs/>
          <w:vertAlign w:val="superscript"/>
        </w:rPr>
        <w:t>A</w:t>
      </w:r>
      <w:r>
        <w:t xml:space="preserve"> was largely insensitive to rarefaction at high </w:t>
      </w:r>
      <m:oMath>
        <m:r>
          <w:rPr>
            <w:rFonts w:ascii="Cambria Math" w:hAnsi="Cambria Math"/>
          </w:rPr>
          <m:t>α</m:t>
        </m:r>
      </m:oMath>
      <w:r>
        <w:t xml:space="preserve"> values</w:t>
      </w:r>
      <w:r>
        <w:rPr>
          <w:rFonts w:eastAsiaTheme="minorEastAsia"/>
        </w:rPr>
        <w:t>, even at depths as low as 250 reads per sample, but sensitivity increased as</w:t>
      </w:r>
      <w:r>
        <w:t xml:space="preserve"> </w:t>
      </w:r>
      <m:oMath>
        <m:r>
          <w:rPr>
            <w:rFonts w:ascii="Cambria Math" w:hAnsi="Cambria Math"/>
          </w:rPr>
          <m:t>α</m:t>
        </m:r>
      </m:oMath>
      <w:r>
        <w:t xml:space="preserve"> decreased (Fig. S4). When rarefying to the minimum sequencing depth, as recommended, the effect of rarefaction was negligible (all Mantel’s R &gt; 0.95, Fig. S4).</w:t>
      </w:r>
    </w:p>
    <w:p w14:paraId="6FF6F704" w14:textId="666BAA96" w:rsidR="00622F9C" w:rsidRDefault="00622F9C" w:rsidP="006A381E">
      <w:pPr>
        <w:spacing w:line="240" w:lineRule="auto"/>
      </w:pPr>
      <w:r>
        <w:rPr>
          <w:noProof/>
        </w:rPr>
        <w:drawing>
          <wp:inline distT="0" distB="0" distL="0" distR="0" wp14:anchorId="4B7C33C7" wp14:editId="405D4484">
            <wp:extent cx="5943447" cy="5494019"/>
            <wp:effectExtent l="0" t="0" r="635" b="5715"/>
            <wp:docPr id="1652260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260866" name="Picture 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447" cy="5494019"/>
                    </a:xfrm>
                    <a:prstGeom prst="rect">
                      <a:avLst/>
                    </a:prstGeom>
                  </pic:spPr>
                </pic:pic>
              </a:graphicData>
            </a:graphic>
          </wp:inline>
        </w:drawing>
      </w:r>
    </w:p>
    <w:p w14:paraId="359318B5" w14:textId="330F0547" w:rsidR="00622F9C" w:rsidRPr="00057D48" w:rsidRDefault="00622F9C" w:rsidP="006A381E">
      <w:pPr>
        <w:spacing w:line="240" w:lineRule="auto"/>
        <w:rPr>
          <w:sz w:val="20"/>
          <w:szCs w:val="20"/>
        </w:rPr>
      </w:pPr>
      <w:r w:rsidRPr="00057D48">
        <w:rPr>
          <w:i/>
          <w:iCs/>
          <w:sz w:val="20"/>
          <w:szCs w:val="20"/>
        </w:rPr>
        <w:t>Figure 4. GU</w:t>
      </w:r>
      <w:r w:rsidRPr="00057D48">
        <w:rPr>
          <w:i/>
          <w:iCs/>
          <w:sz w:val="20"/>
          <w:szCs w:val="20"/>
          <w:vertAlign w:val="superscript"/>
        </w:rPr>
        <w:t>A</w:t>
      </w:r>
      <w:r w:rsidRPr="00057D48">
        <w:rPr>
          <w:i/>
          <w:iCs/>
          <w:sz w:val="20"/>
          <w:szCs w:val="20"/>
        </w:rPr>
        <w:t xml:space="preserve"> </w:t>
      </w:r>
      <w:r>
        <w:rPr>
          <w:i/>
          <w:iCs/>
          <w:sz w:val="20"/>
          <w:szCs w:val="20"/>
        </w:rPr>
        <w:t xml:space="preserve">requires more computational time but remains </w:t>
      </w:r>
      <w:r w:rsidRPr="00057D48">
        <w:rPr>
          <w:i/>
          <w:iCs/>
          <w:sz w:val="20"/>
          <w:szCs w:val="20"/>
        </w:rPr>
        <w:t>resilien</w:t>
      </w:r>
      <w:r>
        <w:rPr>
          <w:i/>
          <w:iCs/>
          <w:sz w:val="20"/>
          <w:szCs w:val="20"/>
        </w:rPr>
        <w:t>t</w:t>
      </w:r>
      <w:r w:rsidRPr="00057D48">
        <w:rPr>
          <w:i/>
          <w:iCs/>
          <w:sz w:val="20"/>
          <w:szCs w:val="20"/>
        </w:rPr>
        <w:t xml:space="preserve"> to quantification error. </w:t>
      </w:r>
      <w:r w:rsidRPr="00057D48">
        <w:rPr>
          <w:sz w:val="20"/>
          <w:szCs w:val="20"/>
        </w:rPr>
        <w:t xml:space="preserve">(A) </w:t>
      </w:r>
      <w:r>
        <w:rPr>
          <w:sz w:val="20"/>
          <w:szCs w:val="20"/>
        </w:rPr>
        <w:t>Runtime for</w:t>
      </w:r>
      <w:r w:rsidRPr="00057D48">
        <w:rPr>
          <w:sz w:val="20"/>
          <w:szCs w:val="20"/>
        </w:rPr>
        <w:t xml:space="preserve"> </w:t>
      </w:r>
      <w:r w:rsidRPr="00057D48">
        <w:rPr>
          <w:i/>
          <w:iCs/>
          <w:sz w:val="20"/>
          <w:szCs w:val="20"/>
        </w:rPr>
        <w:t>GU</w:t>
      </w:r>
      <w:r w:rsidRPr="00057D48">
        <w:rPr>
          <w:i/>
          <w:iCs/>
          <w:sz w:val="20"/>
          <w:szCs w:val="20"/>
          <w:vertAlign w:val="superscript"/>
        </w:rPr>
        <w:t>A</w:t>
      </w:r>
      <w:r w:rsidRPr="00057D48">
        <w:rPr>
          <w:i/>
          <w:iCs/>
          <w:sz w:val="20"/>
          <w:szCs w:val="20"/>
        </w:rPr>
        <w:t xml:space="preserve"> </w:t>
      </w:r>
      <w:r w:rsidRPr="00057D48">
        <w:rPr>
          <w:sz w:val="20"/>
          <w:szCs w:val="20"/>
        </w:rPr>
        <w:t>(</w:t>
      </w:r>
      <w:proofErr w:type="spellStart"/>
      <w:r w:rsidRPr="00057D48">
        <w:rPr>
          <w:sz w:val="20"/>
          <w:szCs w:val="20"/>
        </w:rPr>
        <w:t>GUni</w:t>
      </w:r>
      <w:r w:rsidR="00C150F6">
        <w:rPr>
          <w:sz w:val="20"/>
          <w:szCs w:val="20"/>
        </w:rPr>
        <w:t>F</w:t>
      </w:r>
      <w:r w:rsidRPr="00057D48">
        <w:rPr>
          <w:sz w:val="20"/>
          <w:szCs w:val="20"/>
        </w:rPr>
        <w:t>rac</w:t>
      </w:r>
      <w:proofErr w:type="spellEnd"/>
      <w:r w:rsidR="00C150F6">
        <w:rPr>
          <w:sz w:val="20"/>
          <w:szCs w:val="20"/>
        </w:rPr>
        <w:t xml:space="preserve"> package</w:t>
      </w:r>
      <w:r w:rsidRPr="00057D48">
        <w:rPr>
          <w:sz w:val="20"/>
          <w:szCs w:val="20"/>
        </w:rPr>
        <w:t xml:space="preserve">), </w:t>
      </w:r>
      <w:r w:rsidRPr="00057D48">
        <w:rPr>
          <w:i/>
          <w:iCs/>
          <w:sz w:val="20"/>
          <w:szCs w:val="20"/>
        </w:rPr>
        <w:t>U</w:t>
      </w:r>
      <w:r w:rsidRPr="00057D48">
        <w:rPr>
          <w:i/>
          <w:iCs/>
          <w:sz w:val="20"/>
          <w:szCs w:val="20"/>
          <w:vertAlign w:val="superscript"/>
        </w:rPr>
        <w:t>R</w:t>
      </w:r>
      <w:r w:rsidRPr="00057D48">
        <w:rPr>
          <w:sz w:val="20"/>
          <w:szCs w:val="20"/>
        </w:rPr>
        <w:t xml:space="preserve"> (</w:t>
      </w:r>
      <w:proofErr w:type="spellStart"/>
      <w:r w:rsidRPr="00057D48">
        <w:rPr>
          <w:sz w:val="20"/>
          <w:szCs w:val="20"/>
        </w:rPr>
        <w:t>FastUni</w:t>
      </w:r>
      <w:r w:rsidR="00C150F6">
        <w:rPr>
          <w:sz w:val="20"/>
          <w:szCs w:val="20"/>
        </w:rPr>
        <w:t>F</w:t>
      </w:r>
      <w:r w:rsidRPr="00057D48">
        <w:rPr>
          <w:sz w:val="20"/>
          <w:szCs w:val="20"/>
        </w:rPr>
        <w:t>rac</w:t>
      </w:r>
      <w:proofErr w:type="spellEnd"/>
      <w:r w:rsidRPr="00057D48">
        <w:rPr>
          <w:sz w:val="20"/>
          <w:szCs w:val="20"/>
        </w:rPr>
        <w:t xml:space="preserve"> in the </w:t>
      </w:r>
      <w:proofErr w:type="spellStart"/>
      <w:r w:rsidRPr="00057D48">
        <w:rPr>
          <w:sz w:val="20"/>
          <w:szCs w:val="20"/>
        </w:rPr>
        <w:t>phyloseq</w:t>
      </w:r>
      <w:proofErr w:type="spellEnd"/>
      <w:r w:rsidR="00C150F6">
        <w:rPr>
          <w:sz w:val="20"/>
          <w:szCs w:val="20"/>
        </w:rPr>
        <w:t xml:space="preserve"> package</w:t>
      </w:r>
      <w:r w:rsidRPr="00057D48">
        <w:rPr>
          <w:sz w:val="20"/>
          <w:szCs w:val="20"/>
        </w:rPr>
        <w:t xml:space="preserve">) and </w:t>
      </w:r>
      <w:r w:rsidRPr="00057D48">
        <w:rPr>
          <w:i/>
          <w:iCs/>
          <w:sz w:val="20"/>
          <w:szCs w:val="20"/>
        </w:rPr>
        <w:t>BC</w:t>
      </w:r>
      <w:r w:rsidRPr="00057D48">
        <w:rPr>
          <w:i/>
          <w:iCs/>
          <w:sz w:val="20"/>
          <w:szCs w:val="20"/>
          <w:vertAlign w:val="superscript"/>
        </w:rPr>
        <w:t>A</w:t>
      </w:r>
      <w:r w:rsidRPr="00057D48">
        <w:rPr>
          <w:sz w:val="20"/>
          <w:szCs w:val="20"/>
        </w:rPr>
        <w:t xml:space="preserve"> (vegan</w:t>
      </w:r>
      <w:r w:rsidR="00C150F6">
        <w:rPr>
          <w:sz w:val="20"/>
          <w:szCs w:val="20"/>
        </w:rPr>
        <w:t xml:space="preserve"> package</w:t>
      </w:r>
      <w:r w:rsidRPr="00057D48">
        <w:rPr>
          <w:sz w:val="20"/>
          <w:szCs w:val="20"/>
        </w:rPr>
        <w:t xml:space="preserve">) was </w:t>
      </w:r>
      <w:r>
        <w:rPr>
          <w:sz w:val="20"/>
          <w:szCs w:val="20"/>
        </w:rPr>
        <w:t>benchmarked</w:t>
      </w:r>
      <w:r w:rsidRPr="00057D48">
        <w:rPr>
          <w:sz w:val="20"/>
          <w:szCs w:val="20"/>
        </w:rPr>
        <w:t xml:space="preserve"> across 50 iterations on </w:t>
      </w:r>
      <w:r>
        <w:rPr>
          <w:sz w:val="20"/>
          <w:szCs w:val="20"/>
        </w:rPr>
        <w:t>a</w:t>
      </w:r>
      <w:r w:rsidRPr="00057D48">
        <w:rPr>
          <w:sz w:val="20"/>
          <w:szCs w:val="20"/>
        </w:rPr>
        <w:t xml:space="preserve"> sub-sampled soil dataset</w:t>
      </w:r>
      <w:r>
        <w:rPr>
          <w:sz w:val="20"/>
          <w:szCs w:val="20"/>
        </w:rPr>
        <w:t xml:space="preserve"> (mature samples only) </w:t>
      </w:r>
      <w:r w:rsidRPr="00057D48">
        <w:rPr>
          <w:sz w:val="20"/>
          <w:szCs w:val="20"/>
        </w:rPr>
        <w:fldChar w:fldCharType="begin"/>
      </w:r>
      <w:r w:rsidR="00A20B2F">
        <w:rPr>
          <w:sz w:val="20"/>
          <w:szCs w:val="20"/>
        </w:rPr>
        <w:instrText xml:space="preserve"> ADDIN ZOTERO_ITEM CSL_CITATION {"citationID":"OAkv404I","properties":{"formattedCitation":"[10]","plainCitation":"[10]","noteIndex":0},"citationItems":[{"id":2082,"uris":["http://zotero.org/groups/5077571/items/7DSKNWDW"],"itemData":{"id":2082,"type":"article-journal","abstract":"High-throughput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schema":"https://github.com/citation-style-language/schema/raw/master/csl-citation.json"} </w:instrText>
      </w:r>
      <w:r w:rsidRPr="00057D48">
        <w:rPr>
          <w:sz w:val="20"/>
          <w:szCs w:val="20"/>
        </w:rPr>
        <w:fldChar w:fldCharType="separate"/>
      </w:r>
      <w:r w:rsidR="00A20B2F">
        <w:rPr>
          <w:noProof/>
          <w:sz w:val="20"/>
          <w:szCs w:val="20"/>
        </w:rPr>
        <w:t>[10]</w:t>
      </w:r>
      <w:r w:rsidRPr="00057D48">
        <w:rPr>
          <w:sz w:val="20"/>
          <w:szCs w:val="20"/>
        </w:rPr>
        <w:fldChar w:fldCharType="end"/>
      </w:r>
      <w:r>
        <w:rPr>
          <w:sz w:val="20"/>
          <w:szCs w:val="20"/>
        </w:rPr>
        <w:t xml:space="preserve">, using increasing </w:t>
      </w:r>
      <w:r w:rsidRPr="00057D48">
        <w:rPr>
          <w:sz w:val="20"/>
          <w:szCs w:val="20"/>
        </w:rPr>
        <w:t xml:space="preserve">ASV </w:t>
      </w:r>
      <w:r>
        <w:rPr>
          <w:sz w:val="20"/>
          <w:szCs w:val="20"/>
        </w:rPr>
        <w:t>richness</w:t>
      </w:r>
      <w:r w:rsidRPr="00057D48">
        <w:rPr>
          <w:sz w:val="20"/>
          <w:szCs w:val="20"/>
        </w:rPr>
        <w:t xml:space="preserve"> (50, 100, 200, 500, 1,000, 2,000, 5,000, 10,000), </w:t>
      </w:r>
      <w:r>
        <w:rPr>
          <w:sz w:val="20"/>
          <w:szCs w:val="20"/>
        </w:rPr>
        <w:t>with</w:t>
      </w:r>
      <w:r w:rsidRPr="00057D48">
        <w:rPr>
          <w:sz w:val="20"/>
          <w:szCs w:val="20"/>
        </w:rPr>
        <w:t xml:space="preserve"> 10 samples and </w:t>
      </w:r>
      <w:r>
        <w:rPr>
          <w:sz w:val="20"/>
          <w:szCs w:val="20"/>
        </w:rPr>
        <w:t>one</w:t>
      </w:r>
      <w:r w:rsidRPr="00057D48">
        <w:rPr>
          <w:sz w:val="20"/>
          <w:szCs w:val="20"/>
        </w:rPr>
        <w:t xml:space="preserve"> </w:t>
      </w:r>
      <m:oMath>
        <m:r>
          <w:rPr>
            <w:rFonts w:ascii="Cambria Math" w:hAnsi="Cambria Math"/>
            <w:sz w:val="20"/>
            <w:szCs w:val="20"/>
          </w:rPr>
          <m:t>α</m:t>
        </m:r>
      </m:oMath>
      <w:r w:rsidRPr="00057D48">
        <w:rPr>
          <w:sz w:val="20"/>
          <w:szCs w:val="20"/>
        </w:rPr>
        <w:t xml:space="preserve"> value </w:t>
      </w:r>
      <w:r>
        <w:rPr>
          <w:sz w:val="20"/>
          <w:szCs w:val="20"/>
        </w:rPr>
        <w:t xml:space="preserve">per run </w:t>
      </w:r>
      <w:r w:rsidRPr="00057D48">
        <w:rPr>
          <w:sz w:val="20"/>
          <w:szCs w:val="20"/>
        </w:rPr>
        <w:t xml:space="preserve">(unweighted </w:t>
      </w:r>
      <w:proofErr w:type="spellStart"/>
      <w:r w:rsidRPr="00057D48">
        <w:rPr>
          <w:sz w:val="20"/>
          <w:szCs w:val="20"/>
        </w:rPr>
        <w:t>Uni</w:t>
      </w:r>
      <w:r w:rsidR="00C150F6">
        <w:rPr>
          <w:sz w:val="20"/>
          <w:szCs w:val="20"/>
        </w:rPr>
        <w:t>F</w:t>
      </w:r>
      <w:r w:rsidRPr="00057D48">
        <w:rPr>
          <w:sz w:val="20"/>
          <w:szCs w:val="20"/>
        </w:rPr>
        <w:t>rac</w:t>
      </w:r>
      <w:proofErr w:type="spellEnd"/>
      <w:r w:rsidRPr="00057D48">
        <w:rPr>
          <w:sz w:val="20"/>
          <w:szCs w:val="20"/>
        </w:rPr>
        <w:t xml:space="preserve"> is also calculated by default). </w:t>
      </w:r>
      <w:r w:rsidR="00C65332">
        <w:rPr>
          <w:sz w:val="20"/>
          <w:szCs w:val="20"/>
        </w:rPr>
        <w:t>Error bars represent standard deviation.</w:t>
      </w:r>
      <w:r w:rsidRPr="00057D48">
        <w:rPr>
          <w:sz w:val="20"/>
          <w:szCs w:val="20"/>
        </w:rPr>
        <w:t xml:space="preserve"> (B) </w:t>
      </w:r>
      <w:r w:rsidR="00C65332">
        <w:rPr>
          <w:sz w:val="20"/>
          <w:szCs w:val="20"/>
        </w:rPr>
        <w:t>Quadratic</w:t>
      </w:r>
      <w:r w:rsidRPr="00057D48">
        <w:rPr>
          <w:sz w:val="20"/>
          <w:szCs w:val="20"/>
        </w:rPr>
        <w:t xml:space="preserve"> relationship</w:t>
      </w:r>
      <w:r w:rsidR="00C65332">
        <w:rPr>
          <w:sz w:val="20"/>
          <w:szCs w:val="20"/>
        </w:rPr>
        <w:t xml:space="preserve"> </w:t>
      </w:r>
      <w:r w:rsidRPr="00057D48">
        <w:rPr>
          <w:sz w:val="20"/>
          <w:szCs w:val="20"/>
        </w:rPr>
        <w:t xml:space="preserve">between </w:t>
      </w:r>
      <w:r w:rsidRPr="00057D48">
        <w:rPr>
          <w:i/>
          <w:iCs/>
          <w:sz w:val="20"/>
          <w:szCs w:val="20"/>
        </w:rPr>
        <w:t>GU</w:t>
      </w:r>
      <w:r w:rsidRPr="00057D48">
        <w:rPr>
          <w:i/>
          <w:iCs/>
          <w:sz w:val="20"/>
          <w:szCs w:val="20"/>
          <w:vertAlign w:val="superscript"/>
        </w:rPr>
        <w:t>A</w:t>
      </w:r>
      <w:r w:rsidRPr="00057D48">
        <w:rPr>
          <w:i/>
          <w:iCs/>
          <w:sz w:val="20"/>
          <w:szCs w:val="20"/>
        </w:rPr>
        <w:t xml:space="preserve"> </w:t>
      </w:r>
      <w:r w:rsidRPr="00057D48">
        <w:rPr>
          <w:sz w:val="20"/>
          <w:szCs w:val="20"/>
        </w:rPr>
        <w:t xml:space="preserve">computation time and ASV </w:t>
      </w:r>
      <w:r>
        <w:rPr>
          <w:sz w:val="20"/>
          <w:szCs w:val="20"/>
        </w:rPr>
        <w:t>richness</w:t>
      </w:r>
      <w:r w:rsidRPr="00057D48">
        <w:rPr>
          <w:sz w:val="20"/>
          <w:szCs w:val="20"/>
        </w:rPr>
        <w:t xml:space="preserve">. </w:t>
      </w:r>
      <w:r w:rsidR="00C65332">
        <w:rPr>
          <w:sz w:val="20"/>
          <w:szCs w:val="20"/>
        </w:rPr>
        <w:t xml:space="preserve">Large center point represents median across 50 iterations, error bars (standard deviation) are too </w:t>
      </w:r>
      <w:r w:rsidR="00C65332">
        <w:rPr>
          <w:sz w:val="20"/>
          <w:szCs w:val="20"/>
        </w:rPr>
        <w:lastRenderedPageBreak/>
        <w:t>small to be seen.</w:t>
      </w:r>
      <w:r w:rsidR="00556492">
        <w:rPr>
          <w:sz w:val="20"/>
          <w:szCs w:val="20"/>
        </w:rPr>
        <w:t xml:space="preserve"> All benchmarks were run on an </w:t>
      </w:r>
      <w:r w:rsidR="00556492" w:rsidRPr="00556492">
        <w:rPr>
          <w:sz w:val="20"/>
          <w:szCs w:val="20"/>
        </w:rPr>
        <w:t>AMD EPYC 64-core processor with 1014</w:t>
      </w:r>
      <w:r w:rsidR="00556492">
        <w:rPr>
          <w:sz w:val="20"/>
          <w:szCs w:val="20"/>
        </w:rPr>
        <w:t xml:space="preserve"> </w:t>
      </w:r>
      <w:r w:rsidR="00556492" w:rsidRPr="00556492">
        <w:rPr>
          <w:sz w:val="20"/>
          <w:szCs w:val="20"/>
        </w:rPr>
        <w:t>GB system memory</w:t>
      </w:r>
      <w:r w:rsidR="00556492">
        <w:rPr>
          <w:sz w:val="20"/>
          <w:szCs w:val="20"/>
        </w:rPr>
        <w:t xml:space="preserve"> (R v4.3.3, vegan v2.7-1, </w:t>
      </w:r>
      <w:proofErr w:type="spellStart"/>
      <w:r w:rsidR="00556492">
        <w:rPr>
          <w:sz w:val="20"/>
          <w:szCs w:val="20"/>
        </w:rPr>
        <w:t>phyloseq</w:t>
      </w:r>
      <w:proofErr w:type="spellEnd"/>
      <w:r w:rsidR="00556492">
        <w:rPr>
          <w:sz w:val="20"/>
          <w:szCs w:val="20"/>
        </w:rPr>
        <w:t xml:space="preserve"> </w:t>
      </w:r>
      <w:r w:rsidR="004E7775">
        <w:rPr>
          <w:sz w:val="20"/>
          <w:szCs w:val="20"/>
        </w:rPr>
        <w:t>v</w:t>
      </w:r>
      <w:r w:rsidR="00556492">
        <w:rPr>
          <w:sz w:val="20"/>
          <w:szCs w:val="20"/>
        </w:rPr>
        <w:t xml:space="preserve">1.52.0, </w:t>
      </w:r>
      <w:proofErr w:type="spellStart"/>
      <w:r w:rsidR="00556492">
        <w:rPr>
          <w:sz w:val="20"/>
          <w:szCs w:val="20"/>
        </w:rPr>
        <w:t>GUnifrac</w:t>
      </w:r>
      <w:proofErr w:type="spellEnd"/>
      <w:r w:rsidR="00556492">
        <w:rPr>
          <w:sz w:val="20"/>
          <w:szCs w:val="20"/>
        </w:rPr>
        <w:t xml:space="preserve"> </w:t>
      </w:r>
      <w:r w:rsidR="004E7775">
        <w:rPr>
          <w:sz w:val="20"/>
          <w:szCs w:val="20"/>
        </w:rPr>
        <w:t>v</w:t>
      </w:r>
      <w:r w:rsidR="00556492">
        <w:rPr>
          <w:sz w:val="20"/>
          <w:szCs w:val="20"/>
        </w:rPr>
        <w:t xml:space="preserve">1.8.1). </w:t>
      </w:r>
      <w:r w:rsidRPr="00057D48">
        <w:rPr>
          <w:sz w:val="20"/>
          <w:szCs w:val="20"/>
        </w:rPr>
        <w:t xml:space="preserve">(C-D) </w:t>
      </w:r>
      <w:r>
        <w:rPr>
          <w:sz w:val="20"/>
          <w:szCs w:val="20"/>
        </w:rPr>
        <w:t>Sensit</w:t>
      </w:r>
      <w:r w:rsidR="00C150F6">
        <w:rPr>
          <w:sz w:val="20"/>
          <w:szCs w:val="20"/>
        </w:rPr>
        <w:t>i</w:t>
      </w:r>
      <w:r>
        <w:rPr>
          <w:sz w:val="20"/>
          <w:szCs w:val="20"/>
        </w:rPr>
        <w:t xml:space="preserve">vity of </w:t>
      </w:r>
      <w:r w:rsidRPr="00057D48">
        <w:rPr>
          <w:i/>
          <w:iCs/>
          <w:sz w:val="20"/>
          <w:szCs w:val="20"/>
        </w:rPr>
        <w:t>GU</w:t>
      </w:r>
      <w:r w:rsidRPr="00057D48">
        <w:rPr>
          <w:i/>
          <w:iCs/>
          <w:sz w:val="20"/>
          <w:szCs w:val="20"/>
          <w:vertAlign w:val="superscript"/>
        </w:rPr>
        <w:t>A</w:t>
      </w:r>
      <w:r w:rsidRPr="00057D48">
        <w:rPr>
          <w:sz w:val="20"/>
          <w:szCs w:val="20"/>
        </w:rPr>
        <w:t xml:space="preserve"> (</w:t>
      </w:r>
      <m:oMath>
        <m:r>
          <w:rPr>
            <w:rFonts w:ascii="Cambria Math" w:hAnsi="Cambria Math"/>
            <w:sz w:val="20"/>
            <w:szCs w:val="20"/>
          </w:rPr>
          <m:t>α</m:t>
        </m:r>
      </m:oMath>
      <w:r w:rsidRPr="00057D48">
        <w:rPr>
          <w:sz w:val="20"/>
          <w:szCs w:val="20"/>
        </w:rPr>
        <w:t xml:space="preserve"> =</w:t>
      </w:r>
      <w:r>
        <w:rPr>
          <w:sz w:val="20"/>
          <w:szCs w:val="20"/>
        </w:rPr>
        <w:t xml:space="preserve"> </w:t>
      </w:r>
      <w:r w:rsidRPr="00057D48">
        <w:rPr>
          <w:sz w:val="20"/>
          <w:szCs w:val="20"/>
        </w:rPr>
        <w:t>1</w:t>
      </w:r>
      <w:r>
        <w:rPr>
          <w:sz w:val="20"/>
          <w:szCs w:val="20"/>
        </w:rPr>
        <w:t xml:space="preserve"> and 0.2) and </w:t>
      </w:r>
      <w:r>
        <w:rPr>
          <w:i/>
          <w:iCs/>
          <w:sz w:val="20"/>
          <w:szCs w:val="20"/>
        </w:rPr>
        <w:t>BC</w:t>
      </w:r>
      <w:r w:rsidRPr="00057D48">
        <w:rPr>
          <w:i/>
          <w:iCs/>
          <w:sz w:val="20"/>
          <w:szCs w:val="20"/>
          <w:vertAlign w:val="superscript"/>
        </w:rPr>
        <w:t>A</w:t>
      </w:r>
      <w:r w:rsidRPr="00057D48">
        <w:rPr>
          <w:sz w:val="20"/>
          <w:szCs w:val="20"/>
        </w:rPr>
        <w:t xml:space="preserve"> </w:t>
      </w:r>
      <w:r>
        <w:rPr>
          <w:sz w:val="20"/>
          <w:szCs w:val="20"/>
        </w:rPr>
        <w:t>to measurement error was evaluated by adding random variation (</w:t>
      </w:r>
      <w:r w:rsidRPr="006B42C1">
        <w:rPr>
          <w:sz w:val="20"/>
          <w:szCs w:val="20"/>
        </w:rPr>
        <w:t>±</w:t>
      </w:r>
      <w:r w:rsidRPr="00057D48">
        <w:rPr>
          <w:sz w:val="20"/>
          <w:szCs w:val="20"/>
        </w:rPr>
        <w:t xml:space="preserve">1% to </w:t>
      </w:r>
      <w:r w:rsidRPr="006B42C1">
        <w:rPr>
          <w:sz w:val="20"/>
          <w:szCs w:val="20"/>
        </w:rPr>
        <w:t>±</w:t>
      </w:r>
      <w:r w:rsidRPr="00057D48">
        <w:rPr>
          <w:sz w:val="20"/>
          <w:szCs w:val="20"/>
        </w:rPr>
        <w:t>50%</w:t>
      </w:r>
      <w:r>
        <w:rPr>
          <w:sz w:val="20"/>
          <w:szCs w:val="20"/>
        </w:rPr>
        <w:t xml:space="preserve">; </w:t>
      </w:r>
      <w:r w:rsidRPr="00057D48">
        <w:rPr>
          <w:sz w:val="20"/>
          <w:szCs w:val="20"/>
        </w:rPr>
        <w:t>Supp</w:t>
      </w:r>
      <w:r>
        <w:rPr>
          <w:sz w:val="20"/>
          <w:szCs w:val="20"/>
        </w:rPr>
        <w:t>orting</w:t>
      </w:r>
      <w:r w:rsidRPr="00057D48">
        <w:rPr>
          <w:sz w:val="20"/>
          <w:szCs w:val="20"/>
        </w:rPr>
        <w:t xml:space="preserve"> Methods</w:t>
      </w:r>
      <w:r>
        <w:rPr>
          <w:sz w:val="20"/>
          <w:szCs w:val="20"/>
        </w:rPr>
        <w:t xml:space="preserve">) to 16S </w:t>
      </w:r>
      <w:r w:rsidR="00C150F6">
        <w:rPr>
          <w:sz w:val="20"/>
          <w:szCs w:val="20"/>
        </w:rPr>
        <w:t>c</w:t>
      </w:r>
      <w:r>
        <w:rPr>
          <w:sz w:val="20"/>
          <w:szCs w:val="20"/>
        </w:rPr>
        <w:t>opy number estimates in</w:t>
      </w:r>
      <w:r w:rsidR="00C150F6">
        <w:rPr>
          <w:sz w:val="20"/>
          <w:szCs w:val="20"/>
        </w:rPr>
        <w:t xml:space="preserve"> stool samples from</w:t>
      </w:r>
      <w:r>
        <w:rPr>
          <w:sz w:val="20"/>
          <w:szCs w:val="20"/>
        </w:rPr>
        <w:t xml:space="preserve"> </w:t>
      </w:r>
      <w:r w:rsidRPr="00057D48">
        <w:rPr>
          <w:sz w:val="20"/>
          <w:szCs w:val="20"/>
        </w:rPr>
        <w:t xml:space="preserve">the mouse gut dataset </w:t>
      </w:r>
      <w:r w:rsidRPr="00057D48">
        <w:rPr>
          <w:sz w:val="20"/>
          <w:szCs w:val="20"/>
        </w:rPr>
        <w:fldChar w:fldCharType="begin"/>
      </w:r>
      <w:r>
        <w:rPr>
          <w:sz w:val="20"/>
          <w:szCs w:val="20"/>
        </w:rPr>
        <w:instrText xml:space="preserve"> ADDIN ZOTERO_ITEM CSL_CITATION {"citationID":"shcUK0s4","properties":{"formattedCitation":"[3]","plainCitation":"[3]","noteIndex":0},"citationItems":[{"id":2078,"uris":["http://zotero.org/groups/5077571/items/9FC6PKRB"],"itemData":{"id":2078,"type":"article-journal","abstract":"A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F."}],"issued":{"date-parts":[["2020",5,22]]},"citation-key":"barlowQuantitativeSequencingFramework2020"}}],"schema":"https://github.com/citation-style-language/schema/raw/master/csl-citation.json"} </w:instrText>
      </w:r>
      <w:r w:rsidRPr="00057D48">
        <w:rPr>
          <w:sz w:val="20"/>
          <w:szCs w:val="20"/>
        </w:rPr>
        <w:fldChar w:fldCharType="separate"/>
      </w:r>
      <w:r>
        <w:rPr>
          <w:noProof/>
          <w:sz w:val="20"/>
          <w:szCs w:val="20"/>
        </w:rPr>
        <w:t>[3]</w:t>
      </w:r>
      <w:r w:rsidRPr="00057D48">
        <w:rPr>
          <w:sz w:val="20"/>
          <w:szCs w:val="20"/>
        </w:rPr>
        <w:fldChar w:fldCharType="end"/>
      </w:r>
      <w:r>
        <w:rPr>
          <w:sz w:val="20"/>
          <w:szCs w:val="20"/>
        </w:rPr>
        <w:t xml:space="preserve">. For each error level, </w:t>
      </w:r>
      <w:r w:rsidRPr="00057D48">
        <w:rPr>
          <w:sz w:val="20"/>
          <w:szCs w:val="20"/>
        </w:rPr>
        <w:t xml:space="preserve">50 </w:t>
      </w:r>
      <w:r>
        <w:rPr>
          <w:sz w:val="20"/>
          <w:szCs w:val="20"/>
        </w:rPr>
        <w:t xml:space="preserve">replicate matrices were generated and </w:t>
      </w:r>
      <w:r w:rsidRPr="00057D48">
        <w:rPr>
          <w:sz w:val="20"/>
          <w:szCs w:val="20"/>
        </w:rPr>
        <w:t xml:space="preserve">compared to the original </w:t>
      </w:r>
      <w:r>
        <w:rPr>
          <w:sz w:val="20"/>
          <w:szCs w:val="20"/>
        </w:rPr>
        <w:t>values.</w:t>
      </w:r>
      <w:r w:rsidRPr="00057D48">
        <w:rPr>
          <w:sz w:val="20"/>
          <w:szCs w:val="20"/>
        </w:rPr>
        <w:t xml:space="preserve"> </w:t>
      </w:r>
      <w:r>
        <w:rPr>
          <w:sz w:val="20"/>
          <w:szCs w:val="20"/>
        </w:rPr>
        <w:t xml:space="preserve">Panels </w:t>
      </w:r>
      <w:r w:rsidRPr="00057D48">
        <w:rPr>
          <w:sz w:val="20"/>
          <w:szCs w:val="20"/>
        </w:rPr>
        <w:t>reflect the (C) mean difference and (D) max difference between the error-added metrics compared to the original</w:t>
      </w:r>
      <w:r>
        <w:rPr>
          <w:sz w:val="20"/>
          <w:szCs w:val="20"/>
        </w:rPr>
        <w:t>s</w:t>
      </w:r>
      <w:r w:rsidRPr="00057D48">
        <w:rPr>
          <w:sz w:val="20"/>
          <w:szCs w:val="20"/>
        </w:rPr>
        <w:t>. Error bars represent the standard deviation of the average mean and max difference across 50 iterations.</w:t>
      </w:r>
    </w:p>
    <w:p w14:paraId="7BFE8391" w14:textId="1ECA1BE4" w:rsidR="00F81530" w:rsidRDefault="00F81530" w:rsidP="006A381E">
      <w:pPr>
        <w:spacing w:line="240" w:lineRule="auto"/>
      </w:pPr>
      <w:r>
        <w:tab/>
      </w:r>
      <w:r>
        <w:rPr>
          <w:i/>
          <w:iCs/>
        </w:rPr>
        <w:t>GU</w:t>
      </w:r>
      <w:r>
        <w:rPr>
          <w:i/>
          <w:iCs/>
          <w:vertAlign w:val="superscript"/>
        </w:rPr>
        <w:t xml:space="preserve">A </w:t>
      </w:r>
      <w:r>
        <w:t xml:space="preserve">is slower </w:t>
      </w:r>
      <w:r w:rsidR="00FF50D0">
        <w:t xml:space="preserve">to compute </w:t>
      </w:r>
      <w:r>
        <w:t>than</w:t>
      </w:r>
      <w:r w:rsidR="00425EC1">
        <w:t xml:space="preserve"> both</w:t>
      </w:r>
      <w:r>
        <w:t xml:space="preserve"> </w:t>
      </w:r>
      <w:r w:rsidR="00FF50D0">
        <w:rPr>
          <w:i/>
          <w:iCs/>
        </w:rPr>
        <w:t>BC</w:t>
      </w:r>
      <w:r w:rsidR="00FF50D0">
        <w:rPr>
          <w:i/>
          <w:iCs/>
          <w:vertAlign w:val="superscript"/>
        </w:rPr>
        <w:t xml:space="preserve">A </w:t>
      </w:r>
      <w:r w:rsidR="00FF50D0">
        <w:t xml:space="preserve">and </w:t>
      </w:r>
      <w:r w:rsidR="00FF50D0">
        <w:rPr>
          <w:i/>
          <w:iCs/>
        </w:rPr>
        <w:t>U</w:t>
      </w:r>
      <w:r w:rsidR="00FF50D0">
        <w:rPr>
          <w:i/>
          <w:iCs/>
          <w:vertAlign w:val="superscript"/>
        </w:rPr>
        <w:t xml:space="preserve">R </w:t>
      </w:r>
      <w:r w:rsidR="001D13C8">
        <w:t>because it must traverse the phylogenetic tree to calculate branch lengths for each iteration</w:t>
      </w:r>
      <w:r w:rsidR="00FF50D0">
        <w:t xml:space="preserve">. </w:t>
      </w:r>
      <w:r w:rsidR="001D13C8">
        <w:t>Computational time of</w:t>
      </w:r>
      <w:r w:rsidR="00FF50D0">
        <w:t xml:space="preserve"> </w:t>
      </w:r>
      <w:r w:rsidR="00FF50D0">
        <w:rPr>
          <w:i/>
          <w:iCs/>
        </w:rPr>
        <w:t>GU</w:t>
      </w:r>
      <w:r w:rsidR="00FF50D0">
        <w:rPr>
          <w:i/>
          <w:iCs/>
          <w:vertAlign w:val="superscript"/>
        </w:rPr>
        <w:t>A</w:t>
      </w:r>
      <w:r w:rsidR="00FF50D0">
        <w:rPr>
          <w:i/>
          <w:iCs/>
        </w:rPr>
        <w:t xml:space="preserve"> </w:t>
      </w:r>
      <w:r w:rsidR="001D13C8">
        <w:t xml:space="preserve">increases quadratically with ASV number and </w:t>
      </w:r>
      <w:r w:rsidR="00FF50D0">
        <w:t xml:space="preserve">is </w:t>
      </w:r>
      <w:r w:rsidR="00FE2461">
        <w:t xml:space="preserve">10-20 times slower, though up to 50 times slower, than </w:t>
      </w:r>
      <w:r w:rsidR="00FE2461">
        <w:rPr>
          <w:i/>
          <w:iCs/>
        </w:rPr>
        <w:t>BC</w:t>
      </w:r>
      <w:r w:rsidR="00FE2461">
        <w:rPr>
          <w:i/>
          <w:iCs/>
          <w:vertAlign w:val="superscript"/>
        </w:rPr>
        <w:t>A</w:t>
      </w:r>
      <w:r w:rsidR="001D13C8">
        <w:rPr>
          <w:i/>
          <w:iCs/>
          <w:vertAlign w:val="superscript"/>
        </w:rPr>
        <w:t xml:space="preserve"> </w:t>
      </w:r>
      <w:r w:rsidR="001D13C8">
        <w:t>(Fig. 4A-B).</w:t>
      </w:r>
      <w:r w:rsidR="00FF50D0">
        <w:t xml:space="preserve"> </w:t>
      </w:r>
      <w:r w:rsidR="001D13C8">
        <w:t xml:space="preserve">The </w:t>
      </w:r>
      <w:r w:rsidR="00FF50D0">
        <w:t xml:space="preserve">number of samples or </w:t>
      </w:r>
      <m:oMath>
        <m:r>
          <w:rPr>
            <w:rFonts w:ascii="Cambria Math" w:hAnsi="Cambria Math"/>
          </w:rPr>
          <m:t>α</m:t>
        </m:r>
      </m:oMath>
      <w:r w:rsidR="00FF50D0">
        <w:t xml:space="preserve"> values</w:t>
      </w:r>
      <w:r w:rsidR="001D13C8">
        <w:t>, however, have relatively little effect on runtime (</w:t>
      </w:r>
      <w:r w:rsidR="00620593">
        <w:t>Fig. S5</w:t>
      </w:r>
      <w:r w:rsidR="001D13C8">
        <w:t>).</w:t>
      </w:r>
      <w:r w:rsidR="00FF50D0">
        <w:t xml:space="preserve"> </w:t>
      </w:r>
      <w:r w:rsidR="001D13C8">
        <w:t>For a dataset of</w:t>
      </w:r>
      <w:r w:rsidR="00FF50D0">
        <w:t xml:space="preserve"> </w:t>
      </w:r>
      <w:r w:rsidR="00FE2461">
        <w:t>24</w:t>
      </w:r>
      <w:r w:rsidR="00FF50D0">
        <w:t>,000 ASV</w:t>
      </w:r>
      <w:r w:rsidR="001D13C8">
        <w:t>s, computing on a single CPU is still reasonable</w:t>
      </w:r>
      <w:r w:rsidR="00FF50D0">
        <w:t xml:space="preserve"> (</w:t>
      </w:r>
      <w:r w:rsidR="00FE2461">
        <w:t>1.4</w:t>
      </w:r>
      <w:r w:rsidR="00FF50D0">
        <w:t xml:space="preserve"> minutes), </w:t>
      </w:r>
      <w:r w:rsidR="001D13C8">
        <w:t>but repeated rarefaction increases runtime substantially because</w:t>
      </w:r>
      <w:r w:rsidR="00FF50D0">
        <w:t xml:space="preserve"> branch lengths are redundantly calculated </w:t>
      </w:r>
      <w:r w:rsidR="001D13C8">
        <w:t>with each iteration</w:t>
      </w:r>
      <w:r w:rsidR="00FF50D0">
        <w:t xml:space="preserve">. </w:t>
      </w:r>
      <w:r w:rsidR="001D13C8">
        <w:t xml:space="preserve">Allowing branch-length objects to be cached or incorporated directly </w:t>
      </w:r>
      <w:r w:rsidR="00FF50D0">
        <w:t xml:space="preserve">into the </w:t>
      </w:r>
      <w:proofErr w:type="spellStart"/>
      <w:r w:rsidR="00FF50D0">
        <w:t>GUnifrac</w:t>
      </w:r>
      <w:proofErr w:type="spellEnd"/>
      <w:r w:rsidR="00FF50D0">
        <w:t xml:space="preserve"> </w:t>
      </w:r>
      <w:r w:rsidR="001D13C8">
        <w:t xml:space="preserve">workflow would considerably </w:t>
      </w:r>
      <w:r w:rsidR="00FF50D0">
        <w:t xml:space="preserve">improve computational efficiency. </w:t>
      </w:r>
    </w:p>
    <w:p w14:paraId="5F0EF64C" w14:textId="21297B73" w:rsidR="001D13C8" w:rsidRPr="006A381E" w:rsidRDefault="001D13C8" w:rsidP="006A381E">
      <w:pPr>
        <w:spacing w:line="240" w:lineRule="auto"/>
        <w:ind w:firstLine="720"/>
      </w:pPr>
      <w:r>
        <w:t xml:space="preserve">We also evaluated the sensitivity of </w:t>
      </w:r>
      <w:r>
        <w:rPr>
          <w:i/>
          <w:iCs/>
        </w:rPr>
        <w:t>GU</w:t>
      </w:r>
      <w:r>
        <w:rPr>
          <w:i/>
          <w:iCs/>
          <w:vertAlign w:val="superscript"/>
        </w:rPr>
        <w:t>A</w:t>
      </w:r>
      <w:r>
        <w:t xml:space="preserve"> to measurement error in absolute abundance due to </w:t>
      </w:r>
      <w:r w:rsidR="00FF50D0">
        <w:t>uncertainty arising from the quantification of cell number o</w:t>
      </w:r>
      <w:r w:rsidR="00210DF7">
        <w:t>r</w:t>
      </w:r>
      <w:r w:rsidR="00FF50D0">
        <w:t xml:space="preserve"> 16S copy number. To assess the sensitivity of </w:t>
      </w:r>
      <w:r w:rsidR="00FF50D0">
        <w:rPr>
          <w:i/>
          <w:iCs/>
        </w:rPr>
        <w:t>GU</w:t>
      </w:r>
      <w:r w:rsidR="00FF50D0">
        <w:rPr>
          <w:i/>
          <w:iCs/>
          <w:vertAlign w:val="superscript"/>
        </w:rPr>
        <w:t xml:space="preserve">A </w:t>
      </w:r>
      <w:r w:rsidR="00FF50D0">
        <w:t xml:space="preserve">and </w:t>
      </w:r>
      <w:r w:rsidR="00FF50D0">
        <w:rPr>
          <w:i/>
          <w:iCs/>
        </w:rPr>
        <w:t>BC</w:t>
      </w:r>
      <w:r w:rsidR="00FF50D0">
        <w:rPr>
          <w:i/>
          <w:iCs/>
          <w:vertAlign w:val="superscript"/>
        </w:rPr>
        <w:t>A</w:t>
      </w:r>
      <w:r w:rsidR="00FF50D0">
        <w:rPr>
          <w:i/>
          <w:iCs/>
        </w:rPr>
        <w:t xml:space="preserve"> </w:t>
      </w:r>
      <w:r w:rsidR="00FF50D0">
        <w:t xml:space="preserve">to measurement error, we added random error to the 16S copy number measurements from the mouse gut dataset, limiting our analyses to the stool samples where copy numbers varied by an order of magnitude. Across 50 iterations, each copy number could randomly vary by a given percentage of error in either direction. We re-calculated </w:t>
      </w:r>
      <m:oMath>
        <m:r>
          <w:rPr>
            <w:rFonts w:ascii="Cambria Math" w:hAnsi="Cambria Math"/>
          </w:rPr>
          <m:t>β</m:t>
        </m:r>
      </m:oMath>
      <w:r w:rsidR="00FF50D0" w:rsidRPr="0007048F">
        <w:t>-diversity</w:t>
      </w:r>
      <w:r w:rsidR="00FF50D0">
        <w:t xml:space="preserve"> (</w:t>
      </w:r>
      <w:r w:rsidR="00FF50D0">
        <w:rPr>
          <w:i/>
          <w:iCs/>
        </w:rPr>
        <w:t>BC</w:t>
      </w:r>
      <w:r w:rsidR="00FF50D0">
        <w:rPr>
          <w:i/>
          <w:iCs/>
          <w:vertAlign w:val="superscript"/>
        </w:rPr>
        <w:t>A</w:t>
      </w:r>
      <w:r w:rsidR="00FF50D0">
        <w:rPr>
          <w:i/>
          <w:iCs/>
        </w:rPr>
        <w:t xml:space="preserve"> </w:t>
      </w:r>
      <w:r w:rsidR="00FF50D0" w:rsidRPr="006A381E">
        <w:t>and</w:t>
      </w:r>
      <w:r w:rsidR="00FF50D0">
        <w:rPr>
          <w:i/>
          <w:iCs/>
        </w:rPr>
        <w:t xml:space="preserve"> GU</w:t>
      </w:r>
      <w:r w:rsidR="00FF50D0">
        <w:rPr>
          <w:i/>
          <w:iCs/>
          <w:vertAlign w:val="superscript"/>
        </w:rPr>
        <w:t>A</w:t>
      </w:r>
      <w:r w:rsidR="00FF50D0">
        <w:rPr>
          <w:i/>
          <w:iCs/>
        </w:rPr>
        <w:t xml:space="preserve"> </w:t>
      </w:r>
      <w:r w:rsidR="00FF50D0" w:rsidRPr="006A381E">
        <w:t>at</w:t>
      </w:r>
      <w:r w:rsidR="00FF50D0">
        <w:rPr>
          <w:i/>
          <w:iCs/>
        </w:rPr>
        <w:t xml:space="preserve"> </w:t>
      </w:r>
      <m:oMath>
        <m:r>
          <w:rPr>
            <w:rFonts w:ascii="Cambria Math" w:hAnsi="Cambria Math"/>
          </w:rPr>
          <m:t>α</m:t>
        </m:r>
      </m:oMath>
      <w:r w:rsidR="00FF50D0">
        <w:t xml:space="preserve"> = 1 and </w:t>
      </w:r>
      <m:oMath>
        <m:r>
          <w:rPr>
            <w:rFonts w:ascii="Cambria Math" w:hAnsi="Cambria Math"/>
          </w:rPr>
          <m:t>α</m:t>
        </m:r>
      </m:oMath>
      <w:r w:rsidR="00FF50D0">
        <w:t xml:space="preserve"> = 0.2) and compared these measurements to the original dataset. </w:t>
      </w:r>
    </w:p>
    <w:p w14:paraId="6A1A37C0" w14:textId="4BE998D7" w:rsidR="00693D9A" w:rsidRDefault="001D13C8" w:rsidP="006A381E">
      <w:pPr>
        <w:spacing w:line="240" w:lineRule="auto"/>
        <w:ind w:firstLine="720"/>
        <w:rPr>
          <w:rFonts w:eastAsiaTheme="minorEastAsia"/>
        </w:rPr>
      </w:pPr>
      <w:r w:rsidRPr="006A381E">
        <w:rPr>
          <w:rFonts w:cs="Times New Roman"/>
          <w:kern w:val="0"/>
        </w:rPr>
        <w:t>Introducing random variation into measured 16S copy number altered</w:t>
      </w:r>
      <w:r>
        <w:rPr>
          <w:rFonts w:cs="Times New Roman"/>
          <w:kern w:val="0"/>
        </w:rPr>
        <w:t xml:space="preserve"> </w:t>
      </w:r>
      <w:r>
        <w:rPr>
          <w:i/>
          <w:iCs/>
        </w:rPr>
        <w:t>GU</w:t>
      </w:r>
      <w:r>
        <w:rPr>
          <w:i/>
          <w:iCs/>
          <w:vertAlign w:val="superscript"/>
        </w:rPr>
        <w:t>A</w:t>
      </w:r>
      <w:r w:rsidRPr="006A381E">
        <w:rPr>
          <w:rFonts w:cs="Times New Roman"/>
          <w:kern w:val="0"/>
        </w:rPr>
        <w:t xml:space="preserve"> values only modestly, and the effect was proportional to the magnitude of the added noise (Fig. 4C–D). At α = 1, each 1% of quantification error introduced an average difference of 0.0022 in </w:t>
      </w:r>
      <w:r w:rsidR="00DB4875">
        <w:rPr>
          <w:i/>
          <w:iCs/>
        </w:rPr>
        <w:t>GU</w:t>
      </w:r>
      <w:r w:rsidR="00DB4875">
        <w:rPr>
          <w:i/>
          <w:iCs/>
          <w:vertAlign w:val="superscript"/>
        </w:rPr>
        <w:t>A</w:t>
      </w:r>
      <w:r w:rsidRPr="006A381E">
        <w:rPr>
          <w:rFonts w:cs="Times New Roman"/>
          <w:kern w:val="0"/>
        </w:rPr>
        <w:t xml:space="preserve">; at α = 0.2, </w:t>
      </w:r>
      <w:r w:rsidR="00DB4875">
        <w:rPr>
          <w:i/>
          <w:iCs/>
        </w:rPr>
        <w:t>GU</w:t>
      </w:r>
      <w:r w:rsidR="00DB4875">
        <w:rPr>
          <w:i/>
          <w:iCs/>
          <w:vertAlign w:val="superscript"/>
        </w:rPr>
        <w:t>A</w:t>
      </w:r>
      <w:r w:rsidRPr="006A381E">
        <w:rPr>
          <w:rFonts w:cs="Times New Roman"/>
          <w:kern w:val="0"/>
        </w:rPr>
        <w:t xml:space="preserve"> was even less sensitive. Thus, moderate α values provide a balance between interpretability and robustness to noise in absolute quantification.</w:t>
      </w:r>
      <w:r>
        <w:rPr>
          <w:rFonts w:cs="Times New Roman"/>
        </w:rPr>
        <w:t xml:space="preserve"> </w:t>
      </w:r>
      <w:r w:rsidR="000E114E">
        <w:rPr>
          <w:rFonts w:eastAsiaTheme="minorEastAsia"/>
        </w:rPr>
        <w:t>The max d</w:t>
      </w:r>
      <w:r w:rsidR="006B7ABE">
        <w:rPr>
          <w:rFonts w:eastAsiaTheme="minorEastAsia"/>
        </w:rPr>
        <w:t>eviation from true</w:t>
      </w:r>
      <w:r w:rsidR="000E114E">
        <w:rPr>
          <w:rFonts w:eastAsiaTheme="minorEastAsia"/>
        </w:rPr>
        <w:t xml:space="preserve"> that added error could </w:t>
      </w:r>
      <w:r w:rsidR="006B7ABE">
        <w:rPr>
          <w:rFonts w:eastAsiaTheme="minorEastAsia"/>
        </w:rPr>
        <w:t>inflict on a given metric was also proportional (and always less) than the magnitude of the error itself (Fig. 4D)</w:t>
      </w:r>
      <w:r>
        <w:rPr>
          <w:rFonts w:eastAsiaTheme="minorEastAsia"/>
        </w:rPr>
        <w:t xml:space="preserve">. </w:t>
      </w:r>
      <w:r w:rsidR="006B7ABE">
        <w:rPr>
          <w:rFonts w:eastAsiaTheme="minorEastAsia"/>
        </w:rPr>
        <w:t>A more rigorous approach to assessing error propagation within these metrics, including mathematical proofs of the relationships estimated above, is outside the scope of this paper but would be helpful.</w:t>
      </w:r>
    </w:p>
    <w:p w14:paraId="0CFAD39F" w14:textId="77777777" w:rsidR="00B25A30" w:rsidRPr="00206EE1" w:rsidRDefault="00B25A30" w:rsidP="00B25A30">
      <w:pPr>
        <w:spacing w:line="240" w:lineRule="auto"/>
        <w:ind w:firstLine="720"/>
        <w:rPr>
          <w:rFonts w:eastAsiaTheme="minorEastAsia"/>
        </w:rPr>
      </w:pPr>
      <w:r>
        <w:rPr>
          <w:i/>
          <w:iCs/>
        </w:rPr>
        <w:t>GU</w:t>
      </w:r>
      <w:r>
        <w:rPr>
          <w:i/>
          <w:iCs/>
          <w:vertAlign w:val="superscript"/>
        </w:rPr>
        <w:t>A</w:t>
      </w:r>
      <w:r>
        <w:rPr>
          <w:i/>
          <w:iCs/>
        </w:rPr>
        <w:t xml:space="preserve"> </w:t>
      </w:r>
      <w:r>
        <w:t xml:space="preserve">was also insensitive to normalization approaches that adjust ASV abundances based on the predicted 16S rRNA gene copy number (Fig. S6; supplemental methods). We used PICRUSt2 (v2.6) to normalize ASV abundances within each dataset based on predicted 16S copy number per genome, and then applied our standard rarefaction pipeline prior to </w:t>
      </w:r>
      <w:r>
        <w:rPr>
          <w:i/>
          <w:iCs/>
        </w:rPr>
        <w:t>GU</w:t>
      </w:r>
      <w:r>
        <w:rPr>
          <w:i/>
          <w:iCs/>
          <w:vertAlign w:val="superscript"/>
        </w:rPr>
        <w:t>A</w:t>
      </w:r>
      <w:r>
        <w:t xml:space="preserve"> calculation  (Box 2) </w:t>
      </w:r>
      <w:r>
        <w:fldChar w:fldCharType="begin"/>
      </w:r>
      <w:r>
        <w:instrText xml:space="preserve"> ADDIN ZOTERO_ITEM CSL_CITATION {"citationID":"QlqAkj2I","properties":{"formattedCitation":"[20,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fldChar w:fldCharType="separate"/>
      </w:r>
      <w:r>
        <w:rPr>
          <w:noProof/>
        </w:rPr>
        <w:t>[20, 21]</w:t>
      </w:r>
      <w:r>
        <w:fldChar w:fldCharType="end"/>
      </w:r>
      <w:r>
        <w:t xml:space="preserve">. Correlations between </w:t>
      </w:r>
      <w:r>
        <w:rPr>
          <w:i/>
          <w:iCs/>
        </w:rPr>
        <w:t>GU</w:t>
      </w:r>
      <w:r>
        <w:rPr>
          <w:i/>
          <w:iCs/>
          <w:vertAlign w:val="superscript"/>
        </w:rPr>
        <w:t xml:space="preserve">A </w:t>
      </w:r>
      <w:r>
        <w:t xml:space="preserve">distance matrices calculated from 16S copy number-normalized datasets and those from the original, non-normalized datasets were consistently near unity across all datasets (Mantel’s R &gt; 0.98, Fig. S6A), demonstrating that 16S copy number-normalization had a negligible effect on </w:t>
      </w:r>
      <w:r>
        <w:rPr>
          <w:i/>
          <w:iCs/>
        </w:rPr>
        <w:t>GU</w:t>
      </w:r>
      <w:r>
        <w:rPr>
          <w:i/>
          <w:iCs/>
          <w:vertAlign w:val="superscript"/>
        </w:rPr>
        <w:t>A</w:t>
      </w:r>
      <w:r>
        <w:t xml:space="preserve">. Sensitivity of </w:t>
      </w:r>
      <w:r>
        <w:rPr>
          <w:i/>
          <w:iCs/>
        </w:rPr>
        <w:t>GU</w:t>
      </w:r>
      <w:r>
        <w:rPr>
          <w:i/>
          <w:iCs/>
          <w:vertAlign w:val="superscript"/>
        </w:rPr>
        <w:t>A</w:t>
      </w:r>
      <w:r>
        <w:t xml:space="preserve"> to 16S copy number-normalization generally decreased with increasing values of </w:t>
      </w:r>
      <m:oMath>
        <m:r>
          <w:rPr>
            <w:rFonts w:ascii="Cambria Math" w:hAnsi="Cambria Math"/>
          </w:rPr>
          <m:t>α</m:t>
        </m:r>
      </m:oMath>
      <w:r>
        <w:rPr>
          <w:rFonts w:eastAsiaTheme="minorEastAsia"/>
        </w:rPr>
        <w:t xml:space="preserve"> in the cooling reactor, freshwater, and soil datasets, but not in the mouse gut dataset (Fig. S6A). In the mouse gut dataset, several highly abundant ASVs belonging to the genus </w:t>
      </w:r>
      <w:proofErr w:type="spellStart"/>
      <w:r>
        <w:rPr>
          <w:rFonts w:eastAsiaTheme="minorEastAsia"/>
          <w:i/>
          <w:iCs/>
        </w:rPr>
        <w:t>Faecalibaculum</w:t>
      </w:r>
      <w:proofErr w:type="spellEnd"/>
      <w:r>
        <w:rPr>
          <w:rFonts w:eastAsiaTheme="minorEastAsia"/>
          <w:i/>
          <w:iCs/>
        </w:rPr>
        <w:t xml:space="preserve"> </w:t>
      </w:r>
      <w:r>
        <w:rPr>
          <w:rFonts w:eastAsiaTheme="minorEastAsia"/>
        </w:rPr>
        <w:t xml:space="preserve">had predicted 16S copy numbers of seven copies per genome, explaining the relatively greater (though still weak) sensitivity of </w:t>
      </w:r>
      <w:r>
        <w:rPr>
          <w:rFonts w:eastAsiaTheme="minorEastAsia"/>
        </w:rPr>
        <w:lastRenderedPageBreak/>
        <w:t xml:space="preserve">this dataset to copy number-normalization (Fig. S6B). Finally, we note that 16S copy number-normalization does not account for variation in genome copies per cell (ploidy), which can vary across several orders of magnitude between species and growth phase </w:t>
      </w:r>
      <w:r>
        <w:rPr>
          <w:rFonts w:eastAsiaTheme="minorEastAsia"/>
        </w:rPr>
        <w:fldChar w:fldCharType="begin"/>
      </w:r>
      <w:r>
        <w:rPr>
          <w:rFonts w:eastAsiaTheme="minorEastAsia"/>
        </w:rPr>
        <w:instrText xml:space="preserve"> ADDIN ZOTERO_ITEM CSL_CITATION {"citationID":"IPuij86f","properties":{"formattedCitation":"[22\\uc0\\u8211{}24]","plainCitation":"[22–24]","noteIndex":0},"citationItems":[{"id":2117,"uris":["http://zotero.org/groups/5077571/items/N6LBIAEB"],"itemData":{"id":2117,"type":"article-journal","abstract":"a recently developed real-time pcr method for the determination of genome copy numbers was optimized for the application to cyanobacteria. three species were chosen to represent a fresh water species, a salt water species, and two strains of a widely used laboratory species. s ynechococcus pcc 7942 and s ynechococcus wh7803 were found to contain 3–4 genome copies per cell and are thus oligoploid, confirming earlier publications. in contrast, s ynechocystis pcc 6803 is highly polyploid. the motile wild-type strain contains 218 genome copies in exponential phase and 58 genome copies in linear and in stationary growth phase. the gt wild-type strain contains 142 genome copies in exponential phase and 42 genome copies in linear and stationary growth phase. these are the highest numbers found for any cyanobacterial species. notably these values are much higher than the value of 12 genome copies published for the ‘kazusa’ strain more than 20 years ago. the results reveal that for s ynechocystis pcc 6803 strain differences exist and that the ploidy level is highly growth phase-regulated. a compilation of the ploidy levels of all investigated cyanobacterial species gives an overview of the genome copy number distribution and shows that monoploid, oligoploid, and polyploid cyanobacteria exist.","container-title":"FEMS Microbiology Letters","DOI":"10.1111/j.1574-6968.2011.02368.x","ISSN":"0378-1097","issue":"2","journalAbbreviation":"FEMS Microbiol Lett","page":"124-131","source":"Silverchair","title":"Ploidy in cyanobacteria","volume":"323","author":[{"family":"Griese","given":"Marco"},{"family":"Lange","given":"Christian"},{"family":"Soppa","given":"Jörg"}],"issued":{"date-parts":[["2011",10,1]]},"citation-key":"griesePloidyCyanobacteria2011a"}},{"id":2115,"uris":["http://zotero.org/groups/5077571/items/E3K3DT8V"],"itemData":{"id":2115,"type":"article-journal","abstract":"Cells rely on diffusion to move metabolites and biomolecules. Diffusion is highly efficient but only over short distances. Although eukaryotic cells have broken free of diffusion-dictated constraints on cell size, most bacteria and archaea are forced to remain small. Exceptions to this rule are found among the bacterial symbionts of surgeonfish; Epulopiscium spp. are cigar-shaped cells that reach lengths in excess of 600 μm. A large Epulopiscium contains thousands of times more DNA than a bacterium such as Escherichia coli, but the composition of this DNA is not well understood. Here, we present evidence that Epulopiscium contains tens of thousands of copies of its genome. Using quantitative, single-cell PCR assays targeting single-copy genes, we have determined that copy number is positively correlated with Epulopiscium cell size. Although other bacteria are known to possess multiple genomes, polyploidy of the magnitude observed in Epulopiscium is unprecedented. The arrangement of genomes around the cell periphery may permit regional responses to local stimuli, thus allowing Epulopiscium to maintain its unusually large size. Surveys of the sequences of single-copy genes (dnaA, recA, and ftsZ) revealed genetic homogeneity within a cell consistent with only a small amount (≈1%) of the parental DNA being transferred to the next generation. The results also suggest that the abundance of genome copies in Epulopiscium may allow for an unstable genetic feature, a long mononucleotide tract, in an essential gene. With the evolution of extreme polyploidy and large cell size, Epulopiscium has acquired some of the advantages of eukaryotic cells.","container-title":"Proceedings of the National Academy of Sciences","DOI":"10.1073/pnas.0707522105","issue":"18","note":"publisher: Proceedings of the National Academy of Sciences","page":"6730-6734","source":"pnas.org (Atypon)","title":"Extreme polyploidy in a large bacterium","volume":"105","author":[{"family":"Mendell","given":"Jennifer E."},{"family":"Clements","given":"Kendall D."},{"family":"Choat","given":"J. Howard"},{"family":"Angert","given":"Esther R."}],"issued":{"date-parts":[["2008",5,6]]},"citation-key":"mendellExtremePolyploidyLarge2008"}},{"id":2116,"uris":["http://zotero.org/groups/5077571/items/CKEA7MWK"],"itemData":{"id":2116,"type":"article-journal","abstract":"Bacteria are generally assumed to be monoploid (haploid). This assumption is mainly based on generalization of the results obtained with the most intensely studied model bacterium, Escherichia coli (a gamma-proteobacterium), which is monoploid during very slow growth. However, several species of proteobacteria are oligo- or polyploid, respectively. To get a better overview of the distribution of ploidy levels, genome copy numbers were quantified in four species of three different groups of proteobacteria. A recently developed Real Time PCR approach, which had been used to determine the ploidy levels of halophilic archaea, was optimized for the quantification of genome copy numbers of bacteria. Slow-growing (doubling time 103 minutes) and fast-growing (doubling time 25 minutes) E. coli cultures were used as a positive control. The copy numbers of the origin and terminus region of the chromosome were determined and the results were in excellent agreement with published data. The approach was also used to determine the ploidy levels of Caulobacter crescentus (an alpha-proteobacterium) and Wolinella succinogenes (an epsilon-proteobacterium), both of which are monoploid. In contrast, Pseudomonas putida (a gamma-proteobacterium) contains 20 genome copies and is thus polyploid. A survey of the proteobacteria with experimentally-determined genome copy numbers revealed that only three to four of 11 species are monoploid and thus monoploidy is not typical for proteobacteria. The ploidy level is not conserved within the groups of proteobacteria, and there are no obvious correlations between the ploidy levels with other parameters like genome size, optimal growth temperature or mode of life.","container-title":"PLOS ONE","DOI":"10.1371/journal.pone.0016392","ISSN":"1932-6203","issue":"1","journalAbbreviation":"PLOS ONE","language":"en","note":"publisher: Public Library of Science","page":"e16392","source":"PLoS Journals","title":"Quantification of Ploidy in Proteobacteria Revealed the Existence of Monoploid, (Mero-)Oligoploid and Polyploid Species","volume":"6","author":[{"family":"Pecoraro","given":"Vito"},{"family":"Zerulla","given":"Karolin"},{"family":"Lange","given":"Christian"},{"family":"Soppa","given":"Jörg"}],"issued":{"date-parts":[["2011",1,31]]},"citation-key":"pecoraroQuantificationPloidyProteobacteria2011"}}],"schema":"https://github.com/citation-style-language/schema/raw/master/csl-citation.json"} </w:instrText>
      </w:r>
      <w:r>
        <w:rPr>
          <w:rFonts w:eastAsiaTheme="minorEastAsia"/>
        </w:rPr>
        <w:fldChar w:fldCharType="separate"/>
      </w:r>
      <w:r w:rsidRPr="009E56F5">
        <w:rPr>
          <w:rFonts w:cs="Times New Roman"/>
          <w:kern w:val="0"/>
        </w:rPr>
        <w:t>[22–24]</w:t>
      </w:r>
      <w:r>
        <w:rPr>
          <w:rFonts w:eastAsiaTheme="minorEastAsia"/>
        </w:rPr>
        <w:fldChar w:fldCharType="end"/>
      </w:r>
      <w:r>
        <w:rPr>
          <w:rFonts w:eastAsiaTheme="minorEastAsia"/>
        </w:rPr>
        <w:t>.</w:t>
      </w:r>
    </w:p>
    <w:p w14:paraId="37D7F57D" w14:textId="77777777" w:rsidR="001D13C8" w:rsidRPr="006A381E" w:rsidRDefault="001D13C8" w:rsidP="006A381E">
      <w:pPr>
        <w:spacing w:line="240" w:lineRule="auto"/>
        <w:rPr>
          <w:rFonts w:eastAsiaTheme="minorEastAsia"/>
          <w:b/>
          <w:bCs/>
        </w:rPr>
      </w:pPr>
      <w:r w:rsidRPr="006A381E">
        <w:rPr>
          <w:rFonts w:eastAsiaTheme="minorEastAsia"/>
          <w:b/>
          <w:bCs/>
        </w:rPr>
        <w:t>Ecological Interpretation and conceptual significance</w:t>
      </w:r>
    </w:p>
    <w:p w14:paraId="3479E1FD" w14:textId="3255C90C" w:rsidR="001D13C8" w:rsidRPr="006A381E" w:rsidRDefault="001D13C8" w:rsidP="006A381E">
      <w:pPr>
        <w:spacing w:line="240" w:lineRule="auto"/>
        <w:ind w:firstLine="504"/>
        <w:rPr>
          <w:sz w:val="20"/>
          <w:szCs w:val="20"/>
        </w:rPr>
      </w:pPr>
      <w:r>
        <w:t xml:space="preserve">Absolute </w:t>
      </w:r>
      <w:proofErr w:type="spellStart"/>
      <w:r>
        <w:t>Uni</w:t>
      </w:r>
      <w:r w:rsidR="000C73B5">
        <w:t>F</w:t>
      </w:r>
      <w:r>
        <w:t>rac</w:t>
      </w:r>
      <w:proofErr w:type="spellEnd"/>
      <w:r>
        <w:t xml:space="preserve"> reframes the interpretation of </w:t>
      </w:r>
      <w:r w:rsidRPr="001061A5">
        <w:rPr>
          <w:i/>
          <w:iCs/>
        </w:rPr>
        <w:t>β</w:t>
      </w:r>
      <w:r w:rsidRPr="00057D48">
        <w:t>-diversity</w:t>
      </w:r>
      <w:r>
        <w:t xml:space="preserve"> by making biomass an explicit ecological axis rather than an unmeasured or normalized-away quantity. Conventional </w:t>
      </w:r>
      <w:proofErr w:type="spellStart"/>
      <w:r>
        <w:t>UniFrac</w:t>
      </w:r>
      <w:proofErr w:type="spellEnd"/>
      <w:r>
        <w:t xml:space="preserve"> capture</w:t>
      </w:r>
      <w:r w:rsidR="00DB4875">
        <w:t>s</w:t>
      </w:r>
      <w:r>
        <w:t xml:space="preserve"> composition and shared evolutionary history but implicitly invites interpretation as if it also encodes differences on microbial load. By incorporating absolute abundance directly, Absolute </w:t>
      </w:r>
      <w:proofErr w:type="spellStart"/>
      <w:r>
        <w:t>UniFrac</w:t>
      </w:r>
      <w:proofErr w:type="spellEnd"/>
      <w:r>
        <w:t xml:space="preserve"> helps to resolve this mismatch and restores alignment between ecological hypotheses and the quantities represented in the metric. In this view, </w:t>
      </w:r>
      <w:r w:rsidRPr="00057D48">
        <w:t>β-diversity</w:t>
      </w:r>
      <w:r>
        <w:t xml:space="preserve"> becomes a three-axis ecological measure, incorporating composition, phylogeny and biomass, rather than a two-axis approximation. That said, the additional dimension of microbial load also increases the complexity of applying and interpreting this metric.</w:t>
      </w:r>
    </w:p>
    <w:p w14:paraId="54E17743" w14:textId="5348A11A" w:rsidR="006B42C1" w:rsidRDefault="00AA63C5" w:rsidP="006A381E">
      <w:pPr>
        <w:spacing w:line="240" w:lineRule="auto"/>
        <w:ind w:firstLine="504"/>
      </w:pPr>
      <w:r>
        <w:t>There are many cases where t</w:t>
      </w:r>
      <w:r w:rsidRPr="0007048F">
        <w:t xml:space="preserve">he incorporation of absolute abundance allows microbial ecologists to assess more realistic, </w:t>
      </w:r>
      <w:proofErr w:type="gramStart"/>
      <w:r w:rsidRPr="0007048F">
        <w:t>ecologically-relevant</w:t>
      </w:r>
      <w:proofErr w:type="gramEnd"/>
      <w:r w:rsidRPr="0007048F">
        <w:t xml:space="preserve"> differences in microbial communities, especially </w:t>
      </w:r>
      <w:r w:rsidR="001D13C8">
        <w:t>when</w:t>
      </w:r>
      <w:r w:rsidRPr="0007048F">
        <w:t xml:space="preserve"> </w:t>
      </w:r>
      <w:r w:rsidR="001D13C8">
        <w:t>microbial load is mechanistically central</w:t>
      </w:r>
      <w:r w:rsidRPr="0007048F">
        <w:t>.</w:t>
      </w:r>
      <w:r w:rsidR="006B42C1">
        <w:t xml:space="preserve"> Outside of the datasets re-analyzed here </w:t>
      </w:r>
      <w:r w:rsidR="006B42C1">
        <w:fldChar w:fldCharType="begin"/>
      </w:r>
      <w:r w:rsidR="00A20B2F">
        <w:instrText xml:space="preserve"> ADDIN ZOTERO_ITEM CSL_CITATION {"citationID":"uTULU8fZ","properties":{"formattedCitation":"[3, 5, 9, 10]","plainCitation":"[3, 5, 9, 10]","noteIndex":0},"citationItems":[{"id":1451,"uris":["http://zotero.org/groups/5077571/items/JAZBIWBQ"],"itemData":{"id":1451,"type":"article-journal","abstract":"High-throughput amplicon sequencing has become a well-established approach for microbial community profiling. Correlating shifts in the relative abundances of bacterial taxa with environmental gradients is the goal of many microbiome surveys. As the abundances generated by this technology are semi-quantitative by definition, the observed dynamics may not accurately reflect those of the actual taxon densities. We combined the sequencing approach (16S rRNA gene) with robust single-cell enumeration technologies (flow cytometry) to quantify the absolute taxon abundances. A detailed longitudinal analysis of the absolute abundances resulted in distinct abundance profiles that were less ambiguous and expressed in units that can be directly compared across studies. We further provide evidence that the enrichment of taxa (increase in relative abundance) does not necessarily relate to the outgrowth of taxa (increase in absolute abundance). Our results highlight that both relative and absolute abundances should be considered for a comprehensive biological interpretation of microbiome surveys.","container-title":"The ISME Journal","DOI":"10.1038/ismej.2016.117","ISSN":"1751-7370","issue":"2","journalAbbreviation":"ISME J","language":"en","license":"2017 International Society for Microbial Ecology","note":"publisher: Nature Publishing Group","page":"584-587","source":"www.nature.com","title":"Absolute quantification of microbial taxon abundances","volume":"11","author":[{"family":"Props","given":"Ruben"},{"family":"Kerckhof","given":"Frederiek-Maarten"},{"family":"Rubbens","given":"Peter"},{"family":"De Vrieze","given":"Jo"},{"family":"Hernandez Sanabria","given":"Emma"},{"family":"Waegeman","given":"Willem"},{"family":"Monsieurs","given":"Pieter"},{"family":"Hammes","given":"Frederik"},{"family":"Boon","given":"Nico"}],"issued":{"date-parts":[["2017",2]]},"citation-key":"propsAbsoluteQuantificationMicrobial2017"}},{"id":2082,"uris":["http://zotero.org/groups/5077571/items/7DSKNWDW"],"itemData":{"id":2082,"type":"article-journal","abstract":"High-throughput sequencing has become a critical tool for studying microbiomes by measuring relative microbiome profiling, although this typically overlooks the absolute abundance of microbiomes. Consequently, pathological, physiological, and ecological roles of microbial communities may be represented inaccurately. To address this, we estimated absolute abundances of soil microbiomes by combining amplicon sequencing with quantitative PCR. We collected soil samples (0–30 cm) at three sampling times (pre-planting, flowering, and maturity) from peanut plots subject to a long-term conventional rotation (peanut-cotton-cotton, CR) or sod-based rotation (bahiagrass-bahiagrass-peanut-cotton, SBR). Rotation and sampling time were important in shaping microbial communities. Relative to CR, SBR had greater microbial diversity, greater community stability, complexity and stability of bacterial-fungal networks, and greater richness and abundance of keystone taxa, which may make soil microbiomes more resilient to environmental changes among sampling times. SBR also showed significantly greater concentrations of total C and N, NO3−-N, resin-extractable P, Mg, Zn, Fe, and Cu, and greater potential N mineralization rates and C:N ratios, indicating that SBR’s higher rotational diversity affected soil health in the topsoil. There were more significant relationships between soil nutrients and microbial community composition as well as keystone taxa under SBR, indicating that higher rotational diversity intensified ecological connections among soil, microbes, and crops. Our results suggest that a more complex and stable microbial network with greater richness and abundance of keystone taxa (primarily bacterial communities) had critical impacts on nutrient cycling and plant health and fitness under SBR, which are the main factors contributing to crop productivity.","container-title":"Biology and Fertility of Soils","DOI":"10.1007/s00374-022-01675-4","ISSN":"1432-0789","issue":"8","journalAbbreviation":"Biol Fertil Soils","language":"en","page":"883-901","source":"Springer Link","title":"Absolute microbiome profiling highlights the links among microbial stability, soil health, and crop productivity under long-term sod-based rotation","volume":"58","author":[{"family":"Zhang","given":"Kaile"},{"family":"Maltais-Landry","given":"Gabriel"},{"family":"James","given":"Michael"},{"family":"Mendez","given":"Valerie"},{"family":"Wright","given":"David"},{"family":"George","given":"Sheeja"},{"family":"Liao","given":"Hui-Ling"}],"issued":{"date-parts":[["2022",11,1]]},"citation-key":"zhangAbsoluteMicrobiomeProfiling2022"}},{"id":2078,"uris":["http://zotero.org/groups/5077571/items/9FC6PKRB"],"itemData":{"id":2078,"type":"article-journal","abstract":"A fundamental goal in microbiome studies is determining which microbes affect host physiology. Standard methods for determining changes in microbial taxa measure relative, rather than absolute abundances. Moreover, studies often analyze only stool, despite microbial diversity differing substantially among gastrointestinal (GI) locations. Here, we develop a quantitative framework to measure absolute abundances of individual bacterial taxa by combining the precision of digital PCR with the high-throughput nature of 16S rRNA gene amplicon sequencing. In a murine ketogenic-diet study, we compare microbial loads in lumenal and mucosal samples along the GI tract. Quantitative measurements of absolute (but not relative) abundances reveal decreases in total microbial loads on the ketogenic diet and enable us to determine the differential effects of diet on each taxon in stool and small-intestine mucosa samples. This rigorous quantitative microbial analysis framework, appropriate for diverse GI locations enables mapping microbial biogeography of the mammalian GI tract and more accurate analyses of changes in microbial taxa in microbiome studies.","container-title":"Nature Communications","DOI":"10.1038/s41467-020-16224-6","ISSN":"2041-1723","issue":"1","journalAbbreviation":"Nat Commun","language":"en","license":"2020 The Author(s)","note":"publisher: Nature Publishing Group","page":"2590","source":"www.nature.com","title":"A quantitative sequencing framework for absolute abundance measurements of mucosal and lumenal microbial communities","volume":"11","author":[{"family":"Barlow","given":"Jacob T."},{"family":"Bogatyrev","given":"Said R."},{"family":"Ismagilov","given":"Rustem F."}],"issued":{"date-parts":[["2020",5,22]]},"citation-key":"barlowQuantitativeSequencingFramework2020"}},{"id":2063,"uris":["http://zotero.org/groups/5077571/items/XECMGR9Y"],"itemData":{"id":2063,"type":"article","abstract":"The Laurentian Great Lakes hold 21% of the world’s surface freshwater and supply drinking water to nearly 40 million people. Here we provide the first evidence that winddriven upwelling fundamentally restructures microbial communities in Lake Ontario, with its effects extended and redistributed by an internal Kelvin wave propagating along the shoreline. While thermal stratification is known to organize microbial communities by depth and season, we show that this vertical structure arises from contrasting mechanisms: homogenizing selection in surface waters and dispersal limitation with drift in the hypolimnion. Kelvin wave-driven upwelling disrupts this scaffold, displacing rare taxa into the surface and creating novel coastal communities enriched in methane oxidation and sulfur metabolism genes—functional traits absent elsewhere in the lake. We observed a Kelvin wave lasting over two weeks and propagating eastward at </w:instrText>
      </w:r>
      <w:r w:rsidR="00A20B2F">
        <w:rPr>
          <w:rFonts w:ascii="Cambria Math" w:hAnsi="Cambria Math" w:cs="Cambria Math"/>
        </w:rPr>
        <w:instrText>∼</w:instrText>
      </w:r>
      <w:r w:rsidR="00A20B2F">
        <w:instrText xml:space="preserve">60 km day ¹. Given the </w:instrText>
      </w:r>
      <w:r w:rsidR="00A20B2F">
        <w:rPr>
          <w:rFonts w:ascii="Cambria Math" w:hAnsi="Cambria Math" w:cs="Cambria Math"/>
        </w:rPr>
        <w:instrText>∼</w:instrText>
      </w:r>
      <w:r w:rsidR="00A20B2F">
        <w:instrText xml:space="preserve">10–12 day recurrence of wind events (1), at any time, at least one segment of Lake Ontario’s coastline is typically experiencing upwelling—producing pulses frequent and sustained enough to remodel microbial communities on ecologically relevant timescales. Recurrent upwellings, sustained and redistributed by Kelvin waves, act as a biological disturbance that overrides stratification, mobilizes rare functional potential, and assembles novel coastal microbial communities. As climate change lengthens stratified periods and reshapes large-lake circulation, understanding how physical forcing governs microbial assembly is essential for forecasting the biogeochemical future of Earth’s great lakes—especially in shoreline zones where ecological shifts directly affect human communities.\nSignificance Statement The Laurentian Great Lakes hold 21% of the world’s surface freshwater and nearly 85% of North America’s—supplying drinking water to over 40 million people. Yet the microbial life that underpins their ecological function remains poorly understood. We show that wind-driven upwelling, followed by internal Kelvin waves that redistribute and sustain upwelling, acts as a recurring physical disturbance that overrides thermal stratification, redistributing rare microbes and assembling novel shoreline communities. These shifts bring unexpected functional changes, including enrichment of methane oxidation and sulfur metabolism genes, where people most interact with lake water. As climate change reshapes large lake circulation and intensifies thermal layering, understanding how microbial ecosystems respond is essential for forecasting transformations in water quality, ecosystem function, and biogeochemical resilience.","DOI":"10.1101/2025.01.17.633667","language":"en","license":"© 2025, Posted by Cold Spring Harbor Laboratory. This pre-print is available under a Creative Commons License (Attribution-NonCommercial-NoDerivs 4.0 International), CC BY-NC-ND 4.0, as described at http://creativecommons.org/licenses/by-nc-nd/4.0/","note":"ISSN: 2692-8205, 2692-8205\npage: 2025.01.17.633667\nsection: New Results","publisher":"bioRxiv","source":"bioRxiv","title":"Upwelling periodically disturbs the ecological assembly of microbial communities in the Laurentian Great Lakes","URL":"https://www.biorxiv.org/content/10.1101/2025.01.17.633667v2","author":[{"family":"Pendleton","given":"Augustus"},{"family":"Wells","given":"Mathew"},{"family":"Schmidt","given":"Marian L."}],"accessed":{"date-parts":[["2025",7,8]]},"issued":{"date-parts":[["2025",7,3]]},"citation-key":"pendletonUpwellingPeriodicallyDisturbs2025"}}],"schema":"https://github.com/citation-style-language/schema/raw/master/csl-citation.json"} </w:instrText>
      </w:r>
      <w:r w:rsidR="006B42C1">
        <w:fldChar w:fldCharType="separate"/>
      </w:r>
      <w:r w:rsidR="00A20B2F">
        <w:rPr>
          <w:noProof/>
        </w:rPr>
        <w:t>[3, 5, 9, 10]</w:t>
      </w:r>
      <w:r w:rsidR="006B42C1">
        <w:fldChar w:fldCharType="end"/>
      </w:r>
      <w:r w:rsidR="006B42C1">
        <w:t>;</w:t>
      </w:r>
      <w:r w:rsidRPr="0007048F">
        <w:t xml:space="preserve"> the temporal development of the infant </w:t>
      </w:r>
      <w:r w:rsidR="001D13C8">
        <w:t xml:space="preserve">gut </w:t>
      </w:r>
      <w:r w:rsidRPr="0007048F">
        <w:t>microbiome involves both a rise in absolute abundance and compositional changes</w:t>
      </w:r>
      <w:r>
        <w:t xml:space="preserve"> </w:t>
      </w:r>
      <w:r>
        <w:fldChar w:fldCharType="begin"/>
      </w:r>
      <w:r>
        <w:instrText xml:space="preserve"> ADDIN ZOTERO_ITEM CSL_CITATION {"citationID":"nU6vJ51H","properties":{"formattedCitation":"[6]","plainCitation":"[6]","noteIndex":0},"citationItems":[{"id":2065,"uris":["http://zotero.org/groups/5077571/items/2JNT9XAC"],"itemData":{"id":2065,"type":"article-journal","abstract":"The gut microbiota of preterm infants develops predictably1–7, with pioneer species colonizing the gut after birth, followed by an ordered succession of microorganisms. The gut microbiota is vital to the health of preterm infants8,9, but the forces that shape these predictable dynamics of microbiome assembly are unknown. The environment, the host and interactions between microorganisms all potentially shape the dynamics of the microbiota, but in such a complex ecosystem, identifying the specific role of any individual factor is challenging10–14. Here we use multi-kingdom absolute abundance quantification, ecological modelling and experimental validation to address this challenge. We quantify the absolute dynamics of bacteria, fungi and archaea in a longitudinal cohort of 178 preterm infants. We uncover microbial blooms and extinctions, and show that there is an inverse correlation between bacterial and fungal loads in the infant gut. We infer computationally and demonstrate experimentally in vitro and in vivo that predictable assembly dynamics may be driven by directed, context-dependent interactions between specific microorganisms. Mirroring the dynamics of macroscopic ecosystems15–17, a late-arriving member of the microbiome, Klebsiella, exploits the pioneer microorganism, Staphylococcus, to gain a foothold within the gut. Notably, we find that interactions between different kingdoms can influence assembly, with a single fungal species—Candida albicans—inhibiting multiple dominant genera of gut bacteria. Our work reveals the centrality of simple microbe–microbe interactions in shaping host-associated microbiota, which is critical both for our understanding of microbiota ecology and for targeted microbiota interventions.","container-title":"Nature","DOI":"10.1038/s41586-021-03241-8","ISSN":"1476-4687","issue":"7851","language":"en","license":"2021 The Author(s), under exclusive licence to Springer Nature Limited","note":"publisher: Nature Publishing Group","page":"633-638","source":"www.nature.com","title":"Multi-kingdom ecological drivers of microbiota assembly in preterm infants","volume":"591","author":[{"family":"Rao","given":"Chitong"},{"family":"Coyte","given":"Katharine Z."},{"family":"Bainter","given":"Wayne"},{"family":"Geha","given":"Raif S."},{"family":"Martin","given":"Camilia R."},{"family":"Rakoff-Nahoum","given":"Seth"}],"issued":{"date-parts":[["2021",3]]},"citation-key":"raoMultikingdomEcologicalDrivers2021"}}],"schema":"https://github.com/citation-style-language/schema/raw/master/csl-citation.json"} </w:instrText>
      </w:r>
      <w:r>
        <w:fldChar w:fldCharType="separate"/>
      </w:r>
      <w:r>
        <w:rPr>
          <w:noProof/>
        </w:rPr>
        <w:t>[6]</w:t>
      </w:r>
      <w:r>
        <w:fldChar w:fldCharType="end"/>
      </w:r>
      <w:r w:rsidRPr="0007048F">
        <w:t xml:space="preserve">; bacteriophage predation in wastewater bioreactors can be understood only when microbial load is considered </w:t>
      </w:r>
      <w:r>
        <w:fldChar w:fldCharType="begin"/>
      </w:r>
      <w:r w:rsidR="009E56F5">
        <w:instrText xml:space="preserve"> ADDIN ZOTERO_ITEM CSL_CITATION {"citationID":"SoXYc4XP","properties":{"formattedCitation":"[25]","plainCitation":"[25]","noteIndex":0},"citationItems":[{"id":2066,"uris":["http://zotero.org/groups/5077571/items/T76SVMUI"],"itemData":{"id":2066,"type":"article-journal","abstract":"Changes in the microbial community composition of a full-scale membrane bioreactor treating industrial wastewater were studied over a period of 462 days using a series of 16S rRNA gene clone libraries. Frequent changes in the relative abundance of specific taxonomic groups were observed, which could not be explained by changes in the reactor's conditions or wastewater composition. Phage activity was proposed to drive some of the observed changes. Bacterial hosts were isolated from a biomass sample obtained towards the end of the study period, and specific phage counts were carried out for some of the isolated hosts using stored frozen biomass samples as the phage inocula. Plaque-forming unit concentrations were shown to change frequently over the study period, in correlation with changes in the relative abundance of taxonomic groups closely related by 16S rRNA gene sequence to the isolated strains. Quantitative PCR was used to verify changes in the abundance of a taxonomic group closely related to one of the isolated hosts, showing good agreement with the changes in relative abundance in the clone libraries of that group. The emerging pattern was consistent with the ‘killing the winner’ hypothesis, although alternative interaction mechanisms could not be ruled out. This is the first time that phage–host interactions in a complex microbial community are demonstrated over an extended period, and possibly the first in situ demonstration of ‘killing the winner’ stochastic behavior.","container-title":"The ISME Journal","DOI":"10.1038/ismej.2009.118","ISSN":"1751-7362","issue":"3","journalAbbreviation":"The ISME Journal","page":"327-336","source":"Silverchair","title":"Bacteriophage predation regulates microbial abundance and diversity in a full-scale bioreactor treating industrial wastewater","volume":"4","author":[{"family":"Shapiro","given":"Orr H"},{"family":"Kushmaro","given":"Ariel"},{"family":"Brenner","given":"Asher"}],"issued":{"date-parts":[["2010",3,1]]},"citation-key":"shapiroBacteriophagePredationRegulates2010"}}],"schema":"https://github.com/citation-style-language/schema/raw/master/csl-citation.json"} </w:instrText>
      </w:r>
      <w:r>
        <w:fldChar w:fldCharType="separate"/>
      </w:r>
      <w:r w:rsidR="009E56F5">
        <w:rPr>
          <w:noProof/>
        </w:rPr>
        <w:t>[25]</w:t>
      </w:r>
      <w:r>
        <w:fldChar w:fldCharType="end"/>
      </w:r>
      <w:r>
        <w:t xml:space="preserve">; </w:t>
      </w:r>
      <w:r w:rsidRPr="0007048F">
        <w:t>and antibiotic-driven declines in specific swine gut taxa were missed using relative abundance approaches</w:t>
      </w:r>
      <w:r>
        <w:t xml:space="preserve"> </w:t>
      </w:r>
      <w:r>
        <w:fldChar w:fldCharType="begin"/>
      </w:r>
      <w:r w:rsidR="009E56F5">
        <w:instrText xml:space="preserve"> ADDIN ZOTERO_ITEM CSL_CITATION {"citationID":"iCFiKdIH","properties":{"formattedCitation":"[26]","plainCitation":"[26]","noteIndex":0},"citationItems":[{"id":2067,"uris":["http://zotero.org/groups/5077571/items/RCJKTQVA"],"itemData":{"id":2067,"type":"article-journal","abstract":"BackgroundThe intestinal microbiota contributes to the colonization resistance of the gut towards bacterial pathogens. Antibiotic treatment often negatively affects the microbiome composition, rendering the host more susceptible for infections. However, a correct interpretation of such a perturbation requires quantitative microbiome profiling to reflect accurately the direction and magnitude of compositional changes within a microbiota. Standard 16S rRNA gene amplicon sequencing of microbiota samples offers compositional data in relative, but not absolute abundancies, and the presence of multiple copies of 16S rRNA genes in bacterial genomes introduces bias into compositional data. We explored whether improved sequencing data analysis influences the significance of the effect exerted by antibiotics on the faecal microbiota of young pigs using two veterinary antibiotics. Calculation of absolute abundances, either by flow cytometry-based bacterial cell counts or by spike-in of synthetic 16S rRNA genes, was employed and 16S rRNA gene copy numbers (GCN) were corrected.ResultsCell number determination exhibited large interindividual variability in two pig studies, using either tylosin or tulathromycin. Following tylosin application, flow cytometry-based cell counting revealed decreased absolute abundances of five families and ten genera. These results were not detectable by standard 16S analysis based on relative abundances. Here, GCN correction additionally uncovered significant decreases of Lactobacillus and Faecalibacterium. In another experimental setting with tulathromycin treatment, bacterial abundance quantification by flow cytometry and by a spike-in method yielded similar results only on the phylum level. Even though the spike-in method identified the decrease of four genera, analysis by fluorescence-activated cell sorting (FACS) uncovered eight significantly reduced genera, such as Prevotella and Paraprevotella upon antibiotic treatment. In contrast, analysis of relative abundances only showed a decrease of Faecalibacterium and Rikenellaceae RC9 gut group and, thus, a much less detailed antibiotic effect.ConclusionFlow cytometry is a laborious method, but identified a higher number of significant microbiome changes in comparison to common compositional data analysis and even revealed to be superior to a spike-in method. Calculation of absolute abundances and GCN correction are valuable methods that should be standards in microbiome analyses in veterinary as well as human medicine.","container-title":"Frontiers in Microbiology","DOI":"10.3389/fmicb.2025.1481197","ISSN":"1664-302X","journalAbbreviation":"Front. Microbiol.","language":"English","note":"publisher: Frontiers","source":"Frontiers","title":"Absolute abundance calculation enhances the significance of microbiome data in antibiotic treatment studies","URL":"https://www.frontiersin.org/journals/microbiology/articles/10.3389/fmicb.2025.1481197/full","volume":"16","author":[{"family":"Wagner","given":"Stefanie"},{"family":"Weber","given":"Michael"},{"family":"Paul","given":"Lena-Sophie"},{"family":"Grümpel-Schlüter","given":"Angelika"},{"family":"Kluess","given":"Jeannette"},{"family":"Neuhaus","given":"Klaus"},{"family":"Fuchs","given":"Thilo M."}],"accessed":{"date-parts":[["2025",7,8]]},"issued":{"date-parts":[["2025",3,24]]},"citation-key":"wagnerAbsoluteAbundanceCalculation2025"}}],"schema":"https://github.com/citation-style-language/schema/raw/master/csl-citation.json"} </w:instrText>
      </w:r>
      <w:r>
        <w:fldChar w:fldCharType="separate"/>
      </w:r>
      <w:r w:rsidR="009E56F5">
        <w:rPr>
          <w:noProof/>
        </w:rPr>
        <w:t>[26]</w:t>
      </w:r>
      <w:r>
        <w:fldChar w:fldCharType="end"/>
      </w:r>
      <w:r w:rsidRPr="0007048F">
        <w:t xml:space="preserve">. As </w:t>
      </w:r>
      <m:oMath>
        <m:r>
          <w:rPr>
            <w:rFonts w:ascii="Cambria Math" w:hAnsi="Cambria Math"/>
          </w:rPr>
          <m:t>β</m:t>
        </m:r>
      </m:oMath>
      <w:r w:rsidRPr="0007048F">
        <w:t xml:space="preserve">-diversity metrics (and UniFrac specifically) remain central to microbial ecology, </w:t>
      </w:r>
      <w:r w:rsidR="0092229D">
        <w:t xml:space="preserve">these findings highlight how interpretation changes once biomass is incorporated. Broader adoption of absolute abundance profiling will also depend on data availability. Few studies currently make absolute quantification data publicly accessible, underscoring the need to deposit absolute measurements alongside sequencing reads for reproducibility, ideally as metadata within SRA submissions. </w:t>
      </w:r>
    </w:p>
    <w:p w14:paraId="25270F58" w14:textId="0FE0EBDD" w:rsidR="00AA63C5" w:rsidRDefault="00AA63C5" w:rsidP="006A381E">
      <w:pPr>
        <w:spacing w:line="240" w:lineRule="auto"/>
        <w:ind w:firstLine="504"/>
      </w:pPr>
      <w:r w:rsidRPr="0007048F">
        <w:t xml:space="preserve">While demonstrated here with 16S rRNA data, the approach </w:t>
      </w:r>
      <w:r>
        <w:t xml:space="preserve">should </w:t>
      </w:r>
      <w:r w:rsidR="0092229D">
        <w:t>extend</w:t>
      </w:r>
      <w:r w:rsidRPr="0007048F">
        <w:t xml:space="preserve"> to other marker genes or (meta)genomic features, provided absolute abundance estimates are available.</w:t>
      </w:r>
      <w:r w:rsidR="006B42C1">
        <w:t xml:space="preserve"> </w:t>
      </w:r>
      <w:r w:rsidRPr="0007048F">
        <w:t xml:space="preserve">In </w:t>
      </w:r>
      <w:r w:rsidR="0092229D">
        <w:t>this sense</w:t>
      </w:r>
      <w:r w:rsidRPr="0007048F">
        <w:t xml:space="preserve">, </w:t>
      </w:r>
      <m:oMath>
        <m:r>
          <w:rPr>
            <w:rFonts w:ascii="Cambria Math" w:hAnsi="Cambria Math"/>
          </w:rPr>
          <m:t>G</m:t>
        </m:r>
        <m:sSup>
          <m:sSupPr>
            <m:ctrlPr>
              <w:rPr>
                <w:rFonts w:ascii="Cambria Math" w:hAnsi="Cambria Math"/>
              </w:rPr>
            </m:ctrlPr>
          </m:sSupPr>
          <m:e>
            <m:r>
              <w:rPr>
                <w:rFonts w:ascii="Cambria Math" w:hAnsi="Cambria Math"/>
              </w:rPr>
              <m:t>U</m:t>
            </m:r>
          </m:e>
          <m:sup>
            <m:r>
              <w:rPr>
                <w:rFonts w:ascii="Cambria Math" w:hAnsi="Cambria Math"/>
              </w:rPr>
              <m:t>A</m:t>
            </m:r>
          </m:sup>
        </m:sSup>
      </m:oMath>
      <w:r w:rsidRPr="0007048F">
        <w:t xml:space="preserve"> offers a more </w:t>
      </w:r>
      <w:r w:rsidR="0092229D">
        <w:t xml:space="preserve">ecologically </w:t>
      </w:r>
      <w:r w:rsidRPr="0007048F">
        <w:t xml:space="preserve">grounded </w:t>
      </w:r>
      <w:r w:rsidR="0092229D">
        <w:t>view</w:t>
      </w:r>
      <w:r w:rsidRPr="0007048F">
        <w:t xml:space="preserve"> of lineage </w:t>
      </w:r>
      <w:r w:rsidR="0092229D">
        <w:t>turnover by jointly reflecting variation in biomass and phylogenetic structure.</w:t>
      </w:r>
    </w:p>
    <w:p w14:paraId="666BB825" w14:textId="08F916E4" w:rsidR="00AA63C5" w:rsidRDefault="0092229D" w:rsidP="006A381E">
      <w:pPr>
        <w:spacing w:line="240" w:lineRule="auto"/>
        <w:ind w:firstLine="504"/>
        <w:rPr>
          <w:rFonts w:eastAsiaTheme="minorEastAsia"/>
        </w:rPr>
      </w:pPr>
      <w:r>
        <w:t>N</w:t>
      </w:r>
      <w:r w:rsidR="00AA63C5">
        <w:t>o</w:t>
      </w:r>
      <w:r>
        <w:t xml:space="preserve"> single</w:t>
      </w:r>
      <w:r w:rsidR="00AA63C5">
        <w:t xml:space="preserve"> metric (or </w:t>
      </w:r>
      <m:oMath>
        <m:r>
          <w:rPr>
            <w:rFonts w:ascii="Cambria Math" w:hAnsi="Cambria Math"/>
          </w:rPr>
          <m:t>α</m:t>
        </m:r>
      </m:oMath>
      <w:r w:rsidR="00693D9A">
        <w:rPr>
          <w:rFonts w:eastAsiaTheme="minorEastAsia"/>
        </w:rPr>
        <w:t xml:space="preserve"> in </w:t>
      </w:r>
      <w:r w:rsidR="00693D9A">
        <w:rPr>
          <w:rFonts w:eastAsiaTheme="minorEastAsia"/>
          <w:i/>
          <w:iCs/>
        </w:rPr>
        <w:t>GU</w:t>
      </w:r>
      <w:r w:rsidR="00693D9A">
        <w:rPr>
          <w:rFonts w:eastAsiaTheme="minorEastAsia"/>
          <w:i/>
          <w:iCs/>
          <w:vertAlign w:val="superscript"/>
        </w:rPr>
        <w:t>A</w:t>
      </w:r>
      <w:r w:rsidR="00AA63C5">
        <w:rPr>
          <w:noProof/>
        </w:rPr>
        <w:t>)</w:t>
      </w:r>
      <w:r>
        <w:rPr>
          <w:noProof/>
        </w:rPr>
        <w:t xml:space="preserve">, however, </w:t>
      </w:r>
      <w:r w:rsidR="00AA63C5">
        <w:rPr>
          <w:noProof/>
        </w:rPr>
        <w:t xml:space="preserve"> is</w:t>
      </w:r>
      <w:r>
        <w:rPr>
          <w:noProof/>
        </w:rPr>
        <w:t xml:space="preserve"> universally </w:t>
      </w:r>
      <w:r w:rsidR="00AA63C5">
        <w:rPr>
          <w:noProof/>
        </w:rPr>
        <w:t>“be</w:t>
      </w:r>
      <w:r>
        <w:rPr>
          <w:noProof/>
        </w:rPr>
        <w:t>st</w:t>
      </w:r>
      <w:r w:rsidR="00AA63C5">
        <w:rPr>
          <w:noProof/>
        </w:rPr>
        <w:t>”</w:t>
      </w:r>
      <w:r>
        <w:rPr>
          <w:noProof/>
        </w:rPr>
        <w:t xml:space="preserve">. Each </w:t>
      </w:r>
      <w:r w:rsidRPr="00057D48">
        <w:t>β-diversity</w:t>
      </w:r>
      <w:r>
        <w:rPr>
          <w:noProof/>
        </w:rPr>
        <w:t xml:space="preserve"> metric emphasizes a different dimension of community change. Researchers should therefore select </w:t>
      </w:r>
      <w:r>
        <w:t>metrics based on the ecological quantity that is hypothesized to matter most</w:t>
      </w:r>
      <w:r w:rsidR="00DB4875">
        <w:t xml:space="preserve"> (Box 1)</w:t>
      </w:r>
      <w:r>
        <w:t xml:space="preserve">. Here, we demonstrate </w:t>
      </w:r>
      <w:r w:rsidRPr="00C407FA">
        <w:t>not</w:t>
      </w:r>
      <w:r w:rsidRPr="001061A5">
        <w:rPr>
          <w:b/>
          <w:bCs/>
        </w:rPr>
        <w:t xml:space="preserve"> </w:t>
      </w:r>
      <w:r>
        <w:t xml:space="preserve">that </w:t>
      </w:r>
      <w:r w:rsidRPr="001061A5">
        <w:rPr>
          <w:i/>
          <w:iCs/>
        </w:rPr>
        <w:t>GU</w:t>
      </w:r>
      <w:r w:rsidRPr="001061A5">
        <w:rPr>
          <w:i/>
          <w:iCs/>
          <w:vertAlign w:val="superscript"/>
        </w:rPr>
        <w:t>A</w:t>
      </w:r>
      <w:r w:rsidRPr="001061A5">
        <w:rPr>
          <w:i/>
          <w:iCs/>
        </w:rPr>
        <w:t xml:space="preserve"> </w:t>
      </w:r>
      <w:r>
        <w:t xml:space="preserve">outperforms other measures, but that it faithfully incorporates the three axes of variation it was designed to incorporate: composition, phylogenetic similarity, and absolute abundance (Fig. 1 and Fig. 2). </w:t>
      </w:r>
      <w:r w:rsidR="00693D9A">
        <w:t xml:space="preserve">As with any </w:t>
      </w:r>
      <m:oMath>
        <m:r>
          <w:rPr>
            <w:rFonts w:ascii="Cambria Math" w:hAnsi="Cambria Math"/>
          </w:rPr>
          <m:t>β</m:t>
        </m:r>
      </m:oMath>
      <w:r w:rsidR="00693D9A" w:rsidRPr="0007048F">
        <w:t>-diversity</w:t>
      </w:r>
      <w:r w:rsidR="00693D9A">
        <w:t xml:space="preserve"> </w:t>
      </w:r>
      <w:r>
        <w:t>analysis</w:t>
      </w:r>
      <w:r w:rsidR="00693D9A">
        <w:t xml:space="preserve">, </w:t>
      </w:r>
      <w:r>
        <w:t xml:space="preserve">interpretation requires matching the metric to the ecological question </w:t>
      </w:r>
      <w:r w:rsidR="000C73B5">
        <w:t xml:space="preserve">at hand, </w:t>
      </w:r>
      <w:r>
        <w:t xml:space="preserve">and exploring sensitivity across </w:t>
      </w:r>
      <w:r w:rsidR="000C73B5">
        <w:t>different metrics</w:t>
      </w:r>
      <w:r>
        <w:t xml:space="preserve"> where appropriate</w:t>
      </w:r>
      <w:r w:rsidR="00693D9A">
        <w:rPr>
          <w:rFonts w:eastAsiaTheme="minorEastAsia"/>
        </w:rPr>
        <w:t xml:space="preserve"> </w:t>
      </w:r>
      <w:r w:rsidR="00693D9A">
        <w:rPr>
          <w:rFonts w:eastAsiaTheme="minorEastAsia"/>
        </w:rPr>
        <w:fldChar w:fldCharType="begin"/>
      </w:r>
      <w:r w:rsidR="009E56F5">
        <w:rPr>
          <w:rFonts w:eastAsiaTheme="minorEastAsia"/>
        </w:rPr>
        <w:instrText xml:space="preserve"> ADDIN ZOTERO_ITEM CSL_CITATION {"citationID":"cR3kDa6k","properties":{"formattedCitation":"[27]","plainCitation":"[27]","noteIndex":0},"citationItems":[{"id":2068,"uris":["http://zotero.org/groups/5077571/items/LHSHIHDL"],"itemData":{"id":2068,"type":"article-journal","abstract":"Background\nSince sequencing techniques have become less expensive, larger sample sizes are applicable for microbiota studies. The aim of this study is to show how, and to what extent, different diversity metrics and different compositions of the microbiota influence the needed sample size to observe dissimilar groups. Empirical 16S rRNA amplicon sequence data obtained from animal experiments, observational human data, and simulated data were used to perform retrospective power calculations. A wide variation of alpha diversity and beta diversity metrics were used to compare the different microbiota datasets and the effect on the sample size.\n\nResults\nOur data showed that beta diversity metrics are the most sensitive to observe differences as compared with alpha diversity metrics. The structure of the data influenced which alpha metrics are the most sensitive. Regarding beta diversity, the Bray–Curtis metric is in general the most sensitive to observe differences between groups, resulting in lower sample size and potential publication bias.\n\nConclusion\nWe recommend performing power calculations and to use multiple diversity metrics as an outcome measure. To improve microbiota studies, awareness needs to be raised on the sensitivity and bias for microbiota research outcomes created by the used metrics rather than biological differences. We have seen that different alpha and beta diversity metrics lead to different study power: because of this, one could be naturally tempted to try all possible metrics until one or more are found that give a statistically significant test result, i.e., p-value &amp;lt; α. This way of proceeding is one of the many forms of the so-called p-value hacking. To this end, in our opinion, the only way to protect ourselves from (the temptation of) p-hacking would be to publish a statistical plan before experiments are initiated, describing the outcomes of interest and the corresponding statistical analyses to be performed.","container-title":"Frontiers in Microbiology","DOI":"10.3389/fmicb.2021.796025","ISSN":"1664-302X","journalAbbreviation":"Front. Microbiol.","language":"English","note":"publisher: Frontiers","source":"Frontiers","title":"The Power of Microbiome Studies: Some Considerations on Which Alpha and Beta Metrics to Use and How to Report Results","title-short":"The Power of Microbiome Studies","URL":"https://www.frontiersin.org/journals/microbiology/articles/10.3389/fmicb.2021.796025/full","volume":"12","author":[{"family":"Kers","given":"Jannigje Gerdien"},{"family":"Saccenti","given":"Edoardo"}],"accessed":{"date-parts":[["2025",7,8]]},"issued":{"date-parts":[["2022",3,3]]},"citation-key":"kersPowerMicrobiomeStudies2022"}}],"schema":"https://github.com/citation-style-language/schema/raw/master/csl-citation.json"} </w:instrText>
      </w:r>
      <w:r w:rsidR="00693D9A">
        <w:rPr>
          <w:rFonts w:eastAsiaTheme="minorEastAsia"/>
        </w:rPr>
        <w:fldChar w:fldCharType="separate"/>
      </w:r>
      <w:r w:rsidR="009E56F5">
        <w:rPr>
          <w:rFonts w:eastAsiaTheme="minorEastAsia"/>
          <w:noProof/>
        </w:rPr>
        <w:t>[27]</w:t>
      </w:r>
      <w:r w:rsidR="00693D9A">
        <w:rPr>
          <w:rFonts w:eastAsiaTheme="minorEastAsia"/>
        </w:rPr>
        <w:fldChar w:fldCharType="end"/>
      </w:r>
      <w:r w:rsidR="00FF313F">
        <w:rPr>
          <w:rFonts w:eastAsiaTheme="minorEastAsia"/>
        </w:rPr>
        <w:t xml:space="preserve">. By providing demonstrations and code for the application and interpretation of </w:t>
      </w:r>
      <w:r w:rsidR="00FF313F">
        <w:rPr>
          <w:rFonts w:eastAsiaTheme="minorEastAsia"/>
          <w:i/>
          <w:iCs/>
        </w:rPr>
        <w:t>U</w:t>
      </w:r>
      <w:r w:rsidR="00FF313F">
        <w:rPr>
          <w:rFonts w:eastAsiaTheme="minorEastAsia"/>
          <w:i/>
          <w:iCs/>
          <w:vertAlign w:val="superscript"/>
        </w:rPr>
        <w:t>A</w:t>
      </w:r>
      <w:r w:rsidR="00FF313F">
        <w:rPr>
          <w:rFonts w:eastAsiaTheme="minorEastAsia"/>
          <w:i/>
          <w:iCs/>
        </w:rPr>
        <w:t>/GU</w:t>
      </w:r>
      <w:r w:rsidR="00FF313F">
        <w:rPr>
          <w:rFonts w:eastAsiaTheme="minorEastAsia"/>
          <w:i/>
          <w:iCs/>
          <w:vertAlign w:val="superscript"/>
        </w:rPr>
        <w:t>A</w:t>
      </w:r>
      <w:r w:rsidR="00FF313F">
        <w:rPr>
          <w:rFonts w:eastAsiaTheme="minorEastAsia"/>
          <w:i/>
          <w:iCs/>
        </w:rPr>
        <w:t xml:space="preserve">, </w:t>
      </w:r>
      <w:r w:rsidR="00FF313F" w:rsidRPr="006A381E">
        <w:rPr>
          <w:rFonts w:eastAsiaTheme="minorEastAsia"/>
        </w:rPr>
        <w:t>we hope to encourage the use of these metrics as a tool of microbial ecology.</w:t>
      </w:r>
    </w:p>
    <w:p w14:paraId="28D739F6" w14:textId="07942D72" w:rsidR="0092229D" w:rsidRPr="001061A5" w:rsidRDefault="0092229D" w:rsidP="006A381E">
      <w:pPr>
        <w:spacing w:line="240" w:lineRule="auto"/>
        <w:rPr>
          <w:rFonts w:eastAsiaTheme="minorEastAsia"/>
          <w:b/>
          <w:bCs/>
        </w:rPr>
      </w:pPr>
      <w:r>
        <w:rPr>
          <w:rFonts w:eastAsiaTheme="minorEastAsia"/>
          <w:b/>
          <w:bCs/>
        </w:rPr>
        <w:t>Conclusion</w:t>
      </w:r>
    </w:p>
    <w:p w14:paraId="63D758B9" w14:textId="69B70515" w:rsidR="0092229D" w:rsidRDefault="0092229D" w:rsidP="00B26FCE">
      <w:pPr>
        <w:pStyle w:val="p1"/>
        <w:ind w:firstLine="504"/>
      </w:pPr>
      <w:r>
        <w:t xml:space="preserve">By explicitly incorporating absolute abundance, Absolute </w:t>
      </w:r>
      <w:proofErr w:type="spellStart"/>
      <w:r>
        <w:t>UniFrac</w:t>
      </w:r>
      <w:proofErr w:type="spellEnd"/>
      <w:r>
        <w:t xml:space="preserve"> shifts phylogenetic β-diversity from a two-axis approximation to a three-axis ecological measure. This reframing </w:t>
      </w:r>
      <w:r>
        <w:lastRenderedPageBreak/>
        <w:t>connects the metric to the underlying biological questions that motivate m</w:t>
      </w:r>
      <w:r w:rsidR="000C73B5">
        <w:t>any</w:t>
      </w:r>
      <w:r>
        <w:t xml:space="preserve"> microbiome studies. As methods for quantifying microbial load continue to expand, the ability to interpret β-diversity in a biomass-aware framework will become increasingly important for distinguishing true ecological turnover from proportional change alone. In this way, Absolute </w:t>
      </w:r>
      <w:proofErr w:type="spellStart"/>
      <w:r>
        <w:t>UniFrac</w:t>
      </w:r>
      <w:proofErr w:type="spellEnd"/>
      <w:r>
        <w:t xml:space="preserve"> is not simply an alternative distance metric but a tool for aligning statistical representation with ecological mechanism.</w:t>
      </w:r>
    </w:p>
    <w:p w14:paraId="3FB85BBF" w14:textId="07FE4D43" w:rsidR="005B0677" w:rsidRDefault="005B0677">
      <w:pPr>
        <w:rPr>
          <w:rFonts w:eastAsia="Times New Roman" w:cs="Times New Roman"/>
          <w:kern w:val="0"/>
          <w14:ligatures w14:val="none"/>
        </w:rPr>
      </w:pPr>
      <w:r>
        <w:br w:type="page"/>
      </w:r>
    </w:p>
    <w:p w14:paraId="41E6BF22" w14:textId="77777777" w:rsidR="00153449" w:rsidRDefault="00153449" w:rsidP="00153449">
      <w:pPr>
        <w:pStyle w:val="p1"/>
      </w:pPr>
    </w:p>
    <w:p w14:paraId="61923BF3" w14:textId="77777777" w:rsidR="00153449" w:rsidRDefault="00153449" w:rsidP="00153449">
      <w:pPr>
        <w:pStyle w:val="p1"/>
        <w:rPr>
          <w:b/>
          <w:bCs/>
        </w:rPr>
      </w:pPr>
      <w:r w:rsidRPr="00153449">
        <w:rPr>
          <w:b/>
          <w:bCs/>
        </w:rPr>
        <w:t xml:space="preserve">Box 1: </w:t>
      </w:r>
      <w:r w:rsidRPr="006A381E">
        <w:rPr>
          <w:b/>
          <w:bCs/>
        </w:rPr>
        <w:t>β-diversity metrics should reflect the hypothesis being tested</w:t>
      </w:r>
    </w:p>
    <w:p w14:paraId="7228A697" w14:textId="61F91E28" w:rsidR="00340F0D" w:rsidRPr="00340F0D" w:rsidRDefault="00340F0D" w:rsidP="00153449">
      <w:pPr>
        <w:pStyle w:val="p1"/>
      </w:pPr>
      <w:r>
        <w:t xml:space="preserve">Absolute </w:t>
      </w:r>
      <w:proofErr w:type="spellStart"/>
      <w:r>
        <w:t>UniFrac</w:t>
      </w:r>
      <w:proofErr w:type="spellEnd"/>
      <w:r>
        <w:t xml:space="preserve"> is most informative when variation in microbial load is expected to carry ecological meaning rather than being a nuisance variable. The choice of α determines how strongly abundance differences influence the metric, and should therefore be selected based on the hypothesis, not by convention. In settings where biomass is central to the mechanism under study, higher α values appropriately foreground that signal, whereas in cases where load variation is incidental or confounding, lower α values maintain interpretability. Framing α as a hypothesis-driven choice repositions β-diversity from a default normalization step to an explicit ecological decision.</w:t>
      </w:r>
    </w:p>
    <w:tbl>
      <w:tblPr>
        <w:tblStyle w:val="TableGrid"/>
        <w:tblW w:w="0" w:type="auto"/>
        <w:shd w:val="clear" w:color="auto" w:fill="FFFFFF" w:themeFill="background1"/>
        <w:tblLook w:val="04A0" w:firstRow="1" w:lastRow="0" w:firstColumn="1" w:lastColumn="0" w:noHBand="0" w:noVBand="1"/>
      </w:tblPr>
      <w:tblGrid>
        <w:gridCol w:w="941"/>
        <w:gridCol w:w="551"/>
        <w:gridCol w:w="1067"/>
        <w:gridCol w:w="1065"/>
        <w:gridCol w:w="1163"/>
        <w:gridCol w:w="1016"/>
        <w:gridCol w:w="2038"/>
        <w:gridCol w:w="1509"/>
      </w:tblGrid>
      <w:tr w:rsidR="00BB1FB4" w:rsidRPr="00BB1FB4" w14:paraId="053020C6" w14:textId="77777777" w:rsidTr="00BB1FB4">
        <w:trPr>
          <w:trHeight w:val="221"/>
        </w:trPr>
        <w:tc>
          <w:tcPr>
            <w:tcW w:w="5803" w:type="dxa"/>
            <w:gridSpan w:val="6"/>
            <w:shd w:val="clear" w:color="auto" w:fill="FFFFFF" w:themeFill="background1"/>
            <w:vAlign w:val="center"/>
          </w:tcPr>
          <w:p w14:paraId="62ADA7E0" w14:textId="77777777" w:rsidR="00BB1FB4" w:rsidRPr="006A381E" w:rsidRDefault="00BB1FB4" w:rsidP="00BB1FB4">
            <w:pPr>
              <w:pStyle w:val="p1"/>
              <w:jc w:val="center"/>
              <w:rPr>
                <w:sz w:val="20"/>
                <w:szCs w:val="20"/>
              </w:rPr>
            </w:pPr>
          </w:p>
        </w:tc>
        <w:tc>
          <w:tcPr>
            <w:tcW w:w="2038" w:type="dxa"/>
            <w:shd w:val="clear" w:color="auto" w:fill="FFFFFF" w:themeFill="background1"/>
            <w:vAlign w:val="center"/>
          </w:tcPr>
          <w:p w14:paraId="239B5492" w14:textId="7D23D4F5" w:rsidR="00BB1FB4" w:rsidRPr="006A381E" w:rsidRDefault="00BB1FB4" w:rsidP="00BB1FB4">
            <w:pPr>
              <w:pStyle w:val="p1"/>
              <w:jc w:val="center"/>
              <w:rPr>
                <w:sz w:val="20"/>
                <w:szCs w:val="20"/>
              </w:rPr>
            </w:pPr>
            <w:r w:rsidRPr="006A381E">
              <w:rPr>
                <w:sz w:val="20"/>
                <w:szCs w:val="20"/>
              </w:rPr>
              <w:t>Metric to Use</w:t>
            </w:r>
          </w:p>
        </w:tc>
        <w:tc>
          <w:tcPr>
            <w:tcW w:w="1509" w:type="dxa"/>
            <w:shd w:val="clear" w:color="auto" w:fill="FFFFFF" w:themeFill="background1"/>
            <w:vAlign w:val="center"/>
          </w:tcPr>
          <w:p w14:paraId="0BEAB4D0" w14:textId="1830FB8E" w:rsidR="00BB1FB4" w:rsidRPr="006A381E" w:rsidRDefault="00B54C61" w:rsidP="005B0677">
            <w:pPr>
              <w:pStyle w:val="p1"/>
              <w:jc w:val="center"/>
              <w:rPr>
                <w:sz w:val="20"/>
                <w:szCs w:val="20"/>
              </w:rPr>
            </w:pPr>
            <w:r>
              <w:rPr>
                <w:sz w:val="20"/>
                <w:szCs w:val="20"/>
              </w:rPr>
              <w:t xml:space="preserve">Hypothetical </w:t>
            </w:r>
            <w:r w:rsidR="00BB1FB4" w:rsidRPr="006A381E">
              <w:rPr>
                <w:sz w:val="20"/>
                <w:szCs w:val="20"/>
              </w:rPr>
              <w:t>Example</w:t>
            </w:r>
          </w:p>
        </w:tc>
      </w:tr>
      <w:tr w:rsidR="00B54C61" w:rsidRPr="00340F0D" w14:paraId="436E4EA4" w14:textId="77777777" w:rsidTr="00F035EF">
        <w:trPr>
          <w:trHeight w:val="221"/>
        </w:trPr>
        <w:tc>
          <w:tcPr>
            <w:tcW w:w="941" w:type="dxa"/>
            <w:vMerge w:val="restart"/>
            <w:shd w:val="clear" w:color="auto" w:fill="FFFFFF" w:themeFill="background1"/>
            <w:vAlign w:val="center"/>
          </w:tcPr>
          <w:p w14:paraId="018A1308" w14:textId="4D4AA493" w:rsidR="00340F0D" w:rsidRPr="006A381E" w:rsidRDefault="00340F0D" w:rsidP="006A381E">
            <w:pPr>
              <w:pStyle w:val="p1"/>
              <w:jc w:val="center"/>
              <w:rPr>
                <w:sz w:val="20"/>
                <w:szCs w:val="20"/>
              </w:rPr>
            </w:pPr>
            <w:r w:rsidRPr="006A381E">
              <w:rPr>
                <w:sz w:val="20"/>
                <w:szCs w:val="20"/>
              </w:rPr>
              <w:t>Treat closely related lineages as similar?</w:t>
            </w:r>
          </w:p>
        </w:tc>
        <w:tc>
          <w:tcPr>
            <w:tcW w:w="551" w:type="dxa"/>
            <w:vMerge w:val="restart"/>
            <w:shd w:val="clear" w:color="auto" w:fill="FFFFFF" w:themeFill="background1"/>
            <w:vAlign w:val="center"/>
          </w:tcPr>
          <w:p w14:paraId="2908C5D1" w14:textId="33758552" w:rsidR="00340F0D" w:rsidRPr="006A381E" w:rsidRDefault="00340F0D" w:rsidP="006A381E">
            <w:pPr>
              <w:pStyle w:val="p1"/>
              <w:jc w:val="center"/>
              <w:rPr>
                <w:sz w:val="20"/>
                <w:szCs w:val="20"/>
              </w:rPr>
            </w:pPr>
            <w:r w:rsidRPr="006A381E">
              <w:rPr>
                <w:sz w:val="20"/>
                <w:szCs w:val="20"/>
              </w:rPr>
              <w:t>Yes</w:t>
            </w:r>
          </w:p>
        </w:tc>
        <w:tc>
          <w:tcPr>
            <w:tcW w:w="1067" w:type="dxa"/>
            <w:vMerge w:val="restart"/>
            <w:shd w:val="clear" w:color="auto" w:fill="FFFFFF" w:themeFill="background1"/>
            <w:vAlign w:val="center"/>
          </w:tcPr>
          <w:p w14:paraId="5099A756" w14:textId="69DA27C9" w:rsidR="00340F0D" w:rsidRPr="006A381E" w:rsidRDefault="00340F0D" w:rsidP="006A381E">
            <w:pPr>
              <w:pStyle w:val="p1"/>
              <w:jc w:val="center"/>
              <w:rPr>
                <w:sz w:val="20"/>
                <w:szCs w:val="20"/>
              </w:rPr>
            </w:pPr>
            <w:r w:rsidRPr="006A381E">
              <w:rPr>
                <w:sz w:val="20"/>
                <w:szCs w:val="20"/>
              </w:rPr>
              <w:t>How relevant is microbial load?</w:t>
            </w:r>
          </w:p>
        </w:tc>
        <w:tc>
          <w:tcPr>
            <w:tcW w:w="3244" w:type="dxa"/>
            <w:gridSpan w:val="3"/>
            <w:shd w:val="clear" w:color="auto" w:fill="FFFFFF" w:themeFill="background1"/>
            <w:vAlign w:val="center"/>
          </w:tcPr>
          <w:p w14:paraId="29796AFF" w14:textId="03D377EF" w:rsidR="00340F0D" w:rsidRPr="006A381E" w:rsidRDefault="00340F0D" w:rsidP="00BB1FB4">
            <w:pPr>
              <w:pStyle w:val="p1"/>
              <w:jc w:val="center"/>
              <w:rPr>
                <w:rFonts w:eastAsiaTheme="minorEastAsia"/>
                <w:i/>
                <w:iCs/>
                <w:sz w:val="20"/>
                <w:szCs w:val="20"/>
              </w:rPr>
            </w:pPr>
            <w:r w:rsidRPr="006A381E">
              <w:rPr>
                <w:sz w:val="20"/>
                <w:szCs w:val="20"/>
              </w:rPr>
              <w:t>Central to hypothesis</w:t>
            </w:r>
          </w:p>
        </w:tc>
        <w:tc>
          <w:tcPr>
            <w:tcW w:w="2038" w:type="dxa"/>
            <w:shd w:val="clear" w:color="auto" w:fill="FFFFFF" w:themeFill="background1"/>
            <w:vAlign w:val="center"/>
          </w:tcPr>
          <w:p w14:paraId="6A39283D" w14:textId="3B0E2A4C"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217C9509" w14:textId="500AC6C2" w:rsidR="00340F0D" w:rsidRPr="006A381E" w:rsidRDefault="00340F0D" w:rsidP="006A381E">
            <w:pPr>
              <w:pStyle w:val="p1"/>
              <w:jc w:val="center"/>
              <w:rPr>
                <w:sz w:val="20"/>
                <w:szCs w:val="20"/>
              </w:rPr>
            </w:pPr>
            <w:r w:rsidRPr="006A381E">
              <w:rPr>
                <w:sz w:val="20"/>
                <w:szCs w:val="20"/>
              </w:rPr>
              <w:t>Cyanobacterial bloom, pathogen proliferation</w:t>
            </w:r>
          </w:p>
        </w:tc>
      </w:tr>
      <w:tr w:rsidR="00B54C61" w:rsidRPr="00340F0D" w14:paraId="4F034B83" w14:textId="77777777" w:rsidTr="00EE30AE">
        <w:trPr>
          <w:trHeight w:val="194"/>
        </w:trPr>
        <w:tc>
          <w:tcPr>
            <w:tcW w:w="941" w:type="dxa"/>
            <w:vMerge/>
            <w:shd w:val="clear" w:color="auto" w:fill="FFFFFF" w:themeFill="background1"/>
            <w:vAlign w:val="center"/>
          </w:tcPr>
          <w:p w14:paraId="18967311"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5EC906F3"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611C85D2"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56079904" w14:textId="5AA4DB81" w:rsidR="00340F0D" w:rsidRPr="006A381E" w:rsidRDefault="00340F0D" w:rsidP="00BB1FB4">
            <w:pPr>
              <w:pStyle w:val="p1"/>
              <w:jc w:val="center"/>
              <w:rPr>
                <w:rFonts w:eastAsiaTheme="minorEastAsia"/>
                <w:i/>
                <w:iCs/>
                <w:sz w:val="20"/>
                <w:szCs w:val="20"/>
              </w:rPr>
            </w:pPr>
            <w:r w:rsidRPr="006A381E">
              <w:rPr>
                <w:sz w:val="20"/>
                <w:szCs w:val="20"/>
              </w:rPr>
              <w:t>Relevant, but associated with other variables of interest</w:t>
            </w:r>
          </w:p>
        </w:tc>
        <w:tc>
          <w:tcPr>
            <w:tcW w:w="2038" w:type="dxa"/>
            <w:shd w:val="clear" w:color="auto" w:fill="FFFFFF" w:themeFill="background1"/>
            <w:vAlign w:val="center"/>
          </w:tcPr>
          <w:p w14:paraId="2AAD1711" w14:textId="320A73C2"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0.1 &lt;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1A2315AD" w14:textId="05385A2E" w:rsidR="00340F0D" w:rsidRPr="006A381E" w:rsidRDefault="00340F0D" w:rsidP="005B0677">
            <w:pPr>
              <w:pStyle w:val="p1"/>
              <w:jc w:val="center"/>
              <w:rPr>
                <w:sz w:val="20"/>
                <w:szCs w:val="20"/>
              </w:rPr>
            </w:pPr>
            <w:r w:rsidRPr="006A381E">
              <w:rPr>
                <w:sz w:val="20"/>
                <w:szCs w:val="20"/>
              </w:rPr>
              <w:t>Compositional shifts in response to nutrient addition</w:t>
            </w:r>
          </w:p>
        </w:tc>
      </w:tr>
      <w:tr w:rsidR="00B54C61" w:rsidRPr="00BB1FB4" w14:paraId="4303850A" w14:textId="77777777" w:rsidTr="00BB1FB4">
        <w:trPr>
          <w:trHeight w:val="539"/>
        </w:trPr>
        <w:tc>
          <w:tcPr>
            <w:tcW w:w="941" w:type="dxa"/>
            <w:vMerge/>
            <w:shd w:val="clear" w:color="auto" w:fill="FFFFFF" w:themeFill="background1"/>
            <w:vAlign w:val="center"/>
          </w:tcPr>
          <w:p w14:paraId="3889934B" w14:textId="77777777" w:rsidR="00BB1FB4" w:rsidRPr="006A381E" w:rsidRDefault="00BB1FB4" w:rsidP="005B0677">
            <w:pPr>
              <w:pStyle w:val="p1"/>
              <w:jc w:val="center"/>
              <w:rPr>
                <w:sz w:val="20"/>
                <w:szCs w:val="20"/>
              </w:rPr>
            </w:pPr>
          </w:p>
        </w:tc>
        <w:tc>
          <w:tcPr>
            <w:tcW w:w="551" w:type="dxa"/>
            <w:vMerge/>
            <w:shd w:val="clear" w:color="auto" w:fill="FFFFFF" w:themeFill="background1"/>
            <w:vAlign w:val="center"/>
          </w:tcPr>
          <w:p w14:paraId="10E48282" w14:textId="77777777" w:rsidR="00BB1FB4" w:rsidRPr="006A381E" w:rsidRDefault="00BB1FB4" w:rsidP="005B0677">
            <w:pPr>
              <w:pStyle w:val="p1"/>
              <w:jc w:val="center"/>
              <w:rPr>
                <w:sz w:val="20"/>
                <w:szCs w:val="20"/>
              </w:rPr>
            </w:pPr>
          </w:p>
        </w:tc>
        <w:tc>
          <w:tcPr>
            <w:tcW w:w="1067" w:type="dxa"/>
            <w:vMerge/>
            <w:shd w:val="clear" w:color="auto" w:fill="FFFFFF" w:themeFill="background1"/>
            <w:vAlign w:val="center"/>
          </w:tcPr>
          <w:p w14:paraId="296F7C09" w14:textId="77777777" w:rsidR="00BB1FB4" w:rsidRPr="006A381E" w:rsidRDefault="00BB1FB4" w:rsidP="005B0677">
            <w:pPr>
              <w:pStyle w:val="p1"/>
              <w:jc w:val="center"/>
              <w:rPr>
                <w:sz w:val="20"/>
                <w:szCs w:val="20"/>
              </w:rPr>
            </w:pPr>
          </w:p>
        </w:tc>
        <w:tc>
          <w:tcPr>
            <w:tcW w:w="1065" w:type="dxa"/>
            <w:vMerge w:val="restart"/>
            <w:shd w:val="clear" w:color="auto" w:fill="FFFFFF" w:themeFill="background1"/>
            <w:vAlign w:val="center"/>
          </w:tcPr>
          <w:p w14:paraId="34F631B3" w14:textId="74C1A2D1" w:rsidR="00BB1FB4" w:rsidRPr="006A381E" w:rsidRDefault="00BB1FB4" w:rsidP="005B0677">
            <w:pPr>
              <w:pStyle w:val="p1"/>
              <w:jc w:val="center"/>
              <w:rPr>
                <w:sz w:val="20"/>
                <w:szCs w:val="20"/>
              </w:rPr>
            </w:pPr>
            <w:r w:rsidRPr="006A381E">
              <w:rPr>
                <w:sz w:val="20"/>
                <w:szCs w:val="20"/>
              </w:rPr>
              <w:t>Irrelevant</w:t>
            </w:r>
          </w:p>
        </w:tc>
        <w:tc>
          <w:tcPr>
            <w:tcW w:w="1163" w:type="dxa"/>
            <w:vMerge w:val="restart"/>
            <w:shd w:val="clear" w:color="auto" w:fill="FFFFFF" w:themeFill="background1"/>
            <w:vAlign w:val="center"/>
          </w:tcPr>
          <w:p w14:paraId="632628BF" w14:textId="398CC019" w:rsidR="00BB1FB4" w:rsidRPr="006A381E" w:rsidRDefault="00BB1FB4" w:rsidP="005B0677">
            <w:pPr>
              <w:pStyle w:val="p1"/>
              <w:jc w:val="center"/>
              <w:rPr>
                <w:sz w:val="20"/>
                <w:szCs w:val="20"/>
              </w:rPr>
            </w:pPr>
            <w:r w:rsidRPr="006A381E">
              <w:rPr>
                <w:sz w:val="20"/>
                <w:szCs w:val="20"/>
              </w:rPr>
              <w:t>Emphasize rare o</w:t>
            </w:r>
            <w:r w:rsidR="00F2781F">
              <w:rPr>
                <w:sz w:val="20"/>
                <w:szCs w:val="20"/>
              </w:rPr>
              <w:t>r</w:t>
            </w:r>
            <w:r w:rsidRPr="006A381E">
              <w:rPr>
                <w:sz w:val="20"/>
                <w:szCs w:val="20"/>
              </w:rPr>
              <w:t xml:space="preserve"> dominant taxa?</w:t>
            </w:r>
          </w:p>
        </w:tc>
        <w:tc>
          <w:tcPr>
            <w:tcW w:w="1016" w:type="dxa"/>
            <w:shd w:val="clear" w:color="auto" w:fill="FFFFFF" w:themeFill="background1"/>
            <w:vAlign w:val="center"/>
          </w:tcPr>
          <w:p w14:paraId="3D26F4D9" w14:textId="52DE36DB" w:rsidR="00BB1FB4" w:rsidRPr="006A381E" w:rsidRDefault="00BB1FB4" w:rsidP="00BB1FB4">
            <w:pPr>
              <w:pStyle w:val="p1"/>
              <w:jc w:val="center"/>
              <w:rPr>
                <w:rFonts w:eastAsiaTheme="minorEastAsia"/>
                <w:i/>
                <w:iCs/>
                <w:sz w:val="20"/>
                <w:szCs w:val="20"/>
              </w:rPr>
            </w:pPr>
            <w:r w:rsidRPr="006A381E">
              <w:rPr>
                <w:sz w:val="20"/>
                <w:szCs w:val="20"/>
              </w:rPr>
              <w:t>Dominant</w:t>
            </w:r>
          </w:p>
        </w:tc>
        <w:tc>
          <w:tcPr>
            <w:tcW w:w="2038" w:type="dxa"/>
            <w:shd w:val="clear" w:color="auto" w:fill="FFFFFF" w:themeFill="background1"/>
            <w:vAlign w:val="center"/>
          </w:tcPr>
          <w:p w14:paraId="0270C802" w14:textId="7C86097D" w:rsidR="00BB1FB4" w:rsidRPr="006A381E" w:rsidRDefault="00BB1FB4"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&gt; 0.5</w:t>
            </w:r>
          </w:p>
        </w:tc>
        <w:tc>
          <w:tcPr>
            <w:tcW w:w="1509" w:type="dxa"/>
            <w:shd w:val="clear" w:color="auto" w:fill="FFFFFF" w:themeFill="background1"/>
            <w:vAlign w:val="center"/>
          </w:tcPr>
          <w:p w14:paraId="63DD5DFE" w14:textId="552D2E35" w:rsidR="00BB1FB4" w:rsidRPr="006A381E" w:rsidRDefault="00BB1FB4" w:rsidP="005B0677">
            <w:pPr>
              <w:pStyle w:val="p1"/>
              <w:jc w:val="center"/>
              <w:rPr>
                <w:sz w:val="20"/>
                <w:szCs w:val="20"/>
              </w:rPr>
            </w:pPr>
            <w:r w:rsidRPr="006A381E">
              <w:rPr>
                <w:sz w:val="20"/>
                <w:szCs w:val="20"/>
              </w:rPr>
              <w:t>Diet-associated microbiome shifts across hosts</w:t>
            </w:r>
          </w:p>
        </w:tc>
      </w:tr>
      <w:tr w:rsidR="00B54C61" w:rsidRPr="00BB1FB4" w14:paraId="2E0B7C42" w14:textId="77777777" w:rsidTr="00BB1FB4">
        <w:trPr>
          <w:trHeight w:val="215"/>
        </w:trPr>
        <w:tc>
          <w:tcPr>
            <w:tcW w:w="941" w:type="dxa"/>
            <w:vMerge/>
            <w:shd w:val="clear" w:color="auto" w:fill="FFFFFF" w:themeFill="background1"/>
            <w:vAlign w:val="center"/>
          </w:tcPr>
          <w:p w14:paraId="6E097597" w14:textId="77777777" w:rsidR="00BB1FB4" w:rsidRPr="006A381E" w:rsidRDefault="00BB1FB4" w:rsidP="005B0677">
            <w:pPr>
              <w:pStyle w:val="p1"/>
              <w:jc w:val="center"/>
              <w:rPr>
                <w:sz w:val="20"/>
                <w:szCs w:val="20"/>
              </w:rPr>
            </w:pPr>
          </w:p>
        </w:tc>
        <w:tc>
          <w:tcPr>
            <w:tcW w:w="551" w:type="dxa"/>
            <w:vMerge/>
            <w:shd w:val="clear" w:color="auto" w:fill="FFFFFF" w:themeFill="background1"/>
            <w:vAlign w:val="center"/>
          </w:tcPr>
          <w:p w14:paraId="7BF1176A" w14:textId="77777777" w:rsidR="00BB1FB4" w:rsidRPr="006A381E" w:rsidRDefault="00BB1FB4" w:rsidP="005B0677">
            <w:pPr>
              <w:pStyle w:val="p1"/>
              <w:jc w:val="center"/>
              <w:rPr>
                <w:sz w:val="20"/>
                <w:szCs w:val="20"/>
              </w:rPr>
            </w:pPr>
          </w:p>
        </w:tc>
        <w:tc>
          <w:tcPr>
            <w:tcW w:w="1067" w:type="dxa"/>
            <w:vMerge/>
            <w:shd w:val="clear" w:color="auto" w:fill="FFFFFF" w:themeFill="background1"/>
            <w:vAlign w:val="center"/>
          </w:tcPr>
          <w:p w14:paraId="6B1C3D8F" w14:textId="77777777" w:rsidR="00BB1FB4" w:rsidRPr="006A381E" w:rsidRDefault="00BB1FB4" w:rsidP="005B0677">
            <w:pPr>
              <w:pStyle w:val="p1"/>
              <w:jc w:val="center"/>
              <w:rPr>
                <w:sz w:val="20"/>
                <w:szCs w:val="20"/>
              </w:rPr>
            </w:pPr>
          </w:p>
        </w:tc>
        <w:tc>
          <w:tcPr>
            <w:tcW w:w="1065" w:type="dxa"/>
            <w:vMerge/>
            <w:shd w:val="clear" w:color="auto" w:fill="FFFFFF" w:themeFill="background1"/>
            <w:vAlign w:val="center"/>
          </w:tcPr>
          <w:p w14:paraId="35728120" w14:textId="77777777" w:rsidR="00BB1FB4" w:rsidRPr="006A381E" w:rsidRDefault="00BB1FB4" w:rsidP="005B0677">
            <w:pPr>
              <w:pStyle w:val="p1"/>
              <w:jc w:val="center"/>
              <w:rPr>
                <w:sz w:val="20"/>
                <w:szCs w:val="20"/>
              </w:rPr>
            </w:pPr>
          </w:p>
        </w:tc>
        <w:tc>
          <w:tcPr>
            <w:tcW w:w="1163" w:type="dxa"/>
            <w:vMerge/>
            <w:shd w:val="clear" w:color="auto" w:fill="FFFFFF" w:themeFill="background1"/>
            <w:vAlign w:val="center"/>
          </w:tcPr>
          <w:p w14:paraId="00DC2325" w14:textId="77777777" w:rsidR="00BB1FB4" w:rsidRPr="006A381E" w:rsidRDefault="00BB1FB4" w:rsidP="005B0677">
            <w:pPr>
              <w:pStyle w:val="p1"/>
              <w:jc w:val="center"/>
              <w:rPr>
                <w:sz w:val="20"/>
                <w:szCs w:val="20"/>
              </w:rPr>
            </w:pPr>
          </w:p>
        </w:tc>
        <w:tc>
          <w:tcPr>
            <w:tcW w:w="1016" w:type="dxa"/>
            <w:shd w:val="clear" w:color="auto" w:fill="FFFFFF" w:themeFill="background1"/>
            <w:vAlign w:val="center"/>
          </w:tcPr>
          <w:p w14:paraId="09DC0050" w14:textId="0AA80739" w:rsidR="00BB1FB4" w:rsidRPr="006A381E" w:rsidRDefault="00BB1FB4" w:rsidP="00BB1FB4">
            <w:pPr>
              <w:pStyle w:val="p1"/>
              <w:jc w:val="center"/>
              <w:rPr>
                <w:rFonts w:eastAsiaTheme="minorEastAsia"/>
                <w:i/>
                <w:iCs/>
                <w:sz w:val="20"/>
                <w:szCs w:val="20"/>
              </w:rPr>
            </w:pPr>
            <w:r w:rsidRPr="006A381E">
              <w:rPr>
                <w:sz w:val="20"/>
                <w:szCs w:val="20"/>
              </w:rPr>
              <w:t>Rare</w:t>
            </w:r>
          </w:p>
        </w:tc>
        <w:tc>
          <w:tcPr>
            <w:tcW w:w="2038" w:type="dxa"/>
            <w:shd w:val="clear" w:color="auto" w:fill="FFFFFF" w:themeFill="background1"/>
            <w:vAlign w:val="center"/>
          </w:tcPr>
          <w:p w14:paraId="77371895" w14:textId="1A8C0D04" w:rsidR="00BB1FB4" w:rsidRPr="006A381E" w:rsidRDefault="00BB1FB4"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R</w:t>
            </w:r>
            <w:r w:rsidRPr="006A381E">
              <w:rPr>
                <w:rFonts w:eastAsiaTheme="minorEastAsia"/>
                <w:i/>
                <w:iCs/>
                <w:sz w:val="20"/>
                <w:szCs w:val="20"/>
              </w:rPr>
              <w:t xml:space="preserve">, </w:t>
            </w:r>
            <m:oMath>
              <m:r>
                <w:rPr>
                  <w:rFonts w:ascii="Cambria Math" w:hAnsi="Cambria Math"/>
                  <w:sz w:val="20"/>
                  <w:szCs w:val="20"/>
                </w:rPr>
                <m:t>α</m:t>
              </m:r>
            </m:oMath>
            <w:r w:rsidRPr="006A381E">
              <w:rPr>
                <w:rFonts w:eastAsiaTheme="minorEastAsia"/>
                <w:i/>
                <w:sz w:val="20"/>
                <w:szCs w:val="20"/>
              </w:rPr>
              <w:t xml:space="preserve"> &lt; 0.5</w:t>
            </w:r>
          </w:p>
        </w:tc>
        <w:tc>
          <w:tcPr>
            <w:tcW w:w="1509" w:type="dxa"/>
            <w:shd w:val="clear" w:color="auto" w:fill="FFFFFF" w:themeFill="background1"/>
            <w:vAlign w:val="center"/>
          </w:tcPr>
          <w:p w14:paraId="04D06AF1" w14:textId="552F5B9F" w:rsidR="00BB1FB4" w:rsidRPr="006A381E" w:rsidRDefault="00BB1FB4" w:rsidP="005B0677">
            <w:pPr>
              <w:pStyle w:val="p1"/>
              <w:jc w:val="center"/>
              <w:rPr>
                <w:sz w:val="20"/>
                <w:szCs w:val="20"/>
              </w:rPr>
            </w:pPr>
            <w:r w:rsidRPr="006A381E">
              <w:rPr>
                <w:sz w:val="20"/>
                <w:szCs w:val="20"/>
              </w:rPr>
              <w:t>Tributary inputs of rare taxa</w:t>
            </w:r>
          </w:p>
        </w:tc>
      </w:tr>
      <w:tr w:rsidR="00B54C61" w:rsidRPr="00340F0D" w14:paraId="4DEF674C" w14:textId="77777777" w:rsidTr="00A25DC1">
        <w:trPr>
          <w:trHeight w:val="192"/>
        </w:trPr>
        <w:tc>
          <w:tcPr>
            <w:tcW w:w="941" w:type="dxa"/>
            <w:vMerge/>
            <w:shd w:val="clear" w:color="auto" w:fill="FFFFFF" w:themeFill="background1"/>
            <w:vAlign w:val="center"/>
          </w:tcPr>
          <w:p w14:paraId="460242DA"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5FCB8181"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1D3429AD"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47E6E4F1" w14:textId="4A7D68F8" w:rsidR="00340F0D" w:rsidRPr="006A381E" w:rsidRDefault="00340F0D" w:rsidP="00BB1FB4">
            <w:pPr>
              <w:pStyle w:val="p1"/>
              <w:jc w:val="center"/>
              <w:rPr>
                <w:rFonts w:eastAsiaTheme="minorEastAsia"/>
                <w:i/>
                <w:iCs/>
                <w:sz w:val="20"/>
                <w:szCs w:val="20"/>
              </w:rPr>
            </w:pPr>
            <w:r w:rsidRPr="006A381E">
              <w:rPr>
                <w:sz w:val="20"/>
                <w:szCs w:val="20"/>
              </w:rPr>
              <w:t>Unknown</w:t>
            </w:r>
          </w:p>
        </w:tc>
        <w:tc>
          <w:tcPr>
            <w:tcW w:w="2038" w:type="dxa"/>
            <w:shd w:val="clear" w:color="auto" w:fill="FFFFFF" w:themeFill="background1"/>
            <w:vAlign w:val="center"/>
          </w:tcPr>
          <w:p w14:paraId="20C313A1" w14:textId="5804B6D5" w:rsidR="00340F0D" w:rsidRPr="006A381E" w:rsidRDefault="00340F0D" w:rsidP="00BB1FB4">
            <w:pPr>
              <w:pStyle w:val="p1"/>
              <w:jc w:val="center"/>
              <w:rPr>
                <w:sz w:val="20"/>
                <w:szCs w:val="20"/>
              </w:rPr>
            </w:pPr>
            <w:r w:rsidRPr="006A381E">
              <w:rPr>
                <w:rFonts w:eastAsiaTheme="minorEastAsia"/>
                <w:i/>
                <w:iCs/>
                <w:sz w:val="20"/>
                <w:szCs w:val="20"/>
              </w:rPr>
              <w:t>GU</w:t>
            </w:r>
            <w:r w:rsidRPr="006A381E">
              <w:rPr>
                <w:rFonts w:eastAsiaTheme="minorEastAsia"/>
                <w:i/>
                <w:iCs/>
                <w:sz w:val="20"/>
                <w:szCs w:val="20"/>
                <w:vertAlign w:val="superscript"/>
              </w:rPr>
              <w:t>A</w:t>
            </w:r>
            <w:r w:rsidRPr="006A381E">
              <w:rPr>
                <w:rFonts w:eastAsiaTheme="minorEastAsia"/>
                <w:i/>
                <w:iCs/>
                <w:sz w:val="20"/>
                <w:szCs w:val="20"/>
              </w:rPr>
              <w:t xml:space="preserve"> </w:t>
            </w:r>
            <w:r w:rsidRPr="006A381E">
              <w:rPr>
                <w:rFonts w:eastAsiaTheme="minorEastAsia"/>
                <w:sz w:val="20"/>
                <w:szCs w:val="20"/>
              </w:rPr>
              <w:t xml:space="preserve">at multiple </w:t>
            </w:r>
            <m:oMath>
              <m:r>
                <w:rPr>
                  <w:rFonts w:ascii="Cambria Math" w:hAnsi="Cambria Math"/>
                  <w:sz w:val="20"/>
                  <w:szCs w:val="20"/>
                </w:rPr>
                <m:t>α</m:t>
              </m:r>
            </m:oMath>
          </w:p>
        </w:tc>
        <w:tc>
          <w:tcPr>
            <w:tcW w:w="1509" w:type="dxa"/>
            <w:shd w:val="clear" w:color="auto" w:fill="FFFFFF" w:themeFill="background1"/>
            <w:vAlign w:val="center"/>
          </w:tcPr>
          <w:p w14:paraId="3DA71578" w14:textId="572F7608" w:rsidR="00340F0D" w:rsidRPr="006A381E" w:rsidRDefault="00340F0D" w:rsidP="005B0677">
            <w:pPr>
              <w:pStyle w:val="p1"/>
              <w:jc w:val="center"/>
              <w:rPr>
                <w:sz w:val="20"/>
                <w:szCs w:val="20"/>
              </w:rPr>
            </w:pPr>
            <w:r w:rsidRPr="006A381E">
              <w:rPr>
                <w:sz w:val="20"/>
                <w:szCs w:val="20"/>
              </w:rPr>
              <w:t>Random variation in microbial load obscured compositional shifts in soil communities</w:t>
            </w:r>
          </w:p>
        </w:tc>
      </w:tr>
      <w:tr w:rsidR="00B54C61" w:rsidRPr="00340F0D" w14:paraId="1193D148" w14:textId="77777777" w:rsidTr="00515234">
        <w:trPr>
          <w:trHeight w:val="431"/>
        </w:trPr>
        <w:tc>
          <w:tcPr>
            <w:tcW w:w="941" w:type="dxa"/>
            <w:vMerge/>
            <w:shd w:val="clear" w:color="auto" w:fill="FFFFFF" w:themeFill="background1"/>
            <w:vAlign w:val="center"/>
          </w:tcPr>
          <w:p w14:paraId="392CA36E" w14:textId="77777777" w:rsidR="00340F0D" w:rsidRPr="006A381E" w:rsidRDefault="00340F0D" w:rsidP="006A381E">
            <w:pPr>
              <w:pStyle w:val="p1"/>
              <w:jc w:val="center"/>
              <w:rPr>
                <w:sz w:val="20"/>
                <w:szCs w:val="20"/>
              </w:rPr>
            </w:pPr>
          </w:p>
        </w:tc>
        <w:tc>
          <w:tcPr>
            <w:tcW w:w="551" w:type="dxa"/>
            <w:vMerge w:val="restart"/>
            <w:shd w:val="clear" w:color="auto" w:fill="FFFFFF" w:themeFill="background1"/>
            <w:vAlign w:val="center"/>
          </w:tcPr>
          <w:p w14:paraId="00868DC7" w14:textId="4F814AD0" w:rsidR="00340F0D" w:rsidRPr="006A381E" w:rsidRDefault="00340F0D" w:rsidP="006A381E">
            <w:pPr>
              <w:pStyle w:val="p1"/>
              <w:jc w:val="center"/>
              <w:rPr>
                <w:sz w:val="20"/>
                <w:szCs w:val="20"/>
              </w:rPr>
            </w:pPr>
            <w:r w:rsidRPr="006A381E">
              <w:rPr>
                <w:sz w:val="20"/>
                <w:szCs w:val="20"/>
              </w:rPr>
              <w:t>No</w:t>
            </w:r>
          </w:p>
        </w:tc>
        <w:tc>
          <w:tcPr>
            <w:tcW w:w="1067" w:type="dxa"/>
            <w:vMerge w:val="restart"/>
            <w:shd w:val="clear" w:color="auto" w:fill="FFFFFF" w:themeFill="background1"/>
            <w:vAlign w:val="center"/>
          </w:tcPr>
          <w:p w14:paraId="44F9C477" w14:textId="309359D2" w:rsidR="00340F0D" w:rsidRPr="006A381E" w:rsidRDefault="00340F0D" w:rsidP="006A381E">
            <w:pPr>
              <w:pStyle w:val="p1"/>
              <w:jc w:val="center"/>
              <w:rPr>
                <w:sz w:val="20"/>
                <w:szCs w:val="20"/>
              </w:rPr>
            </w:pPr>
            <w:r w:rsidRPr="006A381E">
              <w:rPr>
                <w:sz w:val="20"/>
                <w:szCs w:val="20"/>
              </w:rPr>
              <w:t>Microbial load relevant?</w:t>
            </w:r>
          </w:p>
        </w:tc>
        <w:tc>
          <w:tcPr>
            <w:tcW w:w="3244" w:type="dxa"/>
            <w:gridSpan w:val="3"/>
            <w:shd w:val="clear" w:color="auto" w:fill="FFFFFF" w:themeFill="background1"/>
            <w:vAlign w:val="center"/>
          </w:tcPr>
          <w:p w14:paraId="46F8CF54" w14:textId="51ADA6F0" w:rsidR="00340F0D" w:rsidRPr="006A381E" w:rsidRDefault="00340F0D" w:rsidP="00BB1FB4">
            <w:pPr>
              <w:pStyle w:val="p1"/>
              <w:jc w:val="center"/>
              <w:rPr>
                <w:rFonts w:eastAsiaTheme="minorEastAsia"/>
                <w:i/>
                <w:iCs/>
                <w:sz w:val="20"/>
                <w:szCs w:val="20"/>
              </w:rPr>
            </w:pPr>
            <w:r w:rsidRPr="006A381E">
              <w:rPr>
                <w:sz w:val="20"/>
                <w:szCs w:val="20"/>
              </w:rPr>
              <w:t>Yes</w:t>
            </w:r>
          </w:p>
        </w:tc>
        <w:tc>
          <w:tcPr>
            <w:tcW w:w="2038" w:type="dxa"/>
            <w:shd w:val="clear" w:color="auto" w:fill="FFFFFF" w:themeFill="background1"/>
            <w:vAlign w:val="center"/>
          </w:tcPr>
          <w:p w14:paraId="5D0C4542" w14:textId="7FE9CA0A" w:rsidR="00340F0D" w:rsidRPr="006A381E" w:rsidRDefault="00340F0D" w:rsidP="00BB1FB4">
            <w:pPr>
              <w:pStyle w:val="p1"/>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A</w:t>
            </w:r>
          </w:p>
        </w:tc>
        <w:tc>
          <w:tcPr>
            <w:tcW w:w="1509" w:type="dxa"/>
            <w:shd w:val="clear" w:color="auto" w:fill="FFFFFF" w:themeFill="background1"/>
            <w:vAlign w:val="center"/>
          </w:tcPr>
          <w:p w14:paraId="6BD97CC0" w14:textId="67961898" w:rsidR="00340F0D" w:rsidRPr="006A381E" w:rsidRDefault="00340F0D" w:rsidP="006A381E">
            <w:pPr>
              <w:pStyle w:val="p1"/>
              <w:jc w:val="center"/>
              <w:rPr>
                <w:sz w:val="20"/>
                <w:szCs w:val="20"/>
              </w:rPr>
            </w:pPr>
            <w:r w:rsidRPr="006A381E">
              <w:rPr>
                <w:sz w:val="20"/>
                <w:szCs w:val="20"/>
              </w:rPr>
              <w:t>Strain turnover and proliferation in the infant gut</w:t>
            </w:r>
          </w:p>
        </w:tc>
      </w:tr>
      <w:tr w:rsidR="00B54C61" w:rsidRPr="00340F0D" w14:paraId="3FFC7AC3" w14:textId="77777777" w:rsidTr="00436AB9">
        <w:trPr>
          <w:trHeight w:val="220"/>
        </w:trPr>
        <w:tc>
          <w:tcPr>
            <w:tcW w:w="941" w:type="dxa"/>
            <w:vMerge/>
            <w:shd w:val="clear" w:color="auto" w:fill="FFFFFF" w:themeFill="background1"/>
            <w:vAlign w:val="center"/>
          </w:tcPr>
          <w:p w14:paraId="28E6DCF7" w14:textId="77777777" w:rsidR="00340F0D" w:rsidRPr="006A381E" w:rsidRDefault="00340F0D" w:rsidP="005B0677">
            <w:pPr>
              <w:pStyle w:val="p1"/>
              <w:jc w:val="center"/>
              <w:rPr>
                <w:sz w:val="20"/>
                <w:szCs w:val="20"/>
              </w:rPr>
            </w:pPr>
          </w:p>
        </w:tc>
        <w:tc>
          <w:tcPr>
            <w:tcW w:w="551" w:type="dxa"/>
            <w:vMerge/>
            <w:shd w:val="clear" w:color="auto" w:fill="FFFFFF" w:themeFill="background1"/>
            <w:vAlign w:val="center"/>
          </w:tcPr>
          <w:p w14:paraId="3BB7AA7A" w14:textId="77777777" w:rsidR="00340F0D" w:rsidRPr="006A381E" w:rsidRDefault="00340F0D" w:rsidP="005B0677">
            <w:pPr>
              <w:pStyle w:val="p1"/>
              <w:jc w:val="center"/>
              <w:rPr>
                <w:sz w:val="20"/>
                <w:szCs w:val="20"/>
              </w:rPr>
            </w:pPr>
          </w:p>
        </w:tc>
        <w:tc>
          <w:tcPr>
            <w:tcW w:w="1067" w:type="dxa"/>
            <w:vMerge/>
            <w:shd w:val="clear" w:color="auto" w:fill="FFFFFF" w:themeFill="background1"/>
            <w:vAlign w:val="center"/>
          </w:tcPr>
          <w:p w14:paraId="1013CD62" w14:textId="77777777" w:rsidR="00340F0D" w:rsidRPr="006A381E" w:rsidRDefault="00340F0D" w:rsidP="005B0677">
            <w:pPr>
              <w:pStyle w:val="p1"/>
              <w:jc w:val="center"/>
              <w:rPr>
                <w:sz w:val="20"/>
                <w:szCs w:val="20"/>
              </w:rPr>
            </w:pPr>
          </w:p>
        </w:tc>
        <w:tc>
          <w:tcPr>
            <w:tcW w:w="3244" w:type="dxa"/>
            <w:gridSpan w:val="3"/>
            <w:shd w:val="clear" w:color="auto" w:fill="FFFFFF" w:themeFill="background1"/>
            <w:vAlign w:val="center"/>
          </w:tcPr>
          <w:p w14:paraId="14B2B0E8" w14:textId="181EBD0B" w:rsidR="00340F0D" w:rsidRPr="006A381E" w:rsidRDefault="00340F0D" w:rsidP="00BB1FB4">
            <w:pPr>
              <w:pStyle w:val="p1"/>
              <w:jc w:val="center"/>
              <w:rPr>
                <w:rFonts w:eastAsiaTheme="minorEastAsia"/>
                <w:i/>
                <w:iCs/>
                <w:sz w:val="20"/>
                <w:szCs w:val="20"/>
              </w:rPr>
            </w:pPr>
            <w:r w:rsidRPr="006A381E">
              <w:rPr>
                <w:sz w:val="20"/>
                <w:szCs w:val="20"/>
              </w:rPr>
              <w:t>No</w:t>
            </w:r>
          </w:p>
        </w:tc>
        <w:tc>
          <w:tcPr>
            <w:tcW w:w="2038" w:type="dxa"/>
            <w:shd w:val="clear" w:color="auto" w:fill="FFFFFF" w:themeFill="background1"/>
            <w:vAlign w:val="center"/>
          </w:tcPr>
          <w:p w14:paraId="6EAD8FF4" w14:textId="5236A05B" w:rsidR="00340F0D" w:rsidRPr="006A381E" w:rsidRDefault="00340F0D" w:rsidP="00BB1FB4">
            <w:pPr>
              <w:pStyle w:val="p1"/>
              <w:jc w:val="center"/>
              <w:rPr>
                <w:sz w:val="20"/>
                <w:szCs w:val="20"/>
              </w:rPr>
            </w:pPr>
            <w:r w:rsidRPr="006A381E">
              <w:rPr>
                <w:rFonts w:eastAsiaTheme="minorEastAsia"/>
                <w:i/>
                <w:iCs/>
                <w:sz w:val="20"/>
                <w:szCs w:val="20"/>
              </w:rPr>
              <w:t>BC</w:t>
            </w:r>
            <w:r w:rsidRPr="006A381E">
              <w:rPr>
                <w:rFonts w:eastAsiaTheme="minorEastAsia"/>
                <w:i/>
                <w:iCs/>
                <w:sz w:val="20"/>
                <w:szCs w:val="20"/>
                <w:vertAlign w:val="superscript"/>
              </w:rPr>
              <w:t>R</w:t>
            </w:r>
          </w:p>
        </w:tc>
        <w:tc>
          <w:tcPr>
            <w:tcW w:w="1509" w:type="dxa"/>
            <w:shd w:val="clear" w:color="auto" w:fill="FFFFFF" w:themeFill="background1"/>
            <w:vAlign w:val="center"/>
          </w:tcPr>
          <w:p w14:paraId="38DE374E" w14:textId="4F42C06A" w:rsidR="00340F0D" w:rsidRPr="006A381E" w:rsidRDefault="00340F0D" w:rsidP="005B0677">
            <w:pPr>
              <w:pStyle w:val="p1"/>
              <w:jc w:val="center"/>
              <w:rPr>
                <w:sz w:val="20"/>
                <w:szCs w:val="20"/>
              </w:rPr>
            </w:pPr>
            <w:r w:rsidRPr="006A381E">
              <w:rPr>
                <w:sz w:val="20"/>
                <w:szCs w:val="20"/>
              </w:rPr>
              <w:t>Temporal succession in chemostat</w:t>
            </w:r>
          </w:p>
        </w:tc>
      </w:tr>
    </w:tbl>
    <w:p w14:paraId="4B7C17AC" w14:textId="5868CD30" w:rsidR="00153449" w:rsidRDefault="00153449" w:rsidP="00153449">
      <w:pPr>
        <w:pStyle w:val="p1"/>
      </w:pPr>
      <w:r>
        <w:t xml:space="preserve"> </w:t>
      </w:r>
    </w:p>
    <w:p w14:paraId="27D887EE" w14:textId="6989C950" w:rsidR="00406912" w:rsidRDefault="00406912">
      <w:pPr>
        <w:rPr>
          <w:rFonts w:eastAsia="Times New Roman" w:cs="Times New Roman"/>
          <w:kern w:val="0"/>
          <w14:ligatures w14:val="none"/>
        </w:rPr>
      </w:pPr>
      <w:r>
        <w:br w:type="page"/>
      </w:r>
    </w:p>
    <w:p w14:paraId="65FCE9D6" w14:textId="77777777" w:rsidR="00153449" w:rsidRPr="00153449" w:rsidRDefault="00153449" w:rsidP="00153449">
      <w:pPr>
        <w:pStyle w:val="p1"/>
      </w:pPr>
    </w:p>
    <w:p w14:paraId="27EF4D1C" w14:textId="0FF2A7A7" w:rsidR="0092229D" w:rsidRDefault="00153449" w:rsidP="00B26FCE">
      <w:pPr>
        <w:spacing w:line="240" w:lineRule="auto"/>
        <w:rPr>
          <w:b/>
          <w:bCs/>
        </w:rPr>
      </w:pPr>
      <w:r w:rsidRPr="006A381E">
        <w:rPr>
          <w:b/>
          <w:bCs/>
        </w:rPr>
        <w:t>Box 2: Rarefaction workflow for incorporating absolute abundance</w:t>
      </w:r>
      <w:r w:rsidR="005B0677" w:rsidRPr="005B0677">
        <w:rPr>
          <w:noProof/>
        </w:rPr>
        <w:t xml:space="preserve"> </w:t>
      </w:r>
    </w:p>
    <w:p w14:paraId="343DB5DE" w14:textId="640D783C" w:rsidR="00153449" w:rsidRDefault="00406912" w:rsidP="00153449">
      <w:r>
        <w:rPr>
          <w:noProof/>
        </w:rPr>
        <w:drawing>
          <wp:anchor distT="0" distB="0" distL="114300" distR="114300" simplePos="0" relativeHeight="251662336" behindDoc="1" locked="0" layoutInCell="1" allowOverlap="1" wp14:anchorId="13025A7E" wp14:editId="47E5F13A">
            <wp:simplePos x="0" y="0"/>
            <wp:positionH relativeFrom="margin">
              <wp:posOffset>2372007</wp:posOffset>
            </wp:positionH>
            <wp:positionV relativeFrom="margin">
              <wp:posOffset>657677</wp:posOffset>
            </wp:positionV>
            <wp:extent cx="3639820" cy="5039360"/>
            <wp:effectExtent l="0" t="0" r="5080" b="2540"/>
            <wp:wrapSquare wrapText="bothSides"/>
            <wp:docPr id="1261782634" name="Picture 2" descr="A char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782634" name="Picture 2" descr="A chart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39820" cy="5039360"/>
                    </a:xfrm>
                    <a:prstGeom prst="rect">
                      <a:avLst/>
                    </a:prstGeom>
                  </pic:spPr>
                </pic:pic>
              </a:graphicData>
            </a:graphic>
            <wp14:sizeRelH relativeFrom="page">
              <wp14:pctWidth>0</wp14:pctWidth>
            </wp14:sizeRelH>
            <wp14:sizeRelV relativeFrom="page">
              <wp14:pctHeight>0</wp14:pctHeight>
            </wp14:sizeRelV>
          </wp:anchor>
        </w:drawing>
      </w:r>
      <w:r w:rsidR="00B54C61">
        <w:t>While we refrain from an in-depth analysis of rarefaction approaches, here we present our workflow for incorporating rarefaction alongside absolute abundance</w:t>
      </w:r>
      <w:r w:rsidR="00F2781F">
        <w:t xml:space="preserve">. </w:t>
      </w:r>
      <w:r w:rsidR="00153449">
        <w:t>First, samples were assessed for anomalously low read counts and discarded (sequencing blanks and controls were also removed). For rarefaction, each sample in</w:t>
      </w:r>
      <w:r w:rsidR="00643576">
        <w:t xml:space="preserve"> the</w:t>
      </w:r>
      <w:r w:rsidR="00153449">
        <w:t xml:space="preserve"> ASV table was subsampled to equal </w:t>
      </w:r>
      <w:r w:rsidR="00153449" w:rsidRPr="00054B18">
        <w:rPr>
          <w:i/>
          <w:iCs/>
        </w:rPr>
        <w:t>sequencing</w:t>
      </w:r>
      <w:r w:rsidR="00153449">
        <w:t xml:space="preserve"> depth (# of reads) across 100 iterations, creating 100 rarefied ASV tables. These tables were then converted to relative abundance by dividing each ASV’s count by the equal sequencing depth (rounding was not performed). Then, each ASV’s absolute abundance within a given sample was calculated by multiplying its relative abundance by that sample’s total cell count or 16S copy number. Methods to predict genomic 16S copy number for a given ASV were not used</w:t>
      </w:r>
      <w:r w:rsidR="003C70B0">
        <w:t xml:space="preserve"> unless explicitly stated (Fig. S6)</w:t>
      </w:r>
      <w:r w:rsidR="00153449">
        <w:t xml:space="preserve"> </w:t>
      </w:r>
      <w:r w:rsidR="00153449">
        <w:fldChar w:fldCharType="begin"/>
      </w:r>
      <w:r w:rsidR="00210DF7">
        <w:instrText xml:space="preserve"> ADDIN ZOTERO_ITEM CSL_CITATION {"citationID":"EtgeKYQW","properties":{"formattedCitation":"[20, 21]","plainCitation":"[20, 21]","noteIndex":0},"citationItems":[{"id":2039,"uris":["http://zotero.org/groups/5077571/items/UIGMPRVP"],"itemData":{"id":2039,"type":"article-journal","abstract":"PICRUSt2 is a bioinformatic tool that predicts microbial functions in amplicon sequencing data using a database of annotated reference genomes. We have constructed an updated database for PICRUSt2 that has substantially increased the number of bacterial (19,493 to 26,868) and archaeal (406 to 1,002) genomes as well as the number of functional annotations present. The previous PICRUSt2 database relied on many timely and computationally intensive manual processes that made it difficult to update. We constructed a new streamlined process to allow regular upgrades to the PICRUSt2 database on an ongoing basis, and used this process to create a new database, PICRUSt2-SC (Sugar-Coated). Additionally, we have shown that this updated database contains genomes that more closely match study sequences from a range of different environments. The genomes contained in the database therefore better represent these environments and this leads to an improvement in the predicted functional annotations obtained from PICRUSt2.PICRUSt2 source code is freely available at https://github.com/picrust/picrust2 and at https://anaconda.org/bioconda/picrust2. The latest version of PICRUSt2 at the time of writing is also archived: https://doi.org/10.5281/zenodo.15119781. The PICRUSt2-SC database comes pre-installed with PICRUSt2 from version 2.6.0 onwards. Step-by-step instructions for making the updated database are at https://github.com/picrust/picrust2/wiki/Updating-the-PICRUSt2-database. All code used for the analyses and figures in this manuscript is at https://github.com/R-Wright-1/PICRUSt2-SC_application_note and https://doi.org/10.5281/zenodo.15119770.","container-title":"Bioinformatics","DOI":"10.1093/bioinformatics/btaf269","ISSN":"1367-4811","issue":"5","journalAbbreviation":"Bioinformatics","page":"btaf269","source":"Silverchair","title":"PICRUSt2-SC: an update to the reference database used for functional prediction within PICRUSt2","title-short":"PICRUSt2-SC","volume":"41","author":[{"family":"Wright","given":"Robyn J"},{"family":"Langille","given":"Morgan G I"}],"issued":{"date-parts":[["2025",5,1]]},"citation-key":"wrightPICRUSt2SCUpdateReference2025"}},{"id":956,"uris":["http://zotero.org/groups/5077571/items/3A7JYSWF"],"itemData":{"id":956,"type":"article-journal","container-title":"Nature Biotechnology","DOI":"10.1038/s41587-020-0548-6","ISSN":"1546-1696","issue":"6","journalAbbreviation":"Nat Biotechnol","language":"en","license":"2020 The Author(s), under exclusive licence to Springer Nature America, Inc.","note":"number: 6\npublisher: Nature Publishing Group","page":"685-688","source":"www.nature.com","title":"PICRUSt2 for prediction of metagenome functions","volume":"38","author":[{"family":"Douglas","given":"Gavin M."},{"family":"Maffei","given":"Vincent J."},{"family":"Zaneveld","given":"Jesse R."},{"family":"Yurgel","given":"Svetlana N."},{"family":"Brown","given":"James R."},{"family":"Taylor","given":"Christopher M."},{"family":"Huttenhower","given":"Curtis"},{"family":"Langille","given":"Morgan G. I."}],"issued":{"date-parts":[["2020",6]]},"citation-key":"douglasPICRUSt2PredictionMetagenome2020"}}],"schema":"https://github.com/citation-style-language/schema/raw/master/csl-citation.json"} </w:instrText>
      </w:r>
      <w:r w:rsidR="00153449">
        <w:fldChar w:fldCharType="separate"/>
      </w:r>
      <w:r w:rsidR="00210DF7">
        <w:rPr>
          <w:noProof/>
        </w:rPr>
        <w:t>[20, 21]</w:t>
      </w:r>
      <w:r w:rsidR="00153449">
        <w:fldChar w:fldCharType="end"/>
      </w:r>
      <w:r w:rsidR="00153449">
        <w:t xml:space="preserve">. Each distance/dissimilarity metric was then calculated across all 100 absolute-normalized ASV tables. The final distance/dissimilarity matrix was calculated by averaging all 100 iterations of each distance/dissimilarity calculation. Of note for future users: pruning the phylogenetic tree after rarefaction for each iteration is not necessary – ASVs removed from the dataset do not contribute nor change the calculated of </w:t>
      </w:r>
      <w:proofErr w:type="spellStart"/>
      <w:r w:rsidR="00153449">
        <w:t>Uni</w:t>
      </w:r>
      <w:r w:rsidR="00B54C61">
        <w:t>F</w:t>
      </w:r>
      <w:r w:rsidR="00153449">
        <w:t>rac</w:t>
      </w:r>
      <w:proofErr w:type="spellEnd"/>
      <w:r w:rsidR="00153449">
        <w:t xml:space="preserve"> distances. </w:t>
      </w:r>
    </w:p>
    <w:p w14:paraId="1032B5DC" w14:textId="60EE896F" w:rsidR="00406912" w:rsidRDefault="00406912">
      <w:r>
        <w:br w:type="page"/>
      </w:r>
    </w:p>
    <w:p w14:paraId="3A1B5A6A" w14:textId="77777777" w:rsidR="00153449" w:rsidRPr="00153449" w:rsidRDefault="00153449" w:rsidP="00B26FCE">
      <w:pPr>
        <w:spacing w:line="240" w:lineRule="auto"/>
      </w:pPr>
    </w:p>
    <w:p w14:paraId="59BE4468" w14:textId="77777777" w:rsidR="00153449" w:rsidRPr="00153449" w:rsidRDefault="00153449" w:rsidP="006A381E">
      <w:pPr>
        <w:spacing w:line="240" w:lineRule="auto"/>
      </w:pPr>
    </w:p>
    <w:p w14:paraId="23227280" w14:textId="77777777" w:rsidR="0007048F" w:rsidRPr="008D202E" w:rsidRDefault="0007048F" w:rsidP="00B26FCE">
      <w:pPr>
        <w:spacing w:line="240" w:lineRule="auto"/>
        <w:rPr>
          <w:b/>
          <w:bCs/>
        </w:rPr>
      </w:pPr>
      <w:bookmarkStart w:id="4" w:name="references"/>
      <w:r w:rsidRPr="008D202E">
        <w:rPr>
          <w:b/>
          <w:bCs/>
        </w:rPr>
        <w:t>References</w:t>
      </w:r>
    </w:p>
    <w:bookmarkEnd w:id="0"/>
    <w:bookmarkEnd w:id="2"/>
    <w:bookmarkEnd w:id="4"/>
    <w:p w14:paraId="094183EC" w14:textId="77777777" w:rsidR="009E56F5" w:rsidRPr="009E56F5" w:rsidRDefault="008D202E" w:rsidP="009E56F5">
      <w:pPr>
        <w:pStyle w:val="Bibliography"/>
        <w:rPr>
          <w:rFonts w:cs="Times New Roman"/>
        </w:rPr>
      </w:pPr>
      <w:r>
        <w:fldChar w:fldCharType="begin"/>
      </w:r>
      <w:r w:rsidR="009E56F5">
        <w:instrText xml:space="preserve"> ADDIN ZOTERO_BIBL {"uncited":[],"omitted":[],"custom":[]} CSL_BIBLIOGRAPHY </w:instrText>
      </w:r>
      <w:r>
        <w:fldChar w:fldCharType="separate"/>
      </w:r>
      <w:r w:rsidR="009E56F5" w:rsidRPr="009E56F5">
        <w:rPr>
          <w:rFonts w:cs="Times New Roman"/>
        </w:rPr>
        <w:t xml:space="preserve">1. </w:t>
      </w:r>
      <w:r w:rsidR="009E56F5" w:rsidRPr="009E56F5">
        <w:rPr>
          <w:rFonts w:cs="Times New Roman"/>
        </w:rPr>
        <w:tab/>
        <w:t xml:space="preserve">Gloor GB et al. Microbiome Datasets Are Compositional: And This Is Not Optional. </w:t>
      </w:r>
      <w:r w:rsidR="009E56F5" w:rsidRPr="009E56F5">
        <w:rPr>
          <w:rFonts w:cs="Times New Roman"/>
          <w:i/>
          <w:iCs/>
        </w:rPr>
        <w:t>Front Microbiol</w:t>
      </w:r>
      <w:r w:rsidR="009E56F5" w:rsidRPr="009E56F5">
        <w:rPr>
          <w:rFonts w:cs="Times New Roman"/>
        </w:rPr>
        <w:t xml:space="preserve"> 2017;</w:t>
      </w:r>
      <w:r w:rsidR="009E56F5" w:rsidRPr="009E56F5">
        <w:rPr>
          <w:rFonts w:cs="Times New Roman"/>
          <w:b/>
          <w:bCs/>
        </w:rPr>
        <w:t>8</w:t>
      </w:r>
      <w:r w:rsidR="009E56F5" w:rsidRPr="009E56F5">
        <w:rPr>
          <w:rFonts w:cs="Times New Roman"/>
        </w:rPr>
        <w:t>:2224. https://doi.org/10.3389/fmicb.2017.02224</w:t>
      </w:r>
    </w:p>
    <w:p w14:paraId="316EA06B" w14:textId="77777777" w:rsidR="009E56F5" w:rsidRPr="009E56F5" w:rsidRDefault="009E56F5" w:rsidP="009E56F5">
      <w:pPr>
        <w:pStyle w:val="Bibliography"/>
        <w:rPr>
          <w:rFonts w:cs="Times New Roman"/>
        </w:rPr>
      </w:pPr>
      <w:r w:rsidRPr="009E56F5">
        <w:rPr>
          <w:rFonts w:cs="Times New Roman"/>
        </w:rPr>
        <w:t xml:space="preserve">2. </w:t>
      </w:r>
      <w:r w:rsidRPr="009E56F5">
        <w:rPr>
          <w:rFonts w:cs="Times New Roman"/>
        </w:rPr>
        <w:tab/>
        <w:t xml:space="preserve">Vandeputte D et al. Stool consistency is strongly associated with gut microbiota richness and composition, enterotypes and bacterial growth rates. </w:t>
      </w:r>
      <w:r w:rsidRPr="009E56F5">
        <w:rPr>
          <w:rFonts w:cs="Times New Roman"/>
          <w:i/>
          <w:iCs/>
        </w:rPr>
        <w:t>Gut</w:t>
      </w:r>
      <w:r w:rsidRPr="009E56F5">
        <w:rPr>
          <w:rFonts w:cs="Times New Roman"/>
        </w:rPr>
        <w:t xml:space="preserve"> 2016;</w:t>
      </w:r>
      <w:r w:rsidRPr="009E56F5">
        <w:rPr>
          <w:rFonts w:cs="Times New Roman"/>
          <w:b/>
          <w:bCs/>
        </w:rPr>
        <w:t>65</w:t>
      </w:r>
      <w:r w:rsidRPr="009E56F5">
        <w:rPr>
          <w:rFonts w:cs="Times New Roman"/>
        </w:rPr>
        <w:t>:57–62. https://doi.org/10.1136/gutjnl-2015-309618</w:t>
      </w:r>
    </w:p>
    <w:p w14:paraId="7C0CFEBC" w14:textId="77777777" w:rsidR="009E56F5" w:rsidRPr="009E56F5" w:rsidRDefault="009E56F5" w:rsidP="009E56F5">
      <w:pPr>
        <w:pStyle w:val="Bibliography"/>
        <w:rPr>
          <w:rFonts w:cs="Times New Roman"/>
        </w:rPr>
      </w:pPr>
      <w:r w:rsidRPr="009E56F5">
        <w:rPr>
          <w:rFonts w:cs="Times New Roman"/>
        </w:rPr>
        <w:t xml:space="preserve">3. </w:t>
      </w:r>
      <w:r w:rsidRPr="009E56F5">
        <w:rPr>
          <w:rFonts w:cs="Times New Roman"/>
        </w:rPr>
        <w:tab/>
        <w:t xml:space="preserve">Barlow JT, Bogatyrev SR, Ismagilov RF. A quantitative sequencing framework for absolute abundance measurements of mucosal and lumenal microbial communities. </w:t>
      </w:r>
      <w:r w:rsidRPr="009E56F5">
        <w:rPr>
          <w:rFonts w:cs="Times New Roman"/>
          <w:i/>
          <w:iCs/>
        </w:rPr>
        <w:t>Nat Commun</w:t>
      </w:r>
      <w:r w:rsidRPr="009E56F5">
        <w:rPr>
          <w:rFonts w:cs="Times New Roman"/>
        </w:rPr>
        <w:t xml:space="preserve"> 2020;</w:t>
      </w:r>
      <w:r w:rsidRPr="009E56F5">
        <w:rPr>
          <w:rFonts w:cs="Times New Roman"/>
          <w:b/>
          <w:bCs/>
        </w:rPr>
        <w:t>11</w:t>
      </w:r>
      <w:r w:rsidRPr="009E56F5">
        <w:rPr>
          <w:rFonts w:cs="Times New Roman"/>
        </w:rPr>
        <w:t>:2590. https://doi.org/10.1038/s41467-020-16224-6</w:t>
      </w:r>
    </w:p>
    <w:p w14:paraId="199578A5" w14:textId="77777777" w:rsidR="009E56F5" w:rsidRPr="009E56F5" w:rsidRDefault="009E56F5" w:rsidP="009E56F5">
      <w:pPr>
        <w:pStyle w:val="Bibliography"/>
        <w:rPr>
          <w:rFonts w:cs="Times New Roman"/>
        </w:rPr>
      </w:pPr>
      <w:r w:rsidRPr="009E56F5">
        <w:rPr>
          <w:rFonts w:cs="Times New Roman"/>
        </w:rPr>
        <w:t xml:space="preserve">4. </w:t>
      </w:r>
      <w:r w:rsidRPr="009E56F5">
        <w:rPr>
          <w:rFonts w:cs="Times New Roman"/>
        </w:rPr>
        <w:tab/>
        <w:t xml:space="preserve">Wang X et al. Current Applications of Absolute Bacterial Quantification in Microbiome Studies and Decision-Making Regarding Different Biological Questions. </w:t>
      </w:r>
      <w:r w:rsidRPr="009E56F5">
        <w:rPr>
          <w:rFonts w:cs="Times New Roman"/>
          <w:i/>
          <w:iCs/>
        </w:rPr>
        <w:t>Microorganisms</w:t>
      </w:r>
      <w:r w:rsidRPr="009E56F5">
        <w:rPr>
          <w:rFonts w:cs="Times New Roman"/>
        </w:rPr>
        <w:t xml:space="preserve"> 2021;</w:t>
      </w:r>
      <w:r w:rsidRPr="009E56F5">
        <w:rPr>
          <w:rFonts w:cs="Times New Roman"/>
          <w:b/>
          <w:bCs/>
        </w:rPr>
        <w:t>9</w:t>
      </w:r>
      <w:r w:rsidRPr="009E56F5">
        <w:rPr>
          <w:rFonts w:cs="Times New Roman"/>
        </w:rPr>
        <w:t>:1797. https://doi.org/10.3390/microorganisms9091797</w:t>
      </w:r>
    </w:p>
    <w:p w14:paraId="16421FA5" w14:textId="77777777" w:rsidR="009E56F5" w:rsidRPr="009E56F5" w:rsidRDefault="009E56F5" w:rsidP="009E56F5">
      <w:pPr>
        <w:pStyle w:val="Bibliography"/>
        <w:rPr>
          <w:rFonts w:cs="Times New Roman"/>
        </w:rPr>
      </w:pPr>
      <w:r w:rsidRPr="009E56F5">
        <w:rPr>
          <w:rFonts w:cs="Times New Roman"/>
        </w:rPr>
        <w:t xml:space="preserve">5. </w:t>
      </w:r>
      <w:r w:rsidRPr="009E56F5">
        <w:rPr>
          <w:rFonts w:cs="Times New Roman"/>
        </w:rPr>
        <w:tab/>
        <w:t xml:space="preserve">Props R et al. Absolute quantification of microbial taxon abundances. </w:t>
      </w:r>
      <w:r w:rsidRPr="009E56F5">
        <w:rPr>
          <w:rFonts w:cs="Times New Roman"/>
          <w:i/>
          <w:iCs/>
        </w:rPr>
        <w:t>ISME J</w:t>
      </w:r>
      <w:r w:rsidRPr="009E56F5">
        <w:rPr>
          <w:rFonts w:cs="Times New Roman"/>
        </w:rPr>
        <w:t xml:space="preserve"> 2017;</w:t>
      </w:r>
      <w:r w:rsidRPr="009E56F5">
        <w:rPr>
          <w:rFonts w:cs="Times New Roman"/>
          <w:b/>
          <w:bCs/>
        </w:rPr>
        <w:t>11</w:t>
      </w:r>
      <w:r w:rsidRPr="009E56F5">
        <w:rPr>
          <w:rFonts w:cs="Times New Roman"/>
        </w:rPr>
        <w:t>:584–587. https://doi.org/10.1038/ismej.2016.117</w:t>
      </w:r>
    </w:p>
    <w:p w14:paraId="01C4BE48" w14:textId="77777777" w:rsidR="009E56F5" w:rsidRPr="009E56F5" w:rsidRDefault="009E56F5" w:rsidP="009E56F5">
      <w:pPr>
        <w:pStyle w:val="Bibliography"/>
        <w:rPr>
          <w:rFonts w:cs="Times New Roman"/>
        </w:rPr>
      </w:pPr>
      <w:r w:rsidRPr="009E56F5">
        <w:rPr>
          <w:rFonts w:cs="Times New Roman"/>
        </w:rPr>
        <w:t xml:space="preserve">6. </w:t>
      </w:r>
      <w:r w:rsidRPr="009E56F5">
        <w:rPr>
          <w:rFonts w:cs="Times New Roman"/>
        </w:rPr>
        <w:tab/>
        <w:t xml:space="preserve">Rao C et al. Multi-kingdom ecological drivers of microbiota assembly in preterm infants. </w:t>
      </w:r>
      <w:r w:rsidRPr="009E56F5">
        <w:rPr>
          <w:rFonts w:cs="Times New Roman"/>
          <w:i/>
          <w:iCs/>
        </w:rPr>
        <w:t>Nature</w:t>
      </w:r>
      <w:r w:rsidRPr="009E56F5">
        <w:rPr>
          <w:rFonts w:cs="Times New Roman"/>
        </w:rPr>
        <w:t xml:space="preserve"> 2021;</w:t>
      </w:r>
      <w:r w:rsidRPr="009E56F5">
        <w:rPr>
          <w:rFonts w:cs="Times New Roman"/>
          <w:b/>
          <w:bCs/>
        </w:rPr>
        <w:t>591</w:t>
      </w:r>
      <w:r w:rsidRPr="009E56F5">
        <w:rPr>
          <w:rFonts w:cs="Times New Roman"/>
        </w:rPr>
        <w:t>:633–638. https://doi.org/10.1038/s41586-021-03241-8</w:t>
      </w:r>
    </w:p>
    <w:p w14:paraId="73C4929D" w14:textId="77777777" w:rsidR="009E56F5" w:rsidRPr="009E56F5" w:rsidRDefault="009E56F5" w:rsidP="009E56F5">
      <w:pPr>
        <w:pStyle w:val="Bibliography"/>
        <w:rPr>
          <w:rFonts w:cs="Times New Roman"/>
        </w:rPr>
      </w:pPr>
      <w:r w:rsidRPr="009E56F5">
        <w:rPr>
          <w:rFonts w:cs="Times New Roman"/>
        </w:rPr>
        <w:t xml:space="preserve">7. </w:t>
      </w:r>
      <w:r w:rsidRPr="009E56F5">
        <w:rPr>
          <w:rFonts w:cs="Times New Roman"/>
        </w:rPr>
        <w:tab/>
        <w:t xml:space="preserve">Bray JR, Curtis JT. An Ordination of the Upland Forest Communities of Southern Wisconsin. </w:t>
      </w:r>
      <w:r w:rsidRPr="009E56F5">
        <w:rPr>
          <w:rFonts w:cs="Times New Roman"/>
          <w:i/>
          <w:iCs/>
        </w:rPr>
        <w:t>Ecological Monographs</w:t>
      </w:r>
      <w:r w:rsidRPr="009E56F5">
        <w:rPr>
          <w:rFonts w:cs="Times New Roman"/>
        </w:rPr>
        <w:t xml:space="preserve"> 1957;</w:t>
      </w:r>
      <w:r w:rsidRPr="009E56F5">
        <w:rPr>
          <w:rFonts w:cs="Times New Roman"/>
          <w:b/>
          <w:bCs/>
        </w:rPr>
        <w:t>27</w:t>
      </w:r>
      <w:r w:rsidRPr="009E56F5">
        <w:rPr>
          <w:rFonts w:cs="Times New Roman"/>
        </w:rPr>
        <w:t>:326–349. https://doi.org/10.2307/1942268</w:t>
      </w:r>
    </w:p>
    <w:p w14:paraId="573995A9" w14:textId="77777777" w:rsidR="009E56F5" w:rsidRPr="009E56F5" w:rsidRDefault="009E56F5" w:rsidP="009E56F5">
      <w:pPr>
        <w:pStyle w:val="Bibliography"/>
        <w:rPr>
          <w:rFonts w:cs="Times New Roman"/>
        </w:rPr>
      </w:pPr>
      <w:r w:rsidRPr="009E56F5">
        <w:rPr>
          <w:rFonts w:cs="Times New Roman"/>
        </w:rPr>
        <w:t xml:space="preserve">8. </w:t>
      </w:r>
      <w:r w:rsidRPr="009E56F5">
        <w:rPr>
          <w:rFonts w:cs="Times New Roman"/>
        </w:rPr>
        <w:tab/>
        <w:t xml:space="preserve">Lozupone CA et al. Quantitative and Qualitative β Diversity Measures Lead to Different Insights into Factors That Structure Microbial Communities. </w:t>
      </w:r>
      <w:r w:rsidRPr="009E56F5">
        <w:rPr>
          <w:rFonts w:cs="Times New Roman"/>
          <w:i/>
          <w:iCs/>
        </w:rPr>
        <w:t>Applied and Environmental Microbiology</w:t>
      </w:r>
      <w:r w:rsidRPr="009E56F5">
        <w:rPr>
          <w:rFonts w:cs="Times New Roman"/>
        </w:rPr>
        <w:t xml:space="preserve"> 2007;</w:t>
      </w:r>
      <w:r w:rsidRPr="009E56F5">
        <w:rPr>
          <w:rFonts w:cs="Times New Roman"/>
          <w:b/>
          <w:bCs/>
        </w:rPr>
        <w:t>73</w:t>
      </w:r>
      <w:r w:rsidRPr="009E56F5">
        <w:rPr>
          <w:rFonts w:cs="Times New Roman"/>
        </w:rPr>
        <w:t>:1576–1585. https://doi.org/10.1128/AEM.01996-06</w:t>
      </w:r>
    </w:p>
    <w:p w14:paraId="572F5221" w14:textId="77777777" w:rsidR="009E56F5" w:rsidRPr="009E56F5" w:rsidRDefault="009E56F5" w:rsidP="009E56F5">
      <w:pPr>
        <w:pStyle w:val="Bibliography"/>
        <w:rPr>
          <w:rFonts w:cs="Times New Roman"/>
        </w:rPr>
      </w:pPr>
      <w:r w:rsidRPr="009E56F5">
        <w:rPr>
          <w:rFonts w:cs="Times New Roman"/>
        </w:rPr>
        <w:lastRenderedPageBreak/>
        <w:t xml:space="preserve">9. </w:t>
      </w:r>
      <w:r w:rsidRPr="009E56F5">
        <w:rPr>
          <w:rFonts w:cs="Times New Roman"/>
        </w:rPr>
        <w:tab/>
        <w:t>Pendleton A, Wells M, Schmidt ML. Upwelling periodically disturbs the ecological assembly of microbial communities in the Laurentian Great Lakes. 2025. bioRxiv, 2025. , 2025.01.17.633667</w:t>
      </w:r>
    </w:p>
    <w:p w14:paraId="4D6E9EBE" w14:textId="77777777" w:rsidR="009E56F5" w:rsidRPr="009E56F5" w:rsidRDefault="009E56F5" w:rsidP="009E56F5">
      <w:pPr>
        <w:pStyle w:val="Bibliography"/>
        <w:rPr>
          <w:rFonts w:cs="Times New Roman"/>
        </w:rPr>
      </w:pPr>
      <w:r w:rsidRPr="009E56F5">
        <w:rPr>
          <w:rFonts w:cs="Times New Roman"/>
        </w:rPr>
        <w:t xml:space="preserve">10. </w:t>
      </w:r>
      <w:r w:rsidRPr="009E56F5">
        <w:rPr>
          <w:rFonts w:cs="Times New Roman"/>
        </w:rPr>
        <w:tab/>
        <w:t xml:space="preserve">Zhang K et al. Absolute microbiome profiling highlights the links among microbial stability, soil health, and crop productivity under long-term sod-based rotation. </w:t>
      </w:r>
      <w:r w:rsidRPr="009E56F5">
        <w:rPr>
          <w:rFonts w:cs="Times New Roman"/>
          <w:i/>
          <w:iCs/>
        </w:rPr>
        <w:t>Biol Fertil Soils</w:t>
      </w:r>
      <w:r w:rsidRPr="009E56F5">
        <w:rPr>
          <w:rFonts w:cs="Times New Roman"/>
        </w:rPr>
        <w:t xml:space="preserve"> 2022;</w:t>
      </w:r>
      <w:r w:rsidRPr="009E56F5">
        <w:rPr>
          <w:rFonts w:cs="Times New Roman"/>
          <w:b/>
          <w:bCs/>
        </w:rPr>
        <w:t>58</w:t>
      </w:r>
      <w:r w:rsidRPr="009E56F5">
        <w:rPr>
          <w:rFonts w:cs="Times New Roman"/>
        </w:rPr>
        <w:t>:883–901. https://doi.org/10.1007/s00374-022-01675-4</w:t>
      </w:r>
    </w:p>
    <w:p w14:paraId="27CCC84D" w14:textId="77777777" w:rsidR="009E56F5" w:rsidRPr="009E56F5" w:rsidRDefault="009E56F5" w:rsidP="009E56F5">
      <w:pPr>
        <w:pStyle w:val="Bibliography"/>
        <w:rPr>
          <w:rFonts w:cs="Times New Roman"/>
        </w:rPr>
      </w:pPr>
      <w:r w:rsidRPr="009E56F5">
        <w:rPr>
          <w:rFonts w:cs="Times New Roman"/>
        </w:rPr>
        <w:t xml:space="preserve">11. </w:t>
      </w:r>
      <w:r w:rsidRPr="009E56F5">
        <w:rPr>
          <w:rFonts w:cs="Times New Roman"/>
        </w:rPr>
        <w:tab/>
        <w:t xml:space="preserve">Chen J et al. Associating microbiome composition with environmental covariates using generalized UniFrac distances. </w:t>
      </w:r>
      <w:r w:rsidRPr="009E56F5">
        <w:rPr>
          <w:rFonts w:cs="Times New Roman"/>
          <w:i/>
          <w:iCs/>
        </w:rPr>
        <w:t>Bioinformatics</w:t>
      </w:r>
      <w:r w:rsidRPr="009E56F5">
        <w:rPr>
          <w:rFonts w:cs="Times New Roman"/>
        </w:rPr>
        <w:t xml:space="preserve"> 2012;</w:t>
      </w:r>
      <w:r w:rsidRPr="009E56F5">
        <w:rPr>
          <w:rFonts w:cs="Times New Roman"/>
          <w:b/>
          <w:bCs/>
        </w:rPr>
        <w:t>28</w:t>
      </w:r>
      <w:r w:rsidRPr="009E56F5">
        <w:rPr>
          <w:rFonts w:cs="Times New Roman"/>
        </w:rPr>
        <w:t>:2106–2113. https://doi.org/10.1093/bioinformatics/bts342</w:t>
      </w:r>
    </w:p>
    <w:p w14:paraId="762CED50" w14:textId="77777777" w:rsidR="009E56F5" w:rsidRPr="009E56F5" w:rsidRDefault="009E56F5" w:rsidP="009E56F5">
      <w:pPr>
        <w:pStyle w:val="Bibliography"/>
        <w:rPr>
          <w:rFonts w:cs="Times New Roman"/>
        </w:rPr>
      </w:pPr>
      <w:r w:rsidRPr="009E56F5">
        <w:rPr>
          <w:rFonts w:cs="Times New Roman"/>
        </w:rPr>
        <w:t xml:space="preserve">12. </w:t>
      </w:r>
      <w:r w:rsidRPr="009E56F5">
        <w:rPr>
          <w:rFonts w:cs="Times New Roman"/>
        </w:rPr>
        <w:tab/>
        <w:t xml:space="preserve">Lozupone C, Knight R. UniFrac: a New Phylogenetic Method for Comparing Microbial Communities. </w:t>
      </w:r>
      <w:r w:rsidRPr="009E56F5">
        <w:rPr>
          <w:rFonts w:cs="Times New Roman"/>
          <w:i/>
          <w:iCs/>
        </w:rPr>
        <w:t>Applied and Environmental Microbiology</w:t>
      </w:r>
      <w:r w:rsidRPr="009E56F5">
        <w:rPr>
          <w:rFonts w:cs="Times New Roman"/>
        </w:rPr>
        <w:t xml:space="preserve"> 2005;</w:t>
      </w:r>
      <w:r w:rsidRPr="009E56F5">
        <w:rPr>
          <w:rFonts w:cs="Times New Roman"/>
          <w:b/>
          <w:bCs/>
        </w:rPr>
        <w:t>71</w:t>
      </w:r>
      <w:r w:rsidRPr="009E56F5">
        <w:rPr>
          <w:rFonts w:cs="Times New Roman"/>
        </w:rPr>
        <w:t>:8228–8235. https://doi.org/10.1128/AEM.71.12.8228-8235.2005</w:t>
      </w:r>
    </w:p>
    <w:p w14:paraId="349910DF" w14:textId="77777777" w:rsidR="009E56F5" w:rsidRPr="009E56F5" w:rsidRDefault="009E56F5" w:rsidP="009E56F5">
      <w:pPr>
        <w:pStyle w:val="Bibliography"/>
        <w:rPr>
          <w:rFonts w:cs="Times New Roman"/>
        </w:rPr>
      </w:pPr>
      <w:r w:rsidRPr="009E56F5">
        <w:rPr>
          <w:rFonts w:cs="Times New Roman"/>
        </w:rPr>
        <w:t xml:space="preserve">13. </w:t>
      </w:r>
      <w:r w:rsidRPr="009E56F5">
        <w:rPr>
          <w:rFonts w:cs="Times New Roman"/>
        </w:rPr>
        <w:tab/>
        <w:t xml:space="preserve">McMurdie PJ, Holmes S. phyloseq: An R package for reproducible interactive analysis and graphics of microbiome census data. </w:t>
      </w:r>
      <w:r w:rsidRPr="009E56F5">
        <w:rPr>
          <w:rFonts w:cs="Times New Roman"/>
          <w:i/>
          <w:iCs/>
        </w:rPr>
        <w:t>PLoS ONE</w:t>
      </w:r>
      <w:r w:rsidRPr="009E56F5">
        <w:rPr>
          <w:rFonts w:cs="Times New Roman"/>
        </w:rPr>
        <w:t xml:space="preserve"> 2013;</w:t>
      </w:r>
      <w:r w:rsidRPr="009E56F5">
        <w:rPr>
          <w:rFonts w:cs="Times New Roman"/>
          <w:b/>
          <w:bCs/>
        </w:rPr>
        <w:t>8</w:t>
      </w:r>
      <w:r w:rsidRPr="009E56F5">
        <w:rPr>
          <w:rFonts w:cs="Times New Roman"/>
        </w:rPr>
        <w:t xml:space="preserve">:e61217. </w:t>
      </w:r>
    </w:p>
    <w:p w14:paraId="6F2909C2" w14:textId="77777777" w:rsidR="009E56F5" w:rsidRPr="009E56F5" w:rsidRDefault="009E56F5" w:rsidP="009E56F5">
      <w:pPr>
        <w:pStyle w:val="Bibliography"/>
        <w:rPr>
          <w:rFonts w:cs="Times New Roman"/>
        </w:rPr>
      </w:pPr>
      <w:r w:rsidRPr="009E56F5">
        <w:rPr>
          <w:rFonts w:cs="Times New Roman"/>
        </w:rPr>
        <w:t xml:space="preserve">14. </w:t>
      </w:r>
      <w:r w:rsidRPr="009E56F5">
        <w:rPr>
          <w:rFonts w:cs="Times New Roman"/>
        </w:rPr>
        <w:tab/>
        <w:t xml:space="preserve">Bolyen E et al. Reproducible, interactive, scalable and extensible microbiome data science using QIIME 2. </w:t>
      </w:r>
      <w:r w:rsidRPr="009E56F5">
        <w:rPr>
          <w:rFonts w:cs="Times New Roman"/>
          <w:i/>
          <w:iCs/>
        </w:rPr>
        <w:t>Nat Biotechnol</w:t>
      </w:r>
      <w:r w:rsidRPr="009E56F5">
        <w:rPr>
          <w:rFonts w:cs="Times New Roman"/>
        </w:rPr>
        <w:t xml:space="preserve"> 2019;</w:t>
      </w:r>
      <w:r w:rsidRPr="009E56F5">
        <w:rPr>
          <w:rFonts w:cs="Times New Roman"/>
          <w:b/>
          <w:bCs/>
        </w:rPr>
        <w:t>37</w:t>
      </w:r>
      <w:r w:rsidRPr="009E56F5">
        <w:rPr>
          <w:rFonts w:cs="Times New Roman"/>
        </w:rPr>
        <w:t>:852–857. https://doi.org/10.1038/s41587-019-0209-9</w:t>
      </w:r>
    </w:p>
    <w:p w14:paraId="14685403" w14:textId="77777777" w:rsidR="009E56F5" w:rsidRPr="009E56F5" w:rsidRDefault="009E56F5" w:rsidP="009E56F5">
      <w:pPr>
        <w:pStyle w:val="Bibliography"/>
        <w:rPr>
          <w:rFonts w:cs="Times New Roman"/>
        </w:rPr>
      </w:pPr>
      <w:r w:rsidRPr="009E56F5">
        <w:rPr>
          <w:rFonts w:cs="Times New Roman"/>
        </w:rPr>
        <w:t xml:space="preserve">15. </w:t>
      </w:r>
      <w:r w:rsidRPr="009E56F5">
        <w:rPr>
          <w:rFonts w:cs="Times New Roman"/>
        </w:rPr>
        <w:tab/>
        <w:t xml:space="preserve">Morton JT et al. Uncovering the Horseshoe Effect in Microbial Analyses. </w:t>
      </w:r>
      <w:r w:rsidRPr="009E56F5">
        <w:rPr>
          <w:rFonts w:cs="Times New Roman"/>
          <w:i/>
          <w:iCs/>
        </w:rPr>
        <w:t>mSystems</w:t>
      </w:r>
      <w:r w:rsidRPr="009E56F5">
        <w:rPr>
          <w:rFonts w:cs="Times New Roman"/>
        </w:rPr>
        <w:t xml:space="preserve"> 2017;</w:t>
      </w:r>
      <w:r w:rsidRPr="009E56F5">
        <w:rPr>
          <w:rFonts w:cs="Times New Roman"/>
          <w:b/>
          <w:bCs/>
        </w:rPr>
        <w:t>2</w:t>
      </w:r>
      <w:r w:rsidRPr="009E56F5">
        <w:rPr>
          <w:rFonts w:cs="Times New Roman"/>
        </w:rPr>
        <w:t>:10.1128/msystems.00166-16. https://doi.org/10.1128/msystems.00166-16</w:t>
      </w:r>
    </w:p>
    <w:p w14:paraId="016BA639" w14:textId="77777777" w:rsidR="009E56F5" w:rsidRPr="009E56F5" w:rsidRDefault="009E56F5" w:rsidP="009E56F5">
      <w:pPr>
        <w:pStyle w:val="Bibliography"/>
        <w:rPr>
          <w:rFonts w:cs="Times New Roman"/>
        </w:rPr>
      </w:pPr>
      <w:r w:rsidRPr="009E56F5">
        <w:rPr>
          <w:rFonts w:cs="Times New Roman"/>
        </w:rPr>
        <w:t xml:space="preserve">16. </w:t>
      </w:r>
      <w:r w:rsidRPr="009E56F5">
        <w:rPr>
          <w:rFonts w:cs="Times New Roman"/>
        </w:rPr>
        <w:tab/>
        <w:t xml:space="preserve">Paliy O, Shankar V. Application of multivariate statistical techniques in microbial ecology. </w:t>
      </w:r>
      <w:r w:rsidRPr="009E56F5">
        <w:rPr>
          <w:rFonts w:cs="Times New Roman"/>
          <w:i/>
          <w:iCs/>
        </w:rPr>
        <w:t>Molecular Ecology</w:t>
      </w:r>
      <w:r w:rsidRPr="009E56F5">
        <w:rPr>
          <w:rFonts w:cs="Times New Roman"/>
        </w:rPr>
        <w:t xml:space="preserve"> 2016;</w:t>
      </w:r>
      <w:r w:rsidRPr="009E56F5">
        <w:rPr>
          <w:rFonts w:cs="Times New Roman"/>
          <w:b/>
          <w:bCs/>
        </w:rPr>
        <w:t>25</w:t>
      </w:r>
      <w:r w:rsidRPr="009E56F5">
        <w:rPr>
          <w:rFonts w:cs="Times New Roman"/>
        </w:rPr>
        <w:t>:1032–1057. https://doi.org/10.1111/mec.13536</w:t>
      </w:r>
    </w:p>
    <w:p w14:paraId="19D495DA" w14:textId="77777777" w:rsidR="009E56F5" w:rsidRPr="009E56F5" w:rsidRDefault="009E56F5" w:rsidP="009E56F5">
      <w:pPr>
        <w:pStyle w:val="Bibliography"/>
        <w:rPr>
          <w:rFonts w:cs="Times New Roman"/>
        </w:rPr>
      </w:pPr>
      <w:r w:rsidRPr="009E56F5">
        <w:rPr>
          <w:rFonts w:cs="Times New Roman"/>
        </w:rPr>
        <w:lastRenderedPageBreak/>
        <w:t xml:space="preserve">17. </w:t>
      </w:r>
      <w:r w:rsidRPr="009E56F5">
        <w:rPr>
          <w:rFonts w:cs="Times New Roman"/>
        </w:rPr>
        <w:tab/>
        <w:t xml:space="preserve">Schloss PD. Evaluating different approaches that test whether microbial communities have the same structure. </w:t>
      </w:r>
      <w:r w:rsidRPr="009E56F5">
        <w:rPr>
          <w:rFonts w:cs="Times New Roman"/>
          <w:i/>
          <w:iCs/>
        </w:rPr>
        <w:t>The ISME Journal</w:t>
      </w:r>
      <w:r w:rsidRPr="009E56F5">
        <w:rPr>
          <w:rFonts w:cs="Times New Roman"/>
        </w:rPr>
        <w:t xml:space="preserve"> 2008;</w:t>
      </w:r>
      <w:r w:rsidRPr="009E56F5">
        <w:rPr>
          <w:rFonts w:cs="Times New Roman"/>
          <w:b/>
          <w:bCs/>
        </w:rPr>
        <w:t>2</w:t>
      </w:r>
      <w:r w:rsidRPr="009E56F5">
        <w:rPr>
          <w:rFonts w:cs="Times New Roman"/>
        </w:rPr>
        <w:t>:265–275. https://doi.org/10.1038/ismej.2008.5</w:t>
      </w:r>
    </w:p>
    <w:p w14:paraId="0B858811" w14:textId="77777777" w:rsidR="009E56F5" w:rsidRPr="009E56F5" w:rsidRDefault="009E56F5" w:rsidP="009E56F5">
      <w:pPr>
        <w:pStyle w:val="Bibliography"/>
        <w:rPr>
          <w:rFonts w:cs="Times New Roman"/>
        </w:rPr>
      </w:pPr>
      <w:r w:rsidRPr="009E56F5">
        <w:rPr>
          <w:rFonts w:cs="Times New Roman"/>
        </w:rPr>
        <w:t xml:space="preserve">18. </w:t>
      </w:r>
      <w:r w:rsidRPr="009E56F5">
        <w:rPr>
          <w:rFonts w:cs="Times New Roman"/>
        </w:rPr>
        <w:tab/>
        <w:t xml:space="preserve">Fukuyama J et al. Comparisons of distance methods for combining covariates and abundances in microbiome studies. Biocomputing 2012. WORLD SCIENTIFIC, 2011, 213–224. </w:t>
      </w:r>
    </w:p>
    <w:p w14:paraId="1CC1B82D" w14:textId="77777777" w:rsidR="009E56F5" w:rsidRPr="009E56F5" w:rsidRDefault="009E56F5" w:rsidP="009E56F5">
      <w:pPr>
        <w:pStyle w:val="Bibliography"/>
        <w:rPr>
          <w:rFonts w:cs="Times New Roman"/>
        </w:rPr>
      </w:pPr>
      <w:r w:rsidRPr="009E56F5">
        <w:rPr>
          <w:rFonts w:cs="Times New Roman"/>
        </w:rPr>
        <w:t xml:space="preserve">19. </w:t>
      </w:r>
      <w:r w:rsidRPr="009E56F5">
        <w:rPr>
          <w:rFonts w:cs="Times New Roman"/>
        </w:rPr>
        <w:tab/>
        <w:t xml:space="preserve">McMurdie PJ, Holmes S. Waste Not, Want Not: Why Rarefying Microbiome Data Is Inadmissible. </w:t>
      </w:r>
      <w:r w:rsidRPr="009E56F5">
        <w:rPr>
          <w:rFonts w:cs="Times New Roman"/>
          <w:i/>
          <w:iCs/>
        </w:rPr>
        <w:t>PLOS Computational Biology</w:t>
      </w:r>
      <w:r w:rsidRPr="009E56F5">
        <w:rPr>
          <w:rFonts w:cs="Times New Roman"/>
        </w:rPr>
        <w:t xml:space="preserve"> 2014;</w:t>
      </w:r>
      <w:r w:rsidRPr="009E56F5">
        <w:rPr>
          <w:rFonts w:cs="Times New Roman"/>
          <w:b/>
          <w:bCs/>
        </w:rPr>
        <w:t>10</w:t>
      </w:r>
      <w:r w:rsidRPr="009E56F5">
        <w:rPr>
          <w:rFonts w:cs="Times New Roman"/>
        </w:rPr>
        <w:t>:e1003531. https://doi.org/10.1371/journal.pcbi.1003531</w:t>
      </w:r>
    </w:p>
    <w:p w14:paraId="4EC356D3" w14:textId="77777777" w:rsidR="009E56F5" w:rsidRPr="009E56F5" w:rsidRDefault="009E56F5" w:rsidP="009E56F5">
      <w:pPr>
        <w:pStyle w:val="Bibliography"/>
        <w:rPr>
          <w:rFonts w:cs="Times New Roman"/>
        </w:rPr>
      </w:pPr>
      <w:r w:rsidRPr="009E56F5">
        <w:rPr>
          <w:rFonts w:cs="Times New Roman"/>
        </w:rPr>
        <w:t xml:space="preserve">20. </w:t>
      </w:r>
      <w:r w:rsidRPr="009E56F5">
        <w:rPr>
          <w:rFonts w:cs="Times New Roman"/>
        </w:rPr>
        <w:tab/>
        <w:t xml:space="preserve">Wright RJ, Langille MGI. PICRUSt2-SC: an update to the reference database used for functional prediction within PICRUSt2. </w:t>
      </w:r>
      <w:r w:rsidRPr="009E56F5">
        <w:rPr>
          <w:rFonts w:cs="Times New Roman"/>
          <w:i/>
          <w:iCs/>
        </w:rPr>
        <w:t>Bioinformatics</w:t>
      </w:r>
      <w:r w:rsidRPr="009E56F5">
        <w:rPr>
          <w:rFonts w:cs="Times New Roman"/>
        </w:rPr>
        <w:t xml:space="preserve"> 2025;</w:t>
      </w:r>
      <w:r w:rsidRPr="009E56F5">
        <w:rPr>
          <w:rFonts w:cs="Times New Roman"/>
          <w:b/>
          <w:bCs/>
        </w:rPr>
        <w:t>41</w:t>
      </w:r>
      <w:r w:rsidRPr="009E56F5">
        <w:rPr>
          <w:rFonts w:cs="Times New Roman"/>
        </w:rPr>
        <w:t>:btaf269. https://doi.org/10.1093/bioinformatics/btaf269</w:t>
      </w:r>
    </w:p>
    <w:p w14:paraId="36E6AEE3" w14:textId="77777777" w:rsidR="009E56F5" w:rsidRPr="009E56F5" w:rsidRDefault="009E56F5" w:rsidP="009E56F5">
      <w:pPr>
        <w:pStyle w:val="Bibliography"/>
        <w:rPr>
          <w:rFonts w:cs="Times New Roman"/>
        </w:rPr>
      </w:pPr>
      <w:r w:rsidRPr="009E56F5">
        <w:rPr>
          <w:rFonts w:cs="Times New Roman"/>
        </w:rPr>
        <w:t xml:space="preserve">21. </w:t>
      </w:r>
      <w:r w:rsidRPr="009E56F5">
        <w:rPr>
          <w:rFonts w:cs="Times New Roman"/>
        </w:rPr>
        <w:tab/>
        <w:t xml:space="preserve">Douglas GM et al. PICRUSt2 for prediction of metagenome functions. </w:t>
      </w:r>
      <w:r w:rsidRPr="009E56F5">
        <w:rPr>
          <w:rFonts w:cs="Times New Roman"/>
          <w:i/>
          <w:iCs/>
        </w:rPr>
        <w:t>Nat Biotechnol</w:t>
      </w:r>
      <w:r w:rsidRPr="009E56F5">
        <w:rPr>
          <w:rFonts w:cs="Times New Roman"/>
        </w:rPr>
        <w:t xml:space="preserve"> 2020;</w:t>
      </w:r>
      <w:r w:rsidRPr="009E56F5">
        <w:rPr>
          <w:rFonts w:cs="Times New Roman"/>
          <w:b/>
          <w:bCs/>
        </w:rPr>
        <w:t>38</w:t>
      </w:r>
      <w:r w:rsidRPr="009E56F5">
        <w:rPr>
          <w:rFonts w:cs="Times New Roman"/>
        </w:rPr>
        <w:t>:685–688. https://doi.org/10.1038/s41587-020-0548-6</w:t>
      </w:r>
    </w:p>
    <w:p w14:paraId="4AD00E9C" w14:textId="7B86E144" w:rsidR="009E56F5" w:rsidRPr="009E56F5" w:rsidRDefault="009E56F5" w:rsidP="009E56F5">
      <w:pPr>
        <w:pStyle w:val="Bibliography"/>
        <w:rPr>
          <w:rFonts w:cs="Times New Roman"/>
        </w:rPr>
      </w:pPr>
      <w:r w:rsidRPr="009E56F5">
        <w:rPr>
          <w:rFonts w:cs="Times New Roman"/>
        </w:rPr>
        <w:t xml:space="preserve">22. </w:t>
      </w:r>
      <w:r w:rsidRPr="009E56F5">
        <w:rPr>
          <w:rFonts w:cs="Times New Roman"/>
        </w:rPr>
        <w:tab/>
        <w:t xml:space="preserve">Griese M, Lange C, Soppa J. Ploidy in cyanobacteria. </w:t>
      </w:r>
      <w:r w:rsidRPr="009E56F5">
        <w:rPr>
          <w:rFonts w:cs="Times New Roman"/>
          <w:i/>
          <w:iCs/>
        </w:rPr>
        <w:t>FEMS Microbiol Lett</w:t>
      </w:r>
      <w:r w:rsidRPr="009E56F5">
        <w:rPr>
          <w:rFonts w:cs="Times New Roman"/>
        </w:rPr>
        <w:t xml:space="preserve"> 2011;</w:t>
      </w:r>
      <w:r w:rsidRPr="009E56F5">
        <w:rPr>
          <w:rFonts w:cs="Times New Roman"/>
          <w:b/>
          <w:bCs/>
        </w:rPr>
        <w:t>323</w:t>
      </w:r>
      <w:r w:rsidRPr="009E56F5">
        <w:rPr>
          <w:rFonts w:cs="Times New Roman"/>
        </w:rPr>
        <w:t>:124–131. https://doi.org/10.1111/j.1574-6968.2011.02368.x</w:t>
      </w:r>
    </w:p>
    <w:p w14:paraId="2ACD4FD7" w14:textId="77777777" w:rsidR="009E56F5" w:rsidRPr="009E56F5" w:rsidRDefault="009E56F5" w:rsidP="009E56F5">
      <w:pPr>
        <w:pStyle w:val="Bibliography"/>
        <w:rPr>
          <w:rFonts w:cs="Times New Roman"/>
        </w:rPr>
      </w:pPr>
      <w:r w:rsidRPr="009E56F5">
        <w:rPr>
          <w:rFonts w:cs="Times New Roman"/>
        </w:rPr>
        <w:t xml:space="preserve">23. </w:t>
      </w:r>
      <w:r w:rsidRPr="009E56F5">
        <w:rPr>
          <w:rFonts w:cs="Times New Roman"/>
        </w:rPr>
        <w:tab/>
        <w:t xml:space="preserve">Mendell JE et al. Extreme polyploidy in a large bacterium. </w:t>
      </w:r>
      <w:r w:rsidRPr="009E56F5">
        <w:rPr>
          <w:rFonts w:cs="Times New Roman"/>
          <w:i/>
          <w:iCs/>
        </w:rPr>
        <w:t>Proceedings of the National Academy of Sciences</w:t>
      </w:r>
      <w:r w:rsidRPr="009E56F5">
        <w:rPr>
          <w:rFonts w:cs="Times New Roman"/>
        </w:rPr>
        <w:t xml:space="preserve"> 2008;</w:t>
      </w:r>
      <w:r w:rsidRPr="009E56F5">
        <w:rPr>
          <w:rFonts w:cs="Times New Roman"/>
          <w:b/>
          <w:bCs/>
        </w:rPr>
        <w:t>105</w:t>
      </w:r>
      <w:r w:rsidRPr="009E56F5">
        <w:rPr>
          <w:rFonts w:cs="Times New Roman"/>
        </w:rPr>
        <w:t>:6730–6734. https://doi.org/10.1073/pnas.0707522105</w:t>
      </w:r>
    </w:p>
    <w:p w14:paraId="217CA46E" w14:textId="77777777" w:rsidR="009E56F5" w:rsidRPr="009E56F5" w:rsidRDefault="009E56F5" w:rsidP="009E56F5">
      <w:pPr>
        <w:pStyle w:val="Bibliography"/>
        <w:rPr>
          <w:rFonts w:cs="Times New Roman"/>
        </w:rPr>
      </w:pPr>
      <w:r w:rsidRPr="009E56F5">
        <w:rPr>
          <w:rFonts w:cs="Times New Roman"/>
        </w:rPr>
        <w:t xml:space="preserve">24. </w:t>
      </w:r>
      <w:r w:rsidRPr="009E56F5">
        <w:rPr>
          <w:rFonts w:cs="Times New Roman"/>
        </w:rPr>
        <w:tab/>
        <w:t xml:space="preserve">Pecoraro V et al. Quantification of Ploidy in Proteobacteria Revealed the Existence of Monoploid, (Mero-)Oligoploid and Polyploid Species. </w:t>
      </w:r>
      <w:r w:rsidRPr="009E56F5">
        <w:rPr>
          <w:rFonts w:cs="Times New Roman"/>
          <w:i/>
          <w:iCs/>
        </w:rPr>
        <w:t>PLOS ONE</w:t>
      </w:r>
      <w:r w:rsidRPr="009E56F5">
        <w:rPr>
          <w:rFonts w:cs="Times New Roman"/>
        </w:rPr>
        <w:t xml:space="preserve"> 2011;</w:t>
      </w:r>
      <w:r w:rsidRPr="009E56F5">
        <w:rPr>
          <w:rFonts w:cs="Times New Roman"/>
          <w:b/>
          <w:bCs/>
        </w:rPr>
        <w:t>6</w:t>
      </w:r>
      <w:r w:rsidRPr="009E56F5">
        <w:rPr>
          <w:rFonts w:cs="Times New Roman"/>
        </w:rPr>
        <w:t>:e16392. https://doi.org/10.1371/journal.pone.0016392</w:t>
      </w:r>
    </w:p>
    <w:p w14:paraId="45BCC1B7" w14:textId="77777777" w:rsidR="009E56F5" w:rsidRPr="009E56F5" w:rsidRDefault="009E56F5" w:rsidP="009E56F5">
      <w:pPr>
        <w:pStyle w:val="Bibliography"/>
        <w:rPr>
          <w:rFonts w:cs="Times New Roman"/>
        </w:rPr>
      </w:pPr>
      <w:r w:rsidRPr="009E56F5">
        <w:rPr>
          <w:rFonts w:cs="Times New Roman"/>
        </w:rPr>
        <w:lastRenderedPageBreak/>
        <w:t xml:space="preserve">25. </w:t>
      </w:r>
      <w:r w:rsidRPr="009E56F5">
        <w:rPr>
          <w:rFonts w:cs="Times New Roman"/>
        </w:rPr>
        <w:tab/>
        <w:t xml:space="preserve">Shapiro OH, Kushmaro A, Brenner A. Bacteriophage predation regulates microbial abundance and diversity in a full-scale bioreactor treating industrial wastewater. </w:t>
      </w:r>
      <w:r w:rsidRPr="009E56F5">
        <w:rPr>
          <w:rFonts w:cs="Times New Roman"/>
          <w:i/>
          <w:iCs/>
        </w:rPr>
        <w:t>The ISME Journal</w:t>
      </w:r>
      <w:r w:rsidRPr="009E56F5">
        <w:rPr>
          <w:rFonts w:cs="Times New Roman"/>
        </w:rPr>
        <w:t xml:space="preserve"> 2010;</w:t>
      </w:r>
      <w:r w:rsidRPr="009E56F5">
        <w:rPr>
          <w:rFonts w:cs="Times New Roman"/>
          <w:b/>
          <w:bCs/>
        </w:rPr>
        <w:t>4</w:t>
      </w:r>
      <w:r w:rsidRPr="009E56F5">
        <w:rPr>
          <w:rFonts w:cs="Times New Roman"/>
        </w:rPr>
        <w:t>:327–336. https://doi.org/10.1038/ismej.2009.118</w:t>
      </w:r>
    </w:p>
    <w:p w14:paraId="75605455" w14:textId="77777777" w:rsidR="009E56F5" w:rsidRPr="009E56F5" w:rsidRDefault="009E56F5" w:rsidP="009E56F5">
      <w:pPr>
        <w:pStyle w:val="Bibliography"/>
        <w:rPr>
          <w:rFonts w:cs="Times New Roman"/>
        </w:rPr>
      </w:pPr>
      <w:r w:rsidRPr="009E56F5">
        <w:rPr>
          <w:rFonts w:cs="Times New Roman"/>
        </w:rPr>
        <w:t xml:space="preserve">26. </w:t>
      </w:r>
      <w:r w:rsidRPr="009E56F5">
        <w:rPr>
          <w:rFonts w:cs="Times New Roman"/>
        </w:rPr>
        <w:tab/>
        <w:t xml:space="preserve">Wagner S et al. Absolute abundance calculation enhances the significance of microbiome data in antibiotic treatment studies. </w:t>
      </w:r>
      <w:r w:rsidRPr="009E56F5">
        <w:rPr>
          <w:rFonts w:cs="Times New Roman"/>
          <w:i/>
          <w:iCs/>
        </w:rPr>
        <w:t>Front Microbiol</w:t>
      </w:r>
      <w:r w:rsidRPr="009E56F5">
        <w:rPr>
          <w:rFonts w:cs="Times New Roman"/>
        </w:rPr>
        <w:t xml:space="preserve"> 2025;</w:t>
      </w:r>
      <w:r w:rsidRPr="009E56F5">
        <w:rPr>
          <w:rFonts w:cs="Times New Roman"/>
          <w:b/>
          <w:bCs/>
        </w:rPr>
        <w:t>16</w:t>
      </w:r>
      <w:r w:rsidRPr="009E56F5">
        <w:rPr>
          <w:rFonts w:cs="Times New Roman"/>
        </w:rPr>
        <w:t>. https://doi.org/10.3389/fmicb.2025.1481197</w:t>
      </w:r>
    </w:p>
    <w:p w14:paraId="0B902C54" w14:textId="77777777" w:rsidR="009E56F5" w:rsidRPr="009E56F5" w:rsidRDefault="009E56F5" w:rsidP="009E56F5">
      <w:pPr>
        <w:pStyle w:val="Bibliography"/>
        <w:rPr>
          <w:rFonts w:cs="Times New Roman"/>
        </w:rPr>
      </w:pPr>
      <w:r w:rsidRPr="009E56F5">
        <w:rPr>
          <w:rFonts w:cs="Times New Roman"/>
        </w:rPr>
        <w:t xml:space="preserve">27. </w:t>
      </w:r>
      <w:r w:rsidRPr="009E56F5">
        <w:rPr>
          <w:rFonts w:cs="Times New Roman"/>
        </w:rPr>
        <w:tab/>
        <w:t xml:space="preserve">Kers JG, Saccenti E. The Power of Microbiome Studies: Some Considerations on Which Alpha and Beta Metrics to Use and How to Report Results. </w:t>
      </w:r>
      <w:r w:rsidRPr="009E56F5">
        <w:rPr>
          <w:rFonts w:cs="Times New Roman"/>
          <w:i/>
          <w:iCs/>
        </w:rPr>
        <w:t>Front Microbiol</w:t>
      </w:r>
      <w:r w:rsidRPr="009E56F5">
        <w:rPr>
          <w:rFonts w:cs="Times New Roman"/>
        </w:rPr>
        <w:t xml:space="preserve"> 2022;</w:t>
      </w:r>
      <w:r w:rsidRPr="009E56F5">
        <w:rPr>
          <w:rFonts w:cs="Times New Roman"/>
          <w:b/>
          <w:bCs/>
        </w:rPr>
        <w:t>12</w:t>
      </w:r>
      <w:r w:rsidRPr="009E56F5">
        <w:rPr>
          <w:rFonts w:cs="Times New Roman"/>
        </w:rPr>
        <w:t>. https://doi.org/10.3389/fmicb.2021.796025</w:t>
      </w:r>
    </w:p>
    <w:p w14:paraId="1505FB22" w14:textId="35015820" w:rsidR="00E67659" w:rsidRPr="0007048F" w:rsidRDefault="008D202E" w:rsidP="009E56F5">
      <w:pPr>
        <w:pStyle w:val="Bibliography"/>
      </w:pPr>
      <w:r>
        <w:fldChar w:fldCharType="end"/>
      </w:r>
    </w:p>
    <w:sectPr w:rsidR="00E67659" w:rsidRPr="0007048F" w:rsidSect="00AE18EA">
      <w:footerReference w:type="even" r:id="rId12"/>
      <w:footerReference w:type="default" r:id="rId13"/>
      <w:pgSz w:w="12240" w:h="15840"/>
      <w:pgMar w:top="1440" w:right="1440" w:bottom="1440" w:left="1440" w:header="720" w:footer="720" w:gutter="0"/>
      <w:lnNumType w:countBy="1" w:restart="continuou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CB45F8" w14:textId="77777777" w:rsidR="0009067A" w:rsidRDefault="0009067A" w:rsidP="00AE18EA">
      <w:pPr>
        <w:spacing w:after="0" w:line="240" w:lineRule="auto"/>
      </w:pPr>
      <w:r>
        <w:separator/>
      </w:r>
    </w:p>
  </w:endnote>
  <w:endnote w:type="continuationSeparator" w:id="0">
    <w:p w14:paraId="3DCAB5D0" w14:textId="77777777" w:rsidR="0009067A" w:rsidRDefault="0009067A" w:rsidP="00AE1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23525467"/>
      <w:docPartObj>
        <w:docPartGallery w:val="Page Numbers (Bottom of Page)"/>
        <w:docPartUnique/>
      </w:docPartObj>
    </w:sdtPr>
    <w:sdtContent>
      <w:p w14:paraId="4E2B1385" w14:textId="2E089D4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A0B4A37" w14:textId="77777777" w:rsidR="00AE18EA" w:rsidRDefault="00AE1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9094347"/>
      <w:docPartObj>
        <w:docPartGallery w:val="Page Numbers (Bottom of Page)"/>
        <w:docPartUnique/>
      </w:docPartObj>
    </w:sdtPr>
    <w:sdtContent>
      <w:p w14:paraId="23920A21" w14:textId="5D4E78E1" w:rsidR="00AE18EA" w:rsidRDefault="00AE18EA" w:rsidP="00175CD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14:paraId="43E782CF" w14:textId="77777777" w:rsidR="00AE18EA" w:rsidRDefault="00AE1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03201" w14:textId="77777777" w:rsidR="0009067A" w:rsidRDefault="0009067A" w:rsidP="00AE18EA">
      <w:pPr>
        <w:spacing w:after="0" w:line="240" w:lineRule="auto"/>
      </w:pPr>
      <w:r>
        <w:separator/>
      </w:r>
    </w:p>
  </w:footnote>
  <w:footnote w:type="continuationSeparator" w:id="0">
    <w:p w14:paraId="3B208B83" w14:textId="77777777" w:rsidR="0009067A" w:rsidRDefault="0009067A" w:rsidP="00AE18E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7DA"/>
    <w:rsid w:val="0002280E"/>
    <w:rsid w:val="00042DC3"/>
    <w:rsid w:val="00054F5C"/>
    <w:rsid w:val="0007048F"/>
    <w:rsid w:val="0009067A"/>
    <w:rsid w:val="000C73B5"/>
    <w:rsid w:val="000E114E"/>
    <w:rsid w:val="000F0D90"/>
    <w:rsid w:val="00100018"/>
    <w:rsid w:val="00153449"/>
    <w:rsid w:val="00161013"/>
    <w:rsid w:val="0016397E"/>
    <w:rsid w:val="00166B1F"/>
    <w:rsid w:val="001839A8"/>
    <w:rsid w:val="00196468"/>
    <w:rsid w:val="001B3C95"/>
    <w:rsid w:val="001B5344"/>
    <w:rsid w:val="001D13C8"/>
    <w:rsid w:val="001E7B35"/>
    <w:rsid w:val="001F4ACE"/>
    <w:rsid w:val="00206EE1"/>
    <w:rsid w:val="00210DF7"/>
    <w:rsid w:val="002D2CA2"/>
    <w:rsid w:val="002F534E"/>
    <w:rsid w:val="00300B7E"/>
    <w:rsid w:val="00327654"/>
    <w:rsid w:val="00340F0D"/>
    <w:rsid w:val="003641B9"/>
    <w:rsid w:val="00384B48"/>
    <w:rsid w:val="003973E9"/>
    <w:rsid w:val="003B0D07"/>
    <w:rsid w:val="003C70B0"/>
    <w:rsid w:val="003D5DF5"/>
    <w:rsid w:val="003E5D44"/>
    <w:rsid w:val="004037DA"/>
    <w:rsid w:val="00406912"/>
    <w:rsid w:val="00425EC1"/>
    <w:rsid w:val="004414CC"/>
    <w:rsid w:val="00444E42"/>
    <w:rsid w:val="004605DF"/>
    <w:rsid w:val="00463496"/>
    <w:rsid w:val="0046418C"/>
    <w:rsid w:val="00475C3E"/>
    <w:rsid w:val="00496696"/>
    <w:rsid w:val="004A30CB"/>
    <w:rsid w:val="004E7360"/>
    <w:rsid w:val="004E7775"/>
    <w:rsid w:val="00533D53"/>
    <w:rsid w:val="00536AE4"/>
    <w:rsid w:val="00556492"/>
    <w:rsid w:val="00596044"/>
    <w:rsid w:val="005B0677"/>
    <w:rsid w:val="005B11F1"/>
    <w:rsid w:val="005C02A0"/>
    <w:rsid w:val="005C397C"/>
    <w:rsid w:val="005E5B28"/>
    <w:rsid w:val="00604558"/>
    <w:rsid w:val="0060654F"/>
    <w:rsid w:val="00611B23"/>
    <w:rsid w:val="00620593"/>
    <w:rsid w:val="00622F9C"/>
    <w:rsid w:val="006237CB"/>
    <w:rsid w:val="006359AD"/>
    <w:rsid w:val="00643576"/>
    <w:rsid w:val="006767F7"/>
    <w:rsid w:val="00686055"/>
    <w:rsid w:val="00693D9A"/>
    <w:rsid w:val="006A381E"/>
    <w:rsid w:val="006B42C1"/>
    <w:rsid w:val="006B7ABE"/>
    <w:rsid w:val="006D2645"/>
    <w:rsid w:val="006D56C5"/>
    <w:rsid w:val="00760382"/>
    <w:rsid w:val="007652B2"/>
    <w:rsid w:val="008202AF"/>
    <w:rsid w:val="008729F6"/>
    <w:rsid w:val="00876148"/>
    <w:rsid w:val="008830B0"/>
    <w:rsid w:val="008A0D17"/>
    <w:rsid w:val="008A350F"/>
    <w:rsid w:val="008C2426"/>
    <w:rsid w:val="008C369D"/>
    <w:rsid w:val="008D202E"/>
    <w:rsid w:val="008E17D7"/>
    <w:rsid w:val="008E7226"/>
    <w:rsid w:val="0092229D"/>
    <w:rsid w:val="009338FB"/>
    <w:rsid w:val="00944367"/>
    <w:rsid w:val="00977861"/>
    <w:rsid w:val="0099506B"/>
    <w:rsid w:val="009C4CF7"/>
    <w:rsid w:val="009E56F5"/>
    <w:rsid w:val="00A20B2F"/>
    <w:rsid w:val="00A47762"/>
    <w:rsid w:val="00A65FCE"/>
    <w:rsid w:val="00AA1614"/>
    <w:rsid w:val="00AA63C5"/>
    <w:rsid w:val="00AB216F"/>
    <w:rsid w:val="00AE18EA"/>
    <w:rsid w:val="00B172D4"/>
    <w:rsid w:val="00B25A30"/>
    <w:rsid w:val="00B26FCE"/>
    <w:rsid w:val="00B431C1"/>
    <w:rsid w:val="00B54AFC"/>
    <w:rsid w:val="00B54C61"/>
    <w:rsid w:val="00B64A34"/>
    <w:rsid w:val="00B66B86"/>
    <w:rsid w:val="00B756E3"/>
    <w:rsid w:val="00B838FA"/>
    <w:rsid w:val="00BB1FB4"/>
    <w:rsid w:val="00BB3B64"/>
    <w:rsid w:val="00BB7799"/>
    <w:rsid w:val="00BE0623"/>
    <w:rsid w:val="00C150F6"/>
    <w:rsid w:val="00C31D77"/>
    <w:rsid w:val="00C35DC4"/>
    <w:rsid w:val="00C45617"/>
    <w:rsid w:val="00C65332"/>
    <w:rsid w:val="00C82EF0"/>
    <w:rsid w:val="00C91CAF"/>
    <w:rsid w:val="00CA4E44"/>
    <w:rsid w:val="00CB102E"/>
    <w:rsid w:val="00CB1466"/>
    <w:rsid w:val="00CC3C53"/>
    <w:rsid w:val="00CE2ACD"/>
    <w:rsid w:val="00CF5AB8"/>
    <w:rsid w:val="00CF6E2D"/>
    <w:rsid w:val="00D12EEF"/>
    <w:rsid w:val="00D3495F"/>
    <w:rsid w:val="00D554C0"/>
    <w:rsid w:val="00D6699E"/>
    <w:rsid w:val="00D73FD0"/>
    <w:rsid w:val="00DB4875"/>
    <w:rsid w:val="00DC522E"/>
    <w:rsid w:val="00E13411"/>
    <w:rsid w:val="00E30A58"/>
    <w:rsid w:val="00E32F80"/>
    <w:rsid w:val="00E35EC3"/>
    <w:rsid w:val="00E67659"/>
    <w:rsid w:val="00E85AC8"/>
    <w:rsid w:val="00EE4F86"/>
    <w:rsid w:val="00EF00D4"/>
    <w:rsid w:val="00EF1BA1"/>
    <w:rsid w:val="00F04F0A"/>
    <w:rsid w:val="00F106B6"/>
    <w:rsid w:val="00F2781F"/>
    <w:rsid w:val="00F81530"/>
    <w:rsid w:val="00F86279"/>
    <w:rsid w:val="00FA3797"/>
    <w:rsid w:val="00FA6FED"/>
    <w:rsid w:val="00FE2461"/>
    <w:rsid w:val="00FF313F"/>
    <w:rsid w:val="00FF50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B587D"/>
  <w15:chartTrackingRefBased/>
  <w15:docId w15:val="{BA490DFE-2840-D446-B8F7-141641283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56F5"/>
    <w:rPr>
      <w:rFonts w:ascii="Times New Roman" w:hAnsi="Times New Roman"/>
    </w:rPr>
  </w:style>
  <w:style w:type="paragraph" w:styleId="Heading1">
    <w:name w:val="heading 1"/>
    <w:basedOn w:val="Normal"/>
    <w:next w:val="Normal"/>
    <w:link w:val="Heading1Char"/>
    <w:uiPriority w:val="9"/>
    <w:qFormat/>
    <w:rsid w:val="004037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37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37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37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37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37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37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37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37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37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37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37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37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37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37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37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37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37DA"/>
    <w:rPr>
      <w:rFonts w:eastAsiaTheme="majorEastAsia" w:cstheme="majorBidi"/>
      <w:color w:val="272727" w:themeColor="text1" w:themeTint="D8"/>
    </w:rPr>
  </w:style>
  <w:style w:type="paragraph" w:styleId="Title">
    <w:name w:val="Title"/>
    <w:basedOn w:val="Normal"/>
    <w:next w:val="Normal"/>
    <w:link w:val="TitleChar"/>
    <w:uiPriority w:val="10"/>
    <w:qFormat/>
    <w:rsid w:val="004037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37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37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37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37DA"/>
    <w:pPr>
      <w:spacing w:before="160"/>
      <w:jc w:val="center"/>
    </w:pPr>
    <w:rPr>
      <w:i/>
      <w:iCs/>
      <w:color w:val="404040" w:themeColor="text1" w:themeTint="BF"/>
    </w:rPr>
  </w:style>
  <w:style w:type="character" w:customStyle="1" w:styleId="QuoteChar">
    <w:name w:val="Quote Char"/>
    <w:basedOn w:val="DefaultParagraphFont"/>
    <w:link w:val="Quote"/>
    <w:uiPriority w:val="29"/>
    <w:rsid w:val="004037DA"/>
    <w:rPr>
      <w:i/>
      <w:iCs/>
      <w:color w:val="404040" w:themeColor="text1" w:themeTint="BF"/>
    </w:rPr>
  </w:style>
  <w:style w:type="paragraph" w:styleId="ListParagraph">
    <w:name w:val="List Paragraph"/>
    <w:basedOn w:val="Normal"/>
    <w:uiPriority w:val="34"/>
    <w:qFormat/>
    <w:rsid w:val="004037DA"/>
    <w:pPr>
      <w:ind w:left="720"/>
      <w:contextualSpacing/>
    </w:pPr>
  </w:style>
  <w:style w:type="character" w:styleId="IntenseEmphasis">
    <w:name w:val="Intense Emphasis"/>
    <w:basedOn w:val="DefaultParagraphFont"/>
    <w:uiPriority w:val="21"/>
    <w:qFormat/>
    <w:rsid w:val="004037DA"/>
    <w:rPr>
      <w:i/>
      <w:iCs/>
      <w:color w:val="0F4761" w:themeColor="accent1" w:themeShade="BF"/>
    </w:rPr>
  </w:style>
  <w:style w:type="paragraph" w:styleId="IntenseQuote">
    <w:name w:val="Intense Quote"/>
    <w:basedOn w:val="Normal"/>
    <w:next w:val="Normal"/>
    <w:link w:val="IntenseQuoteChar"/>
    <w:uiPriority w:val="30"/>
    <w:qFormat/>
    <w:rsid w:val="004037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37DA"/>
    <w:rPr>
      <w:i/>
      <w:iCs/>
      <w:color w:val="0F4761" w:themeColor="accent1" w:themeShade="BF"/>
    </w:rPr>
  </w:style>
  <w:style w:type="character" w:styleId="IntenseReference">
    <w:name w:val="Intense Reference"/>
    <w:basedOn w:val="DefaultParagraphFont"/>
    <w:uiPriority w:val="32"/>
    <w:qFormat/>
    <w:rsid w:val="004037DA"/>
    <w:rPr>
      <w:b/>
      <w:bCs/>
      <w:smallCaps/>
      <w:color w:val="0F4761" w:themeColor="accent1" w:themeShade="BF"/>
      <w:spacing w:val="5"/>
    </w:rPr>
  </w:style>
  <w:style w:type="character" w:styleId="PlaceholderText">
    <w:name w:val="Placeholder Text"/>
    <w:basedOn w:val="DefaultParagraphFont"/>
    <w:uiPriority w:val="99"/>
    <w:semiHidden/>
    <w:rsid w:val="00611B23"/>
    <w:rPr>
      <w:color w:val="666666"/>
    </w:rPr>
  </w:style>
  <w:style w:type="paragraph" w:styleId="BodyText">
    <w:name w:val="Body Text"/>
    <w:basedOn w:val="Normal"/>
    <w:link w:val="BodyTextChar"/>
    <w:qFormat/>
    <w:rsid w:val="00611B23"/>
    <w:pPr>
      <w:spacing w:before="180" w:after="180" w:line="240" w:lineRule="auto"/>
    </w:pPr>
    <w:rPr>
      <w:kern w:val="0"/>
      <w14:ligatures w14:val="none"/>
    </w:rPr>
  </w:style>
  <w:style w:type="character" w:customStyle="1" w:styleId="BodyTextChar">
    <w:name w:val="Body Text Char"/>
    <w:basedOn w:val="DefaultParagraphFont"/>
    <w:link w:val="BodyText"/>
    <w:rsid w:val="00611B23"/>
    <w:rPr>
      <w:kern w:val="0"/>
      <w14:ligatures w14:val="none"/>
    </w:rPr>
  </w:style>
  <w:style w:type="paragraph" w:customStyle="1" w:styleId="FirstParagraph">
    <w:name w:val="First Paragraph"/>
    <w:basedOn w:val="BodyText"/>
    <w:next w:val="BodyText"/>
    <w:qFormat/>
    <w:rsid w:val="00611B23"/>
  </w:style>
  <w:style w:type="character" w:customStyle="1" w:styleId="VerbatimChar">
    <w:name w:val="Verbatim Char"/>
    <w:basedOn w:val="DefaultParagraphFont"/>
    <w:link w:val="SourceCode"/>
    <w:rsid w:val="00611B23"/>
    <w:rPr>
      <w:rFonts w:ascii="Consolas" w:hAnsi="Consolas"/>
      <w:sz w:val="22"/>
      <w:shd w:val="clear" w:color="auto" w:fill="F8F8F8"/>
    </w:rPr>
  </w:style>
  <w:style w:type="paragraph" w:customStyle="1" w:styleId="SourceCode">
    <w:name w:val="Source Code"/>
    <w:basedOn w:val="Normal"/>
    <w:link w:val="VerbatimChar"/>
    <w:rsid w:val="00611B23"/>
    <w:pPr>
      <w:shd w:val="clear" w:color="auto" w:fill="F8F8F8"/>
      <w:wordWrap w:val="0"/>
      <w:spacing w:after="200" w:line="240" w:lineRule="auto"/>
    </w:pPr>
    <w:rPr>
      <w:rFonts w:ascii="Consolas" w:hAnsi="Consolas"/>
      <w:sz w:val="22"/>
    </w:rPr>
  </w:style>
  <w:style w:type="character" w:styleId="LineNumber">
    <w:name w:val="line number"/>
    <w:basedOn w:val="DefaultParagraphFont"/>
    <w:uiPriority w:val="99"/>
    <w:unhideWhenUsed/>
    <w:rsid w:val="0007048F"/>
    <w:rPr>
      <w:sz w:val="18"/>
    </w:rPr>
  </w:style>
  <w:style w:type="character" w:styleId="Hyperlink">
    <w:name w:val="Hyperlink"/>
    <w:basedOn w:val="DefaultParagraphFont"/>
    <w:rsid w:val="0007048F"/>
    <w:rPr>
      <w:color w:val="156082" w:themeColor="accent1"/>
    </w:rPr>
  </w:style>
  <w:style w:type="paragraph" w:styleId="Bibliography">
    <w:name w:val="Bibliography"/>
    <w:basedOn w:val="Normal"/>
    <w:next w:val="Normal"/>
    <w:uiPriority w:val="37"/>
    <w:unhideWhenUsed/>
    <w:rsid w:val="008D202E"/>
    <w:pPr>
      <w:tabs>
        <w:tab w:val="left" w:pos="500"/>
      </w:tabs>
      <w:spacing w:after="0" w:line="480" w:lineRule="auto"/>
      <w:ind w:left="504" w:hanging="504"/>
    </w:pPr>
  </w:style>
  <w:style w:type="paragraph" w:styleId="Footer">
    <w:name w:val="footer"/>
    <w:basedOn w:val="Normal"/>
    <w:link w:val="FooterChar"/>
    <w:uiPriority w:val="99"/>
    <w:unhideWhenUsed/>
    <w:rsid w:val="00AE18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8EA"/>
    <w:rPr>
      <w:rFonts w:ascii="Times New Roman" w:hAnsi="Times New Roman"/>
    </w:rPr>
  </w:style>
  <w:style w:type="character" w:styleId="PageNumber">
    <w:name w:val="page number"/>
    <w:basedOn w:val="DefaultParagraphFont"/>
    <w:uiPriority w:val="99"/>
    <w:semiHidden/>
    <w:unhideWhenUsed/>
    <w:rsid w:val="00AE18EA"/>
  </w:style>
  <w:style w:type="paragraph" w:styleId="Revision">
    <w:name w:val="Revision"/>
    <w:hidden/>
    <w:uiPriority w:val="99"/>
    <w:semiHidden/>
    <w:rsid w:val="0046418C"/>
    <w:pPr>
      <w:spacing w:after="0" w:line="240" w:lineRule="auto"/>
    </w:pPr>
    <w:rPr>
      <w:rFonts w:ascii="Times New Roman" w:hAnsi="Times New Roman"/>
    </w:rPr>
  </w:style>
  <w:style w:type="character" w:styleId="CommentReference">
    <w:name w:val="annotation reference"/>
    <w:basedOn w:val="DefaultParagraphFont"/>
    <w:uiPriority w:val="99"/>
    <w:semiHidden/>
    <w:unhideWhenUsed/>
    <w:rsid w:val="000E114E"/>
    <w:rPr>
      <w:sz w:val="16"/>
      <w:szCs w:val="16"/>
    </w:rPr>
  </w:style>
  <w:style w:type="paragraph" w:styleId="CommentText">
    <w:name w:val="annotation text"/>
    <w:basedOn w:val="Normal"/>
    <w:link w:val="CommentTextChar"/>
    <w:uiPriority w:val="99"/>
    <w:semiHidden/>
    <w:unhideWhenUsed/>
    <w:rsid w:val="000E114E"/>
    <w:pPr>
      <w:spacing w:line="240" w:lineRule="auto"/>
    </w:pPr>
    <w:rPr>
      <w:sz w:val="20"/>
      <w:szCs w:val="20"/>
    </w:rPr>
  </w:style>
  <w:style w:type="character" w:customStyle="1" w:styleId="CommentTextChar">
    <w:name w:val="Comment Text Char"/>
    <w:basedOn w:val="DefaultParagraphFont"/>
    <w:link w:val="CommentText"/>
    <w:uiPriority w:val="99"/>
    <w:semiHidden/>
    <w:rsid w:val="000E114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E114E"/>
    <w:rPr>
      <w:b/>
      <w:bCs/>
    </w:rPr>
  </w:style>
  <w:style w:type="character" w:customStyle="1" w:styleId="CommentSubjectChar">
    <w:name w:val="Comment Subject Char"/>
    <w:basedOn w:val="CommentTextChar"/>
    <w:link w:val="CommentSubject"/>
    <w:uiPriority w:val="99"/>
    <w:semiHidden/>
    <w:rsid w:val="000E114E"/>
    <w:rPr>
      <w:rFonts w:ascii="Times New Roman" w:hAnsi="Times New Roman"/>
      <w:b/>
      <w:bCs/>
      <w:sz w:val="20"/>
      <w:szCs w:val="20"/>
    </w:rPr>
  </w:style>
  <w:style w:type="paragraph" w:customStyle="1" w:styleId="p1">
    <w:name w:val="p1"/>
    <w:basedOn w:val="Normal"/>
    <w:rsid w:val="0092229D"/>
    <w:pPr>
      <w:spacing w:before="100" w:beforeAutospacing="1" w:after="100" w:afterAutospacing="1" w:line="240" w:lineRule="auto"/>
    </w:pPr>
    <w:rPr>
      <w:rFonts w:eastAsia="Times New Roman" w:cs="Times New Roman"/>
      <w:kern w:val="0"/>
      <w14:ligatures w14:val="none"/>
    </w:rPr>
  </w:style>
  <w:style w:type="table" w:styleId="TableGrid">
    <w:name w:val="Table Grid"/>
    <w:basedOn w:val="TableNormal"/>
    <w:uiPriority w:val="39"/>
    <w:rsid w:val="001534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BB4243-C90F-DD42-B174-F1EA0B906A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23225</Words>
  <Characters>142607</Characters>
  <Application>Microsoft Office Word</Application>
  <DocSecurity>0</DocSecurity>
  <Lines>2376</Lines>
  <Paragraphs>598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Augustus Raymond Pendleton</dc:creator>
  <cp:keywords/>
  <dc:description/>
  <cp:lastModifiedBy>Marian Louise Schmidt</cp:lastModifiedBy>
  <cp:revision>4</cp:revision>
  <cp:lastPrinted>2025-12-15T20:13:00Z</cp:lastPrinted>
  <dcterms:created xsi:type="dcterms:W3CDTF">2025-12-15T20:13:00Z</dcterms:created>
  <dcterms:modified xsi:type="dcterms:W3CDTF">2025-12-23T18:18:00Z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zotero-version="7.0.29"&gt;&lt;session id="izsN5JqH"/&gt;&lt;style id="http://www.zotero.org/styles/the-isme-journal" hasBibliography="1" bibliographyStyleHasBeenSet="1"/&gt;&lt;prefs&gt;&lt;pref name="fieldType" value="Field"/&gt;&lt;/prefs&gt;&lt;/data&gt;</vt:lpwstr>
  </property>
</Properties>
</file>