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Ермолаев Михаил Валерьевич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