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footer5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8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numbering.xml" ContentType="application/vnd.openxmlformats-officedocument.wordprocessingml.numbering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header6.xml" ContentType="application/vnd.openxmlformats-officedocument.wordprocessingml.head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7.xml" ContentType="application/vnd.openxmlformats-officedocument.wordprocessingml.header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119" w:afterAutospacing="0" w:line="240" w:lineRule="auto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</w:r>
    </w:p>
    <w:p>
      <w:pPr>
        <w:spacing w:after="119" w:afterAutospacing="0" w:line="240" w:lineRule="auto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</w:r>
    </w:p>
    <w:p>
      <w:pPr>
        <w:spacing w:after="119" w:afterAutospacing="0" w:line="240" w:lineRule="auto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</w:r>
    </w:p>
    <w:p>
      <w:pPr>
        <w:spacing w:after="119" w:afterAutospacing="0" w:line="240" w:lineRule="auto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</w:r>
    </w:p>
    <w:p>
      <w:pPr>
        <w:spacing w:after="119" w:afterAutospacing="0" w:line="240" w:lineRule="auto"/>
        <w:rPr>
          <w:rFonts w:ascii="Arial" w:hAnsi="Arial" w:cs="Arial"/>
          <w:sz w:val="22"/>
          <w:szCs w:val="22"/>
          <w:highlight w:val="none"/>
        </w:rPr>
        <w:sectPr>
          <w:headerReference w:type="default" r:id="rId9"/>
          <w:headerReference w:type="first" r:id="rId10"/>
          <w:footerReference w:type="default" r:id="rId17"/>
          <w:footerReference w:type="first" r:id="rId18"/>
          <w:footnotePr/>
          <w:endnotePr/>
          <w:type w:val="continuous"/>
          <w:pgSz w:w="16838" w:h="11906" w:orient="landscape"/>
          <w:pgMar w:top="1701" w:right="1134" w:bottom="850" w:left="1134" w:header="709" w:footer="709" w:gutter="0"/>
          <w:cols w:num="1" w:sep="0" w:space="708" w:equalWidth="1"/>
          <w:docGrid w:linePitch="360"/>
        </w:sectPr>
      </w:pP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</w:r>
    </w:p>
    <w:p>
      <w:pPr>
        <w:ind w:left="-283" w:right="0" w:firstLine="0"/>
        <w:spacing w:before="120" w:after="119" w:afterAutospacing="0" w:line="240" w:lineRule="auto"/>
        <w:rPr>
          <w:rFonts w:cs="Arial"/>
          <w:b/>
          <w:bCs/>
          <w:sz w:val="28"/>
          <w:szCs w:val="24"/>
        </w:rPr>
      </w:pPr>
      <w:r>
        <w:rPr>
          <w:rFonts w:cs="Arial"/>
          <w:b/>
          <w:bCs/>
          <w:sz w:val="28"/>
          <w:szCs w:val="28"/>
        </w:rPr>
        <w:t xml:space="preserve">Термины и определения </w:t>
      </w:r>
      <w:r>
        <w:rPr>
          <w:rFonts w:cs="Arial"/>
          <w:b/>
          <w:bCs/>
          <w:sz w:val="28"/>
          <w:szCs w:val="24"/>
        </w:rPr>
      </w:r>
    </w:p>
    <w:p>
      <w:pPr>
        <w:ind w:left="-283" w:right="0" w:firstLine="0"/>
        <w:jc w:val="both"/>
        <w:spacing w:after="119" w:afterAutospacing="0" w:line="240" w:lineRule="auto"/>
        <w:rPr>
          <w:rFonts w:cs="Arial"/>
          <w:bCs/>
          <w:i/>
          <w:color w:val="7f7f7f"/>
          <w:highlight w:val="none"/>
        </w:rPr>
      </w:pPr>
      <w:r>
        <w:rPr>
          <w:rFonts w:cs="Arial"/>
          <w:i/>
          <w:color w:val="7f7f7f"/>
          <w:sz w:val="22"/>
          <w:szCs w:val="22"/>
        </w:rPr>
        <w:t xml:space="preserve">&lt;Раздел заполняет бизнес-аналитик, дополняют все участник</w:t>
      </w:r>
      <w:r>
        <w:rPr>
          <w:rFonts w:cs="Arial"/>
          <w:i/>
          <w:color w:val="7f7f7f"/>
          <w:sz w:val="22"/>
          <w:szCs w:val="22"/>
        </w:rPr>
        <w:t xml:space="preserve">и проекта, использующие в других разделах документа термины и сокращения, требующие определения. В разделе указываются термины и определения, применяемые в настоящем ЕДТ. Для описания сущностей в диаграмме «Сущность-связь» предусмотрен отдельный глоссарий&gt;</w:t>
      </w:r>
      <w:r>
        <w:rPr>
          <w:rFonts w:cs="Arial"/>
          <w:bCs/>
          <w:i/>
          <w:color w:val="7f7f7f"/>
          <w:highlight w:val="none"/>
        </w:rPr>
      </w:r>
    </w:p>
    <w:tbl>
      <w:tblPr>
        <w:tblpPr w:horzAnchor="page" w:tblpX="1421" w:vertAnchor="page" w:tblpY="3367" w:leftFromText="180" w:topFromText="0" w:rightFromText="180" w:bottomFromText="0"/>
        <w:tblW w:w="968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3441"/>
        <w:gridCol w:w="553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14"/>
        </w:trPr>
        <w:tc>
          <w:tcPr>
            <w:shd w:val="clear" w:color="ffffff" w:fill="0070c0"/>
            <w:tcW w:w="704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afterAutospacing="0" w:line="240" w:lineRule="auto"/>
              <w:rPr>
                <w:rFonts w:cs="Arial"/>
                <w:b/>
                <w:color w:val="ffffff"/>
                <w:sz w:val="20"/>
              </w:rPr>
            </w:pPr>
            <w:r>
              <w:rPr>
                <w:rFonts w:cs="Arial"/>
                <w:b/>
                <w:color w:val="ffffff"/>
                <w:sz w:val="20"/>
                <w:szCs w:val="20"/>
              </w:rPr>
              <w:t xml:space="preserve">№</w:t>
            </w:r>
            <w:r>
              <w:rPr>
                <w:rFonts w:cs="Arial"/>
                <w:b/>
                <w:color w:val="ffffff"/>
                <w:sz w:val="20"/>
              </w:rPr>
            </w:r>
          </w:p>
        </w:tc>
        <w:tc>
          <w:tcPr>
            <w:shd w:val="clear" w:color="ffffff" w:fill="0070c0"/>
            <w:tcW w:w="3441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afterAutospacing="0" w:line="240" w:lineRule="auto"/>
              <w:rPr>
                <w:rFonts w:cs="Arial"/>
                <w:b/>
                <w:color w:val="ffffff"/>
                <w:sz w:val="20"/>
              </w:rPr>
            </w:pPr>
            <w:r>
              <w:rPr>
                <w:rFonts w:cs="Arial"/>
                <w:b/>
                <w:color w:val="ffffff"/>
                <w:sz w:val="20"/>
                <w:szCs w:val="20"/>
              </w:rPr>
              <w:t xml:space="preserve">Термин/сокращение</w:t>
            </w:r>
            <w:r>
              <w:rPr>
                <w:rFonts w:cs="Arial"/>
                <w:b/>
                <w:color w:val="ffffff"/>
                <w:sz w:val="20"/>
              </w:rPr>
            </w:r>
          </w:p>
        </w:tc>
        <w:tc>
          <w:tcPr>
            <w:shd w:val="clear" w:color="ffffff" w:fill="0070c0"/>
            <w:tcW w:w="5536" w:type="dxa"/>
            <w:vAlign w:val="center"/>
            <w:textDirection w:val="lrTb"/>
            <w:noWrap w:val="false"/>
          </w:tcPr>
          <w:p>
            <w:pPr>
              <w:jc w:val="center"/>
              <w:keepNext/>
              <w:spacing w:after="0" w:afterAutospacing="0" w:line="240" w:lineRule="auto"/>
              <w:rPr>
                <w:rFonts w:cs="Arial"/>
                <w:b/>
                <w:color w:val="ffffff"/>
                <w:sz w:val="20"/>
              </w:rPr>
            </w:pPr>
            <w:r>
              <w:rPr>
                <w:rFonts w:cs="Arial"/>
                <w:b/>
                <w:color w:val="ffffff"/>
                <w:sz w:val="20"/>
                <w:szCs w:val="20"/>
              </w:rPr>
              <w:t xml:space="preserve">Определение</w:t>
            </w:r>
            <w:r>
              <w:rPr>
                <w:rFonts w:cs="Arial"/>
                <w:b/>
                <w:color w:val="ffffff"/>
                <w:sz w:val="20"/>
              </w:rPr>
            </w:r>
          </w:p>
        </w:tc>
      </w:tr>
      <w:tr>
        <w:tblPrEx/>
        <w:trPr/>
        <w:tc>
          <w:tcPr>
            <w:tcW w:w="704" w:type="dxa"/>
            <w:textDirection w:val="lrTb"/>
            <w:noWrap w:val="false"/>
          </w:tcPr>
          <w:p>
            <w:pPr>
              <w:jc w:val="center"/>
              <w:spacing w:after="0" w:afterAutospacing="0" w:line="240" w:lineRule="auto"/>
              <w:rPr>
                <w:rFonts w:cs="Arial"/>
                <w:i/>
                <w:color w:val="7f7f7f"/>
                <w:sz w:val="20"/>
              </w:rPr>
            </w:pPr>
            <w:r>
              <w:rPr>
                <w:rFonts w:cs="Arial"/>
                <w:i/>
                <w:color w:val="7f7f7f"/>
                <w:sz w:val="20"/>
                <w:szCs w:val="20"/>
                <w:lang w:val="en-US"/>
              </w:rPr>
              <w:t xml:space="preserve">&lt;</w:t>
            </w:r>
            <w:r>
              <w:rPr>
                <w:rFonts w:cs="Arial"/>
                <w:i/>
                <w:color w:val="7f7f7f"/>
                <w:sz w:val="20"/>
                <w:szCs w:val="20"/>
              </w:rPr>
              <w:t xml:space="preserve">Порядковый №</w:t>
            </w:r>
            <w:r>
              <w:rPr>
                <w:rFonts w:cs="Arial"/>
                <w:i/>
                <w:color w:val="7f7f7f"/>
                <w:sz w:val="20"/>
                <w:szCs w:val="20"/>
                <w:lang w:val="en-US"/>
              </w:rPr>
              <w:t xml:space="preserve">&gt;</w:t>
            </w:r>
            <w:r>
              <w:rPr>
                <w:rFonts w:cs="Arial"/>
                <w:i/>
                <w:color w:val="7f7f7f"/>
                <w:sz w:val="20"/>
              </w:rPr>
            </w:r>
          </w:p>
        </w:tc>
        <w:tc>
          <w:tcPr>
            <w:tcW w:w="3441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i/>
                <w:color w:val="7f7f7f"/>
                <w:sz w:val="20"/>
              </w:rPr>
            </w:pPr>
            <w:r>
              <w:rPr>
                <w:rFonts w:cs="Arial"/>
                <w:i/>
                <w:color w:val="7f7f7f"/>
                <w:sz w:val="20"/>
                <w:szCs w:val="20"/>
              </w:rPr>
              <w:t xml:space="preserve">&lt;Наименование термина, сокращения или обозначения, использованного в артефактах проекта. Формулировка должна быть точной и не допускать разночтений&gt;</w:t>
            </w:r>
            <w:r>
              <w:rPr>
                <w:rFonts w:cs="Arial"/>
                <w:i/>
                <w:color w:val="7f7f7f"/>
                <w:sz w:val="20"/>
              </w:rPr>
            </w:r>
          </w:p>
        </w:tc>
        <w:tc>
          <w:tcPr>
            <w:tcW w:w="5536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i/>
                <w:color w:val="7f7f7f"/>
                <w:sz w:val="20"/>
              </w:rPr>
            </w:pPr>
            <w:r>
              <w:rPr>
                <w:rFonts w:cs="Arial"/>
                <w:i/>
                <w:color w:val="7f7f7f"/>
                <w:sz w:val="20"/>
                <w:szCs w:val="20"/>
              </w:rPr>
              <w:t xml:space="preserve">&lt;Разъяснение смысла термина, отражающее его значение в контексте проекта. Расшифровка сокращения&gt;</w:t>
            </w:r>
            <w:r>
              <w:rPr>
                <w:rFonts w:cs="Arial"/>
                <w:i/>
                <w:color w:val="7f7f7f"/>
                <w:sz w:val="20"/>
              </w:rPr>
            </w:r>
          </w:p>
        </w:tc>
      </w:tr>
      <w:tr>
        <w:tblPrEx/>
        <w:trPr/>
        <w:tc>
          <w:tcPr>
            <w:tcW w:w="704" w:type="dxa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 w:afterAutospacing="0" w:line="240" w:lineRule="auto"/>
              <w:rPr>
                <w:rFonts w:ascii="Arial" w:hAnsi="Arial" w:cs="Arial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7f7f7f" w:themeColor="text1" w:themeTint="80"/>
                <w:sz w:val="20"/>
                <w:szCs w:val="20"/>
              </w:rPr>
            </w:r>
            <w:r>
              <w:rPr>
                <w:rFonts w:ascii="Arial" w:hAnsi="Arial" w:cs="Arial"/>
                <w:i/>
                <w:iCs/>
                <w:color w:val="7f7f7f" w:themeColor="text1" w:themeTint="80"/>
                <w:sz w:val="20"/>
                <w:szCs w:val="20"/>
              </w:rPr>
            </w:r>
          </w:p>
        </w:tc>
        <w:tc>
          <w:tcPr>
            <w:tcW w:w="3441" w:type="dxa"/>
            <w:textDirection w:val="lrTb"/>
            <w:noWrap w:val="false"/>
          </w:tcPr>
          <w:p>
            <w:pPr>
              <w:keepNext/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Бизнес-процесс</w:t>
            </w:r>
            <w:r>
              <w:rPr>
                <w:rFonts w:cs="Arial"/>
                <w:sz w:val="20"/>
              </w:rPr>
            </w:r>
          </w:p>
        </w:tc>
        <w:tc>
          <w:tcPr>
            <w:tcW w:w="5536" w:type="dxa"/>
            <w:textDirection w:val="lrTb"/>
            <w:noWrap w:val="false"/>
          </w:tcPr>
          <w:p>
            <w:pPr>
              <w:jc w:val="both"/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Регулярно повторяющаяся последовательность взаимосвязанных операций, преобразующая входы в выходы и нацеленная на получение результата.</w:t>
            </w:r>
            <w:r>
              <w:rPr>
                <w:rFonts w:cs="Arial"/>
                <w:sz w:val="20"/>
              </w:rPr>
            </w:r>
          </w:p>
          <w:p>
            <w:pPr>
              <w:jc w:val="both"/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  <w:p>
            <w:pPr>
              <w:jc w:val="both"/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Изменение бизнес-процесса – актуализация / изменение последовательности и/или содержания операций, а также состава входов / выходов.</w:t>
            </w:r>
            <w:r>
              <w:rPr>
                <w:rFonts w:cs="Arial"/>
                <w:sz w:val="20"/>
              </w:rPr>
            </w:r>
          </w:p>
          <w:p>
            <w:pPr>
              <w:jc w:val="both"/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  <w:p>
            <w:pPr>
              <w:jc w:val="both"/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Автоматизация бизнес-процесса – применение ИТ-решений / систем при реализации операций бизнес-процесса.</w:t>
            </w:r>
            <w:r>
              <w:rPr>
                <w:rFonts w:cs="Arial"/>
                <w:sz w:val="20"/>
              </w:rPr>
            </w:r>
          </w:p>
        </w:tc>
      </w:tr>
      <w:tr>
        <w:tblPrEx/>
        <w:trPr/>
        <w:tc>
          <w:tcPr>
            <w:tcW w:w="704" w:type="dxa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 w:afterAutospacing="0" w:line="240" w:lineRule="auto"/>
              <w:rPr>
                <w:rFonts w:ascii="Arial" w:hAnsi="Arial" w:cs="Arial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7f7f7f" w:themeColor="text1" w:themeTint="80"/>
                <w:sz w:val="20"/>
                <w:szCs w:val="20"/>
              </w:rPr>
            </w:r>
            <w:r>
              <w:rPr>
                <w:rFonts w:ascii="Arial" w:hAnsi="Arial" w:cs="Arial"/>
                <w:i/>
                <w:iCs/>
                <w:color w:val="7f7f7f" w:themeColor="text1" w:themeTint="80"/>
                <w:sz w:val="20"/>
                <w:szCs w:val="20"/>
              </w:rPr>
            </w:r>
          </w:p>
        </w:tc>
        <w:tc>
          <w:tcPr>
            <w:tcW w:w="3441" w:type="dxa"/>
            <w:textDirection w:val="lrTb"/>
            <w:noWrap w:val="false"/>
          </w:tcPr>
          <w:p>
            <w:pPr>
              <w:keepNext/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Бизнес-роль</w:t>
            </w:r>
            <w:r>
              <w:rPr>
                <w:rFonts w:cs="Arial"/>
                <w:sz w:val="20"/>
              </w:rPr>
            </w:r>
          </w:p>
        </w:tc>
        <w:tc>
          <w:tcPr>
            <w:tcW w:w="5536" w:type="dxa"/>
            <w:textDirection w:val="lrTb"/>
            <w:noWrap w:val="false"/>
          </w:tcPr>
          <w:p>
            <w:pPr>
              <w:jc w:val="both"/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Условное функциональное наименование субъекта, исполняющего операции процесса</w:t>
            </w:r>
            <w:r>
              <w:rPr>
                <w:rFonts w:cs="Arial"/>
                <w:sz w:val="20"/>
              </w:rPr>
            </w:r>
          </w:p>
        </w:tc>
      </w:tr>
      <w:tr>
        <w:tblPrEx/>
        <w:trPr/>
        <w:tc>
          <w:tcPr>
            <w:tcW w:w="704" w:type="dxa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 w:afterAutospacing="0" w:line="240" w:lineRule="auto"/>
              <w:rPr>
                <w:rFonts w:ascii="Arial" w:hAnsi="Arial" w:cs="Arial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7f7f7f" w:themeColor="text1" w:themeTint="80"/>
                <w:sz w:val="20"/>
                <w:szCs w:val="20"/>
              </w:rPr>
            </w:r>
            <w:r>
              <w:rPr>
                <w:rFonts w:ascii="Arial" w:hAnsi="Arial" w:cs="Arial"/>
                <w:i/>
                <w:iCs/>
                <w:color w:val="7f7f7f" w:themeColor="text1" w:themeTint="80"/>
                <w:sz w:val="20"/>
                <w:szCs w:val="20"/>
              </w:rPr>
            </w:r>
          </w:p>
        </w:tc>
        <w:tc>
          <w:tcPr>
            <w:tcW w:w="3441" w:type="dxa"/>
            <w:textDirection w:val="lrTb"/>
            <w:noWrap w:val="false"/>
          </w:tcPr>
          <w:p>
            <w:pPr>
              <w:keepNext/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Бизнес-функциональность</w:t>
            </w:r>
            <w:r>
              <w:rPr>
                <w:rFonts w:cs="Arial"/>
                <w:sz w:val="20"/>
              </w:rPr>
            </w:r>
          </w:p>
        </w:tc>
        <w:tc>
          <w:tcPr>
            <w:tcW w:w="5536" w:type="dxa"/>
            <w:textDirection w:val="lrTb"/>
            <w:noWrap w:val="false"/>
          </w:tcPr>
          <w:p>
            <w:pPr>
              <w:jc w:val="both"/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Объект корпоративной Бизнес-архитектуры, на концептуальном уровне описывающий </w:t>
            </w:r>
            <w:r>
              <w:rPr>
                <w:rFonts w:cs="Arial"/>
                <w:sz w:val="20"/>
                <w:szCs w:val="20"/>
                <w:u w:val="single"/>
              </w:rPr>
              <w:t xml:space="preserve">поведение (действия)</w:t>
            </w:r>
            <w:r>
              <w:rPr>
                <w:rFonts w:cs="Arial"/>
                <w:sz w:val="20"/>
                <w:szCs w:val="20"/>
              </w:rPr>
              <w:t xml:space="preserve"> ИТ-решения во взаимосвязи с автоматизируемыми бизнес-процессами</w:t>
            </w:r>
            <w:r>
              <w:rPr>
                <w:rFonts w:cs="Arial"/>
                <w:sz w:val="20"/>
              </w:rPr>
            </w:r>
          </w:p>
        </w:tc>
      </w:tr>
      <w:tr>
        <w:tblPrEx/>
        <w:trPr/>
        <w:tc>
          <w:tcPr>
            <w:tcW w:w="704" w:type="dxa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 w:afterAutospacing="0" w:line="240" w:lineRule="auto"/>
              <w:rPr>
                <w:rFonts w:ascii="Arial" w:hAnsi="Arial" w:cs="Arial"/>
                <w:i/>
                <w:iCs/>
                <w:color w:val="7f7f7f" w:themeColor="text1" w:themeTint="8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color w:val="7f7f7f" w:themeColor="text1" w:themeTint="80"/>
                <w:sz w:val="20"/>
                <w:szCs w:val="20"/>
              </w:rPr>
            </w:r>
            <w:r>
              <w:rPr>
                <w:rFonts w:ascii="Arial" w:hAnsi="Arial" w:cs="Arial"/>
                <w:i/>
                <w:iCs/>
                <w:color w:val="7f7f7f" w:themeColor="text1" w:themeTint="80"/>
                <w:sz w:val="20"/>
                <w:szCs w:val="20"/>
              </w:rPr>
            </w:r>
          </w:p>
        </w:tc>
        <w:tc>
          <w:tcPr>
            <w:tcW w:w="3441" w:type="dxa"/>
            <w:textDirection w:val="lrTb"/>
            <w:noWrap w:val="false"/>
          </w:tcPr>
          <w:p>
            <w:pPr>
              <w:keepNext/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Бизнес-эффект (БЭ)</w:t>
            </w:r>
            <w:r>
              <w:rPr>
                <w:rFonts w:cs="Arial"/>
                <w:sz w:val="20"/>
              </w:rPr>
            </w:r>
          </w:p>
        </w:tc>
        <w:tc>
          <w:tcPr>
            <w:tcW w:w="5536" w:type="dxa"/>
            <w:textDirection w:val="lrTb"/>
            <w:noWrap w:val="false"/>
          </w:tcPr>
          <w:p>
            <w:pPr>
              <w:jc w:val="both"/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Материальный или нематериальный результат от изменения бизнес-процесса при внедрении функционала ИТ-решения, отображает количественное и/или качественное выражение ценности реализуемого </w:t>
            </w:r>
            <w:r>
              <w:rPr>
                <w:rFonts w:cs="Arial"/>
                <w:sz w:val="20"/>
                <w:szCs w:val="20"/>
              </w:rPr>
              <w:t xml:space="preserve">изменения</w:t>
            </w:r>
            <w:r>
              <w:rPr>
                <w:rFonts w:cs="Arial"/>
                <w:sz w:val="20"/>
                <w:szCs w:val="20"/>
              </w:rPr>
              <w:t xml:space="preserve">.</w:t>
            </w:r>
            <w:r>
              <w:rPr>
                <w:rFonts w:cs="Arial"/>
                <w:sz w:val="20"/>
              </w:rPr>
            </w:r>
          </w:p>
        </w:tc>
      </w:tr>
      <w:tr>
        <w:tblPrEx/>
        <w:trPr/>
        <w:tc>
          <w:tcPr>
            <w:tcW w:w="704" w:type="dxa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 w:afterAutospacing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3441" w:type="dxa"/>
            <w:textDirection w:val="lrTb"/>
            <w:noWrap w:val="false"/>
          </w:tcPr>
          <w:p>
            <w:pPr>
              <w:keepNext/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Владелец информационной системы персональных данных</w:t>
            </w:r>
            <w:r>
              <w:rPr>
                <w:rFonts w:cs="Arial"/>
                <w:sz w:val="20"/>
              </w:rPr>
            </w:r>
          </w:p>
        </w:tc>
        <w:tc>
          <w:tcPr>
            <w:tcW w:w="5536" w:type="dxa"/>
            <w:textDirection w:val="lrTb"/>
            <w:noWrap w:val="false"/>
          </w:tcPr>
          <w:p>
            <w:pPr>
              <w:keepNext/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Структурное подразделение ПАО «Г</w:t>
            </w:r>
            <w:r>
              <w:rPr>
                <w:rFonts w:cs="Arial"/>
                <w:sz w:val="20"/>
                <w:szCs w:val="20"/>
              </w:rPr>
              <w:t xml:space="preserve">азпром Нефть», его дочернего общества, выступающее постановщиком (функциональным заказчиком) реализуемых с использованием информационной системы персональных данных задач и (или) являющееся основным пользователем информационной системы персональных данных.</w:t>
            </w:r>
            <w:r>
              <w:rPr>
                <w:rFonts w:cs="Arial"/>
                <w:sz w:val="20"/>
              </w:rPr>
            </w:r>
          </w:p>
        </w:tc>
      </w:tr>
      <w:tr>
        <w:tblPrEx/>
        <w:trPr/>
        <w:tc>
          <w:tcPr>
            <w:tcW w:w="704" w:type="dxa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 w:afterAutospacing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3441" w:type="dxa"/>
            <w:textDirection w:val="lrTb"/>
            <w:noWrap w:val="false"/>
          </w:tcPr>
          <w:p>
            <w:pPr>
              <w:keepNext/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Заинтересованная сторона</w:t>
            </w:r>
            <w:r>
              <w:rPr>
                <w:rFonts w:cs="Arial"/>
                <w:sz w:val="20"/>
              </w:rPr>
            </w:r>
          </w:p>
        </w:tc>
        <w:tc>
          <w:tcPr>
            <w:tcW w:w="5536" w:type="dxa"/>
            <w:textDirection w:val="lrTb"/>
            <w:noWrap w:val="false"/>
          </w:tcPr>
          <w:p>
            <w:pPr>
              <w:pStyle w:val="1212"/>
              <w:ind w:firstLine="0"/>
              <w:jc w:val="left"/>
              <w:keepLines/>
              <w:spacing w:after="0" w:afterAutospacing="0" w:line="240" w:lineRule="auto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Физическое и/или юридическое лицо, которое может влиять на деятельность Компании или способны испытывать на себе влияние ее деятельности, производимой ею продукции или оказываемых ею услуг и связанных с этим действий.</w:t>
            </w:r>
            <w:r>
              <w:rPr>
                <w:rFonts w:cs="Arial"/>
                <w:sz w:val="20"/>
                <w:szCs w:val="20"/>
              </w:rPr>
            </w:r>
          </w:p>
        </w:tc>
      </w:tr>
      <w:tr>
        <w:tblPrEx/>
        <w:trPr/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704" w:type="dxa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 w:afterAutospacing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3441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Информационная система персональных данных (</w:t>
            </w:r>
            <w:r>
              <w:rPr>
                <w:rFonts w:cs="Arial"/>
                <w:sz w:val="20"/>
                <w:szCs w:val="20"/>
              </w:rPr>
              <w:t xml:space="preserve">ИСПДн</w:t>
            </w:r>
            <w:r>
              <w:rPr>
                <w:rFonts w:cs="Arial"/>
                <w:sz w:val="20"/>
                <w:szCs w:val="20"/>
              </w:rPr>
              <w:t xml:space="preserve">)</w:t>
            </w:r>
            <w:r>
              <w:rPr>
                <w:rFonts w:cs="Arial"/>
                <w:sz w:val="20"/>
                <w:szCs w:val="20"/>
              </w:rPr>
              <w:tab/>
            </w:r>
            <w:r>
              <w:rPr>
                <w:rFonts w:cs="Arial"/>
                <w:sz w:val="20"/>
              </w:rPr>
            </w:r>
          </w:p>
        </w:tc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5536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Совокупность содержащихся в базах данных персональных данных и обеспечивающих их обработку информационных технологий и технических средств.</w:t>
            </w:r>
            <w:r>
              <w:rPr>
                <w:rFonts w:cs="Arial"/>
                <w:sz w:val="20"/>
              </w:rPr>
            </w:r>
          </w:p>
        </w:tc>
      </w:tr>
      <w:tr>
        <w:tblPrEx/>
        <w:trPr/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704" w:type="dxa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 w:afterAutospacing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3441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Исходные данные</w:t>
            </w:r>
            <w:r>
              <w:rPr>
                <w:rFonts w:cs="Arial"/>
                <w:sz w:val="20"/>
              </w:rPr>
            </w:r>
          </w:p>
        </w:tc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5536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НМД, определяющие порядок осуществления деятельности и/или реализации изменяемых (автоматизируемых) бизнес-процессов</w:t>
            </w:r>
            <w:r>
              <w:rPr>
                <w:rFonts w:cs="Arial"/>
                <w:sz w:val="20"/>
              </w:rPr>
            </w:r>
          </w:p>
        </w:tc>
      </w:tr>
      <w:tr>
        <w:tblPrEx/>
        <w:trPr/>
        <w:tc>
          <w:tcPr>
            <w:tcW w:w="704" w:type="dxa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 w:afterAutospacing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3441" w:type="dxa"/>
            <w:textDirection w:val="lrTb"/>
            <w:noWrap w:val="false"/>
          </w:tcPr>
          <w:p>
            <w:pPr>
              <w:keepNext/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ИТ-решение</w:t>
            </w:r>
            <w:r>
              <w:rPr>
                <w:rFonts w:cs="Arial"/>
                <w:sz w:val="20"/>
              </w:rPr>
            </w:r>
          </w:p>
        </w:tc>
        <w:tc>
          <w:tcPr>
            <w:tcW w:w="5536" w:type="dxa"/>
            <w:textDirection w:val="lrTb"/>
            <w:noWrap w:val="false"/>
          </w:tcPr>
          <w:p>
            <w:pPr>
              <w:keepNext/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Совокупность ИТ-систем по определенному бизнес-процессу с измеримыми метриками, направленная на 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автоматизацию хранения, поиск, обработку и передачу информации для решения определенных бизнес-задач.</w:t>
            </w:r>
            <w:r>
              <w:rPr>
                <w:rFonts w:cs="Arial"/>
                <w:sz w:val="20"/>
              </w:rPr>
            </w:r>
          </w:p>
        </w:tc>
      </w:tr>
      <w:tr>
        <w:tblPrEx/>
        <w:trPr>
          <w:trHeight w:val="1051"/>
        </w:trPr>
        <w:tc>
          <w:tcPr>
            <w:tcW w:w="704" w:type="dxa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 w:afterAutospacing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3441" w:type="dxa"/>
            <w:textDirection w:val="lrTb"/>
            <w:noWrap w:val="false"/>
          </w:tcPr>
          <w:p>
            <w:pPr>
              <w:keepNext/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Итерация</w:t>
            </w:r>
            <w:r>
              <w:rPr>
                <w:rFonts w:cs="Arial"/>
                <w:sz w:val="20"/>
              </w:rPr>
            </w:r>
          </w:p>
        </w:tc>
        <w:tc>
          <w:tcPr>
            <w:tcW w:w="5536" w:type="dxa"/>
            <w:textDirection w:val="lrTb"/>
            <w:noWrap w:val="false"/>
          </w:tcPr>
          <w:p>
            <w:pPr>
              <w:keepNext/>
              <w:spacing w:after="0" w:afterAutospacing="0" w:line="240" w:lineRule="auto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Ограниченный по времени период работы в рамках этапа проекта с зафиксированным набором требований и получением части результата проекта, которая добавляет полезный и работающий функционал к ранее созданной версии.</w:t>
            </w:r>
            <w:r>
              <w:rPr>
                <w:rFonts w:eastAsia="Arial" w:cs="Arial"/>
                <w:color w:val="000000"/>
                <w:sz w:val="20"/>
              </w:rPr>
            </w:r>
          </w:p>
        </w:tc>
      </w:tr>
      <w:tr>
        <w:tblPrEx/>
        <w:trPr/>
        <w:tc>
          <w:tcPr>
            <w:tcW w:w="704" w:type="dxa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 w:afterAutospacing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3441" w:type="dxa"/>
            <w:textDirection w:val="lrTb"/>
            <w:noWrap w:val="false"/>
          </w:tcPr>
          <w:p>
            <w:pPr>
              <w:keepNext/>
              <w:spacing w:after="0" w:afterAutospacing="0" w:line="240" w:lineRule="auto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Нефункциональное требование (НФТ)</w:t>
            </w:r>
            <w:r>
              <w:rPr>
                <w:rFonts w:eastAsia="Arial" w:cs="Arial"/>
                <w:color w:val="000000"/>
                <w:sz w:val="20"/>
              </w:rPr>
            </w:r>
          </w:p>
        </w:tc>
        <w:tc>
          <w:tcPr>
            <w:tcW w:w="5536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Описание условий, которые не влияют напрямую на поведение и функционал</w:t>
            </w: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ьность системы, но в рамках, которых система должна оставаться эффективной, или качественных характеристик, которыми система должна обладать. Примеры НФТ: средняя и пиковая производительность, удобство сопровождения, расширяемость, надежность, доступность.</w:t>
            </w:r>
            <w:r>
              <w:rPr>
                <w:rFonts w:eastAsia="Arial" w:cs="Arial"/>
                <w:color w:val="000000"/>
                <w:sz w:val="20"/>
              </w:rPr>
            </w:r>
          </w:p>
        </w:tc>
      </w:tr>
      <w:tr>
        <w:tblPrEx/>
        <w:trPr/>
        <w:tc>
          <w:tcPr>
            <w:tcW w:w="704" w:type="dxa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 w:afterAutospacing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3441" w:type="dxa"/>
            <w:textDirection w:val="lrTb"/>
            <w:noWrap w:val="false"/>
          </w:tcPr>
          <w:p>
            <w:pPr>
              <w:keepNext/>
              <w:spacing w:after="0" w:afterAutospacing="0" w:line="240" w:lineRule="auto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НМД</w:t>
            </w:r>
            <w:r>
              <w:rPr>
                <w:rFonts w:eastAsia="Arial" w:cs="Arial"/>
                <w:color w:val="000000"/>
                <w:sz w:val="20"/>
              </w:rPr>
            </w:r>
          </w:p>
        </w:tc>
        <w:tc>
          <w:tcPr>
            <w:tcW w:w="5536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Нормативно-методический документ</w:t>
            </w:r>
            <w:r>
              <w:rPr>
                <w:rFonts w:eastAsia="Arial" w:cs="Arial"/>
                <w:color w:val="000000"/>
                <w:sz w:val="20"/>
              </w:rPr>
            </w:r>
          </w:p>
        </w:tc>
      </w:tr>
      <w:tr>
        <w:tblPrEx/>
        <w:trPr/>
        <w:tc>
          <w:tcPr>
            <w:tcW w:w="704" w:type="dxa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 w:afterAutospacing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W w:w="3441" w:type="dxa"/>
            <w:textDirection w:val="lrTb"/>
            <w:noWrap w:val="false"/>
          </w:tcPr>
          <w:p>
            <w:pPr>
              <w:keepNext/>
              <w:spacing w:after="0" w:afterAutospacing="0" w:line="240" w:lineRule="auto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НПА</w:t>
            </w:r>
            <w:r>
              <w:rPr>
                <w:rFonts w:eastAsia="Arial" w:cs="Arial"/>
                <w:color w:val="000000"/>
                <w:sz w:val="20"/>
              </w:rPr>
            </w:r>
          </w:p>
        </w:tc>
        <w:tc>
          <w:tcPr>
            <w:tcW w:w="5536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/>
                <w:color w:val="000000"/>
                <w:sz w:val="20"/>
                <w:szCs w:val="20"/>
              </w:rPr>
              <w:t xml:space="preserve">Нормативно-правовой акт</w:t>
            </w:r>
            <w:r>
              <w:rPr>
                <w:rFonts w:eastAsia="Arial" w:cs="Arial"/>
                <w:color w:val="000000"/>
                <w:sz w:val="20"/>
              </w:rPr>
            </w:r>
          </w:p>
        </w:tc>
      </w:tr>
      <w:tr>
        <w:tblPrEx/>
        <w:trPr>
          <w:trHeight w:val="276"/>
        </w:trPr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704" w:type="dxa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 w:afterAutospacing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3441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  <w:highlight w:val="white"/>
              </w:rPr>
              <w:t xml:space="preserve">Обработка персональных данных</w:t>
            </w:r>
            <w:r>
              <w:rPr>
                <w:rFonts w:cs="Arial"/>
                <w:sz w:val="20"/>
              </w:rPr>
            </w:r>
          </w:p>
        </w:tc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5536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</w:t>
            </w:r>
            <w:r>
              <w:rPr>
                <w:rFonts w:cs="Arial"/>
                <w:sz w:val="20"/>
                <w:szCs w:val="20"/>
              </w:rPr>
              <w:t xml:space="preserve">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      </w:r>
            <w:r>
              <w:rPr>
                <w:rFonts w:cs="Arial"/>
                <w:sz w:val="20"/>
              </w:rPr>
            </w:r>
          </w:p>
        </w:tc>
      </w:tr>
      <w:tr>
        <w:tblPrEx/>
        <w:trPr>
          <w:trHeight w:val="276"/>
        </w:trPr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704" w:type="dxa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 w:afterAutospacing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3441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  <w:highlight w:val="white"/>
              </w:rPr>
              <w:t xml:space="preserve">Оператор</w:t>
            </w:r>
            <w:r>
              <w:rPr>
                <w:rFonts w:cs="Arial"/>
                <w:sz w:val="20"/>
                <w:szCs w:val="20"/>
              </w:rPr>
              <w:t xml:space="preserve"> персональных данных</w:t>
            </w:r>
            <w:r>
              <w:rPr>
                <w:rFonts w:cs="Arial"/>
                <w:sz w:val="20"/>
              </w:rPr>
            </w:r>
          </w:p>
        </w:tc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5536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Юридическое лицо (ПАО «Газпром Нефть», или ДО), самостоятельно или со</w:t>
            </w:r>
            <w:r>
              <w:rPr>
                <w:rFonts w:cs="Arial"/>
                <w:sz w:val="20"/>
                <w:szCs w:val="20"/>
              </w:rPr>
              <w:t xml:space="preserve">вместно с другими лицами организующие и (или)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данными.</w:t>
            </w:r>
            <w:r>
              <w:rPr>
                <w:rFonts w:cs="Arial"/>
                <w:sz w:val="20"/>
              </w:rPr>
            </w:r>
          </w:p>
        </w:tc>
      </w:tr>
      <w:tr>
        <w:tblPrEx/>
        <w:trPr>
          <w:trHeight w:val="276"/>
        </w:trPr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704" w:type="dxa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 w:afterAutospacing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3441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Персональные данные (</w:t>
            </w:r>
            <w:r>
              <w:rPr>
                <w:rFonts w:cs="Arial"/>
                <w:sz w:val="20"/>
                <w:szCs w:val="20"/>
              </w:rPr>
              <w:t xml:space="preserve">ПДн</w:t>
            </w:r>
            <w:r>
              <w:rPr>
                <w:rFonts w:cs="Arial"/>
                <w:sz w:val="20"/>
                <w:szCs w:val="20"/>
              </w:rPr>
              <w:t xml:space="preserve">)</w:t>
            </w:r>
            <w:r>
              <w:rPr>
                <w:rFonts w:cs="Arial"/>
                <w:sz w:val="20"/>
                <w:szCs w:val="20"/>
              </w:rPr>
              <w:tab/>
            </w:r>
            <w:r>
              <w:rPr>
                <w:rFonts w:cs="Arial"/>
                <w:sz w:val="20"/>
              </w:rPr>
            </w:r>
          </w:p>
        </w:tc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5536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Любая информация, относящаяся к прямо или косвенно определенному или определяемому физическому лицу (субъекту персональных данных).</w:t>
            </w:r>
            <w:r>
              <w:rPr>
                <w:rFonts w:cs="Arial"/>
                <w:sz w:val="20"/>
              </w:rPr>
            </w:r>
          </w:p>
        </w:tc>
      </w:tr>
      <w:tr>
        <w:tblPrEx/>
        <w:trPr>
          <w:trHeight w:val="276"/>
        </w:trPr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704" w:type="dxa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 w:afterAutospacing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3441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Предпосылка</w:t>
            </w:r>
            <w:r>
              <w:rPr>
                <w:rFonts w:cs="Arial"/>
                <w:sz w:val="20"/>
              </w:rPr>
            </w:r>
          </w:p>
        </w:tc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5536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Описание проблемы или возможности, которая в текущих условиях влияет на достижение стратегических целей и формирует необходимость инициировать проект.</w:t>
            </w:r>
            <w:r>
              <w:rPr>
                <w:rFonts w:cs="Arial"/>
                <w:sz w:val="20"/>
              </w:rPr>
            </w:r>
          </w:p>
        </w:tc>
      </w:tr>
      <w:tr>
        <w:tblPrEx/>
        <w:trPr>
          <w:trHeight w:val="276"/>
        </w:trPr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704" w:type="dxa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 w:afterAutospacing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3441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Процесс взаимодействия бизнеса с ИТ-решением</w:t>
            </w:r>
            <w:r>
              <w:rPr>
                <w:rFonts w:cs="Arial"/>
                <w:sz w:val="20"/>
              </w:rPr>
            </w:r>
          </w:p>
        </w:tc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5536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</w:rPr>
            </w:pPr>
            <w:r/>
            <w:bookmarkStart w:id="0" w:name="undefined"/>
            <w:r>
              <w:rPr>
                <w:rFonts w:cs="Arial"/>
                <w:sz w:val="20"/>
                <w:szCs w:val="20"/>
              </w:rPr>
              <w:t xml:space="preserve">Детализированный сценарий работы пользователей с ИТ-решением, описывающий контекст работы ИТ-решения и включающий различ</w:t>
            </w:r>
            <w:r>
              <w:rPr>
                <w:rFonts w:cs="Arial"/>
                <w:sz w:val="20"/>
                <w:szCs w:val="20"/>
              </w:rPr>
              <w:t xml:space="preserve">ные типы операций (пользовательская, ручная, системная); может использоваться для описания кросс-функционального процесса на уровне операций, детализации операций бизнес-процесса, описания взаимодействия пользователей при обмене данными между ИТ-системами.</w:t>
            </w:r>
            <w:bookmarkEnd w:id="0"/>
            <w:r/>
            <w:r>
              <w:rPr>
                <w:rFonts w:cs="Arial"/>
                <w:sz w:val="20"/>
              </w:rPr>
            </w:r>
          </w:p>
        </w:tc>
      </w:tr>
      <w:tr>
        <w:tblPrEx/>
        <w:trPr>
          <w:trHeight w:val="276"/>
        </w:trPr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704" w:type="dxa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 w:afterAutospacing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3441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Система защиты персональных данных (</w:t>
            </w:r>
            <w:r>
              <w:rPr>
                <w:rFonts w:cs="Arial"/>
                <w:sz w:val="20"/>
                <w:szCs w:val="20"/>
              </w:rPr>
              <w:t xml:space="preserve">СЗПДн</w:t>
            </w:r>
            <w:r>
              <w:rPr>
                <w:rFonts w:cs="Arial"/>
                <w:sz w:val="20"/>
                <w:szCs w:val="20"/>
              </w:rPr>
              <w:t xml:space="preserve">)</w:t>
            </w:r>
            <w:r>
              <w:rPr>
                <w:rFonts w:cs="Arial"/>
                <w:sz w:val="20"/>
                <w:szCs w:val="20"/>
              </w:rPr>
              <w:tab/>
            </w:r>
            <w:r>
              <w:rPr>
                <w:rFonts w:cs="Arial"/>
                <w:sz w:val="20"/>
              </w:rPr>
            </w:r>
          </w:p>
        </w:tc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5536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Организационные и (или) технические меры, определенные с учетом актуальных угроз безопасности персональных данных и информационных технологий, используемых в информационных системах</w:t>
            </w:r>
            <w:r>
              <w:rPr>
                <w:rFonts w:cs="Arial"/>
                <w:sz w:val="20"/>
              </w:rPr>
            </w:r>
          </w:p>
        </w:tc>
      </w:tr>
      <w:tr>
        <w:tblPrEx/>
        <w:trPr>
          <w:trHeight w:val="276"/>
        </w:trPr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704" w:type="dxa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 w:afterAutospacing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3441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Сквозной процесс</w:t>
            </w:r>
            <w:r>
              <w:rPr>
                <w:rFonts w:cs="Arial"/>
                <w:sz w:val="20"/>
              </w:rPr>
            </w:r>
          </w:p>
        </w:tc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5536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Совокупность взаимосвязанных бизнес-процессов, подлежащих изменениям в рамках проекта ИТ и ЦТ, а </w:t>
            </w:r>
            <w:r>
              <w:rPr>
                <w:rFonts w:cs="Arial"/>
                <w:sz w:val="20"/>
                <w:szCs w:val="20"/>
              </w:rPr>
              <w:t xml:space="preserve">также смежных, по отношению к изменяемым, бизнес-процессам</w:t>
            </w:r>
            <w:r>
              <w:rPr>
                <w:rFonts w:cs="Arial"/>
                <w:sz w:val="20"/>
                <w:szCs w:val="20"/>
              </w:rPr>
              <w:t xml:space="preserve">.</w:t>
            </w:r>
            <w:r>
              <w:rPr>
                <w:rFonts w:cs="Arial"/>
                <w:sz w:val="20"/>
              </w:rPr>
            </w:r>
          </w:p>
        </w:tc>
      </w:tr>
      <w:tr>
        <w:tblPrEx/>
        <w:trPr>
          <w:trHeight w:val="276"/>
        </w:trPr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704" w:type="dxa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 w:afterAutospacing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3441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  <w:highlight w:val="white"/>
              </w:rPr>
              <w:t xml:space="preserve">Трансграничная передача персональных данных</w:t>
            </w:r>
            <w:r>
              <w:rPr>
                <w:rFonts w:cs="Arial"/>
                <w:sz w:val="20"/>
              </w:rPr>
            </w:r>
          </w:p>
        </w:tc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5536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Передача персональных данных на территорию иностранного государства органу власти иностранного государства, иностранному физическому лицу или иностранному юридическому лицу.</w:t>
            </w:r>
            <w:r>
              <w:rPr>
                <w:rFonts w:cs="Arial"/>
                <w:sz w:val="20"/>
              </w:rPr>
            </w:r>
          </w:p>
        </w:tc>
      </w:tr>
      <w:tr>
        <w:tblPrEx/>
        <w:trPr>
          <w:trHeight w:val="276"/>
        </w:trPr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704" w:type="dxa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 w:afterAutospacing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3441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  <w:highlight w:val="white"/>
              </w:rPr>
            </w:pPr>
            <w:r>
              <w:rPr>
                <w:rFonts w:cs="Arial"/>
                <w:sz w:val="20"/>
                <w:szCs w:val="20"/>
                <w:highlight w:val="white"/>
              </w:rPr>
              <w:t xml:space="preserve">Транзакция </w:t>
            </w:r>
            <w:r>
              <w:rPr>
                <w:rFonts w:cs="Arial"/>
                <w:sz w:val="20"/>
                <w:highlight w:val="white"/>
              </w:rPr>
            </w:r>
          </w:p>
        </w:tc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5536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Группа последовательных операций с базой данных, которая представляет собой логическую единицу работы с данными.</w:t>
            </w:r>
            <w:r>
              <w:rPr>
                <w:rFonts w:cs="Arial"/>
                <w:sz w:val="20"/>
              </w:rPr>
            </w:r>
          </w:p>
        </w:tc>
      </w:tr>
      <w:tr>
        <w:tblPrEx/>
        <w:trPr>
          <w:trHeight w:val="276"/>
        </w:trPr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704" w:type="dxa"/>
            <w:vMerge w:val="restart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 w:afterAutospacing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bottom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441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  <w:highlight w:val="white"/>
              </w:rPr>
            </w:pPr>
            <w:r>
              <w:rPr>
                <w:rFonts w:cs="Arial"/>
                <w:sz w:val="20"/>
                <w:szCs w:val="20"/>
                <w:highlight w:val="white"/>
              </w:rPr>
              <w:t xml:space="preserve">Требование</w:t>
            </w:r>
            <w:r>
              <w:rPr>
                <w:rFonts w:cs="Arial"/>
                <w:sz w:val="20"/>
                <w:highlight w:val="white"/>
              </w:rPr>
            </w:r>
          </w:p>
        </w:tc>
        <w:tc>
          <w:tcPr>
            <w:tcBorders>
              <w:bottom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536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Документально зафиксированное описание потребности в рамках определенного контекста, определяющее, какие условия и критерии должны быть выполнены для достижения поставленных целей и получения определенных результатов.</w:t>
            </w:r>
            <w:r>
              <w:rPr>
                <w:rFonts w:cs="Arial"/>
                <w:sz w:val="20"/>
              </w:rPr>
            </w:r>
          </w:p>
        </w:tc>
      </w:tr>
      <w:tr>
        <w:tblPrEx/>
        <w:trPr>
          <w:trHeight w:val="276"/>
        </w:trPr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704" w:type="dxa"/>
            <w:vMerge w:val="continue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441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  <w:highlight w:val="white"/>
              </w:rPr>
            </w:pPr>
            <w:r>
              <w:rPr>
                <w:rFonts w:cs="Arial"/>
                <w:sz w:val="20"/>
                <w:szCs w:val="20"/>
                <w:highlight w:val="white"/>
              </w:rPr>
              <w:t xml:space="preserve">Вышестоящее требование</w:t>
            </w:r>
            <w:r>
              <w:rPr>
                <w:rFonts w:cs="Arial"/>
                <w:sz w:val="20"/>
                <w:highlight w:val="white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536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Требование, которое является источником рассматриваемого требования.</w:t>
            </w:r>
            <w:r>
              <w:rPr>
                <w:rFonts w:cs="Arial"/>
                <w:sz w:val="20"/>
              </w:rPr>
            </w:r>
          </w:p>
        </w:tc>
      </w:tr>
      <w:tr>
        <w:tblPrEx/>
        <w:trPr>
          <w:trHeight w:val="276"/>
        </w:trPr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704" w:type="dxa"/>
            <w:vMerge w:val="continue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441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  <w:highlight w:val="white"/>
              </w:rPr>
            </w:pPr>
            <w:r>
              <w:rPr>
                <w:rFonts w:cs="Arial"/>
                <w:sz w:val="20"/>
                <w:szCs w:val="20"/>
                <w:highlight w:val="white"/>
              </w:rPr>
              <w:t xml:space="preserve">Связанные требования</w:t>
            </w:r>
            <w:r>
              <w:rPr>
                <w:rFonts w:cs="Arial"/>
                <w:sz w:val="20"/>
                <w:highlight w:val="white"/>
              </w:rPr>
            </w:r>
          </w:p>
        </w:tc>
        <w:tc>
          <w:tcPr>
            <w:tcBorders>
              <w:top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536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Два или более требования, между которыми существует взаимная зависимость или влияние. Реализация или изменение одного из таких требований напрямую затрагивает, ограничивает или обуславливает реализацию другого.</w:t>
            </w:r>
            <w:r>
              <w:rPr>
                <w:rFonts w:cs="Arial"/>
                <w:sz w:val="20"/>
              </w:rPr>
            </w:r>
          </w:p>
        </w:tc>
      </w:tr>
      <w:tr>
        <w:tblPrEx/>
        <w:trPr>
          <w:trHeight w:val="276"/>
        </w:trPr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704" w:type="dxa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 w:afterAutospacing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3441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  <w:highlight w:val="white"/>
              </w:rPr>
            </w:pPr>
            <w:r>
              <w:rPr>
                <w:rFonts w:cs="Arial"/>
                <w:sz w:val="20"/>
                <w:szCs w:val="20"/>
                <w:highlight w:val="white"/>
              </w:rPr>
              <w:t xml:space="preserve">Требование к информационному обмену</w:t>
            </w:r>
            <w:r>
              <w:rPr>
                <w:rFonts w:cs="Arial"/>
                <w:sz w:val="20"/>
                <w:highlight w:val="white"/>
              </w:rPr>
            </w:r>
          </w:p>
        </w:tc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5536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Требование к передаче данных от источника к потребителю или удаленному вызову функций одной ИТ-системы из другой.</w:t>
            </w:r>
            <w:r>
              <w:rPr>
                <w:rFonts w:cs="Arial"/>
                <w:sz w:val="20"/>
              </w:rPr>
            </w:r>
          </w:p>
        </w:tc>
      </w:tr>
      <w:tr>
        <w:tblPrEx/>
        <w:trPr>
          <w:trHeight w:val="276"/>
        </w:trPr>
        <w:tc>
          <w:tcPr>
            <w:tcBorders>
              <w:bottom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704" w:type="dxa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 w:afterAutospacing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>
              <w:bottom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3441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  <w:highlight w:val="white"/>
              </w:rPr>
            </w:pPr>
            <w:r>
              <w:rPr>
                <w:rFonts w:cs="Arial"/>
                <w:sz w:val="20"/>
                <w:szCs w:val="20"/>
                <w:highlight w:val="white"/>
              </w:rPr>
              <w:t xml:space="preserve">Требование заинтересованной стороны</w:t>
            </w:r>
            <w:r>
              <w:rPr>
                <w:rFonts w:cs="Arial"/>
                <w:sz w:val="20"/>
                <w:highlight w:val="white"/>
              </w:rPr>
            </w:r>
          </w:p>
        </w:tc>
        <w:tc>
          <w:tcPr>
            <w:tcBorders>
              <w:bottom w:val="single" w:color="000000" w:sz="4" w:space="0"/>
            </w:tcBorders>
            <w:tcMar>
              <w:left w:w="150" w:type="dxa"/>
              <w:top w:w="105" w:type="dxa"/>
              <w:right w:w="150" w:type="dxa"/>
              <w:bottom w:w="105" w:type="dxa"/>
            </w:tcMar>
            <w:tcW w:w="5536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Документально зафиксированное описание потребности или ожидания заинтересованных сторон, определяющее, что каждая заинтересованная сторона хочет получить от ИТ-решения.</w:t>
            </w:r>
            <w:r>
              <w:rPr>
                <w:rFonts w:cs="Arial"/>
                <w:sz w:val="20"/>
              </w:rPr>
            </w:r>
          </w:p>
        </w:tc>
      </w:tr>
      <w:tr>
        <w:tblPrEx/>
        <w:trPr>
          <w:trHeight w:val="276"/>
        </w:trPr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704" w:type="dxa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 w:afterAutospacing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3441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  <w:highlight w:val="white"/>
              </w:rPr>
            </w:pPr>
            <w:r>
              <w:rPr>
                <w:rFonts w:cs="Arial"/>
                <w:sz w:val="20"/>
                <w:szCs w:val="20"/>
                <w:highlight w:val="white"/>
              </w:rPr>
              <w:t xml:space="preserve">Функциональное требование</w:t>
            </w:r>
            <w:r>
              <w:rPr>
                <w:rFonts w:cs="Arial"/>
                <w:sz w:val="20"/>
                <w:highlight w:val="white"/>
              </w:rPr>
            </w:r>
          </w:p>
        </w:tc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5536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  <w:szCs w:val="20"/>
              </w:rPr>
              <w:t xml:space="preserve">Т</w:t>
            </w:r>
            <w:r>
              <w:rPr>
                <w:rFonts w:cs="Arial"/>
                <w:sz w:val="20"/>
                <w:szCs w:val="20"/>
              </w:rPr>
              <w:t xml:space="preserve">ребование к поведению ИТ-решения, которое детализирует реализацию Бизнес-</w:t>
            </w:r>
            <w:r>
              <w:rPr>
                <w:rFonts w:cs="Arial"/>
                <w:sz w:val="20"/>
                <w:szCs w:val="20"/>
              </w:rPr>
              <w:t xml:space="preserve">функциональности</w:t>
            </w:r>
            <w:r>
              <w:rPr>
                <w:rFonts w:cs="Arial"/>
                <w:sz w:val="20"/>
                <w:szCs w:val="20"/>
                <w:highlight w:val="white"/>
              </w:rPr>
              <w:t xml:space="preserve">.</w:t>
            </w:r>
            <w:r>
              <w:rPr>
                <w:rFonts w:cs="Arial"/>
                <w:sz w:val="20"/>
              </w:rPr>
            </w:r>
          </w:p>
        </w:tc>
      </w:tr>
      <w:tr>
        <w:tblPrEx/>
        <w:trPr>
          <w:trHeight w:val="276"/>
        </w:trPr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704" w:type="dxa"/>
            <w:textDirection w:val="lrTb"/>
            <w:noWrap w:val="false"/>
          </w:tcPr>
          <w:p>
            <w:pPr>
              <w:pStyle w:val="1208"/>
              <w:numPr>
                <w:ilvl w:val="0"/>
                <w:numId w:val="1"/>
              </w:numPr>
              <w:contextualSpacing w:val="0"/>
              <w:jc w:val="center"/>
              <w:keepNext/>
              <w:spacing w:after="0" w:afterAutospacing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3441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  <w:highlight w:val="white"/>
              </w:rPr>
            </w:pPr>
            <w:r>
              <w:rPr>
                <w:rFonts w:cs="Arial"/>
                <w:sz w:val="20"/>
                <w:szCs w:val="20"/>
                <w:highlight w:val="white"/>
              </w:rPr>
              <w:t xml:space="preserve">Цель проекта</w:t>
            </w:r>
            <w:r>
              <w:rPr>
                <w:rFonts w:cs="Arial"/>
                <w:sz w:val="20"/>
                <w:highlight w:val="white"/>
              </w:rPr>
            </w:r>
          </w:p>
        </w:tc>
        <w:tc>
          <w:tcPr>
            <w:tcMar>
              <w:left w:w="150" w:type="dxa"/>
              <w:top w:w="105" w:type="dxa"/>
              <w:right w:w="150" w:type="dxa"/>
              <w:bottom w:w="105" w:type="dxa"/>
            </w:tcMar>
            <w:tcW w:w="5536" w:type="dxa"/>
            <w:textDirection w:val="lrTb"/>
            <w:noWrap w:val="false"/>
          </w:tcPr>
          <w:p>
            <w:pPr>
              <w:spacing w:after="0" w:afterAutospacing="0" w:line="240" w:lineRule="auto"/>
              <w:rPr>
                <w:rFonts w:cs="Arial"/>
                <w:sz w:val="20"/>
                <w:highlight w:val="white"/>
              </w:rPr>
            </w:pPr>
            <w:r>
              <w:rPr>
                <w:rFonts w:cs="Arial"/>
                <w:sz w:val="20"/>
                <w:szCs w:val="20"/>
                <w:highlight w:val="white"/>
              </w:rPr>
              <w:t xml:space="preserve">Конечное состояние или улучшение, которого компания хочет достичь в рамках проекта, обеспечивающее решение проблемы или использование возможности, определенной в предпосылках.</w:t>
            </w:r>
            <w:r>
              <w:rPr>
                <w:rFonts w:cs="Arial"/>
                <w:sz w:val="20"/>
                <w:highlight w:val="white"/>
              </w:rPr>
            </w:r>
          </w:p>
        </w:tc>
      </w:tr>
    </w:tbl>
    <w:p>
      <w:pPr>
        <w:spacing w:after="119" w:afterAutospacing="0" w:line="240" w:lineRule="auto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cs="Arial"/>
          <w:sz w:val="22"/>
          <w:szCs w:val="22"/>
          <w:highlight w:val="none"/>
        </w:rPr>
        <w:br w:type="page" w:clear="all"/>
      </w:r>
      <w:r>
        <w:rPr>
          <w:rFonts w:ascii="Arial" w:hAnsi="Arial" w:cs="Arial"/>
          <w:sz w:val="22"/>
          <w:szCs w:val="22"/>
          <w:highlight w:val="none"/>
        </w:rPr>
      </w:r>
    </w:p>
    <w:p>
      <w:pPr>
        <w:pStyle w:val="1211"/>
        <w:jc w:val="center"/>
        <w:spacing w:before="240" w:after="119" w:afterAutospacing="0" w:line="240" w:lineRule="auto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Общие положения и правила заполнения настоящего документа:</w:t>
      </w:r>
      <w:r>
        <w:rPr>
          <w:rFonts w:cs="Arial"/>
          <w:b/>
          <w:bCs/>
          <w:sz w:val="22"/>
          <w:szCs w:val="22"/>
        </w:rPr>
      </w:r>
    </w:p>
    <w:p>
      <w:pPr>
        <w:pStyle w:val="1211"/>
        <w:numPr>
          <w:ilvl w:val="0"/>
          <w:numId w:val="2"/>
        </w:numPr>
        <w:ind w:left="284" w:firstLine="0"/>
        <w:spacing w:before="0" w:after="119" w:afterAutospacing="0" w:line="240" w:lineRule="auto"/>
        <w:rPr>
          <w:rFonts w:cs="Arial"/>
          <w:sz w:val="22"/>
          <w:szCs w:val="18"/>
        </w:rPr>
      </w:pPr>
      <w:r>
        <w:rPr>
          <w:rFonts w:cs="Arial"/>
          <w:sz w:val="22"/>
          <w:szCs w:val="22"/>
        </w:rPr>
        <w:t xml:space="preserve">Все разделы и подразделы настоящего документа обязательны для заполнения в проектах ИТ и ЦТ «Новое ИТ-решение». В исключительных случаях, когда в проекте </w:t>
      </w:r>
      <w:r>
        <w:rPr>
          <w:rFonts w:cs="Arial"/>
          <w:sz w:val="22"/>
          <w:szCs w:val="22"/>
          <w:u w:val="single"/>
        </w:rPr>
        <w:t xml:space="preserve">не предполагается заполнение отдельного подраздела, в том числе такого</w:t>
      </w:r>
      <w:r>
        <w:rPr>
          <w:rFonts w:cs="Arial"/>
          <w:sz w:val="22"/>
          <w:szCs w:val="22"/>
        </w:rPr>
        <w:t xml:space="preserve">, в описании которого указано, что его заполнение опционально, то его наименование сохраняется, содержимое удаляется, </w:t>
      </w:r>
      <w:r>
        <w:rPr>
          <w:rFonts w:cs="Arial"/>
          <w:sz w:val="22"/>
          <w:szCs w:val="22"/>
          <w:u w:val="single"/>
        </w:rPr>
        <w:t xml:space="preserve">под наименованием указывается «Не применимо. Причина»</w:t>
      </w:r>
      <w:r>
        <w:rPr>
          <w:rFonts w:cs="Arial"/>
          <w:sz w:val="22"/>
          <w:szCs w:val="22"/>
        </w:rPr>
        <w:t xml:space="preserve">.</w:t>
      </w:r>
      <w:r>
        <w:rPr>
          <w:rFonts w:cs="Arial"/>
          <w:sz w:val="22"/>
          <w:szCs w:val="22"/>
          <w:shd w:val="clear" w:color="auto" w:fill="ffffff"/>
          <w:lang w:eastAsia="ru-RU"/>
        </w:rPr>
        <w:t xml:space="preserve"> </w:t>
      </w:r>
      <w:r>
        <w:rPr>
          <w:rFonts w:cs="Arial"/>
          <w:sz w:val="22"/>
          <w:szCs w:val="22"/>
        </w:rPr>
        <w:t xml:space="preserve">Если не прорабатываются все подразделы в разделе, то в каждом из них указывается «Не применимо. Причина», при этом заголовки разделов и/или подразделов не у</w:t>
      </w:r>
      <w:r>
        <w:rPr>
          <w:rFonts w:cs="Arial"/>
          <w:sz w:val="22"/>
          <w:szCs w:val="22"/>
        </w:rPr>
        <w:t xml:space="preserve">даляются. Допускается добавление таблиц в подразделы или столбцов в существующие таблицы, если это необходимо для целей проекта. Данное решение принимается Руководителем проекта и согласовывается с Бизнес-аналитиком, Архитектором решения и Специалистом ИБ.</w:t>
      </w:r>
      <w:r>
        <w:rPr>
          <w:rFonts w:cs="Arial"/>
          <w:sz w:val="22"/>
          <w:szCs w:val="18"/>
        </w:rPr>
      </w:r>
    </w:p>
    <w:p>
      <w:pPr>
        <w:pStyle w:val="1211"/>
        <w:ind w:left="284"/>
        <w:spacing w:before="0" w:after="119" w:afterAutospacing="0" w:line="240" w:lineRule="auto"/>
        <w:rPr>
          <w:rFonts w:cs="Arial"/>
          <w:sz w:val="22"/>
          <w:szCs w:val="18"/>
        </w:rPr>
      </w:pPr>
      <w:r>
        <w:rPr>
          <w:rFonts w:cs="Arial"/>
          <w:sz w:val="22"/>
          <w:szCs w:val="22"/>
        </w:rPr>
        <w:t xml:space="preserve">Также допускается опциональное заполнение отдельных строк, столбцов или полей таблиц, приведенных в настоящем документе с указанием в такой строке / столбце / поле фразы: «Не применимо. Причина». </w:t>
      </w:r>
      <w:r>
        <w:rPr>
          <w:rFonts w:cs="Arial"/>
          <w:sz w:val="22"/>
          <w:szCs w:val="18"/>
        </w:rPr>
      </w:r>
    </w:p>
    <w:p>
      <w:pPr>
        <w:pStyle w:val="1211"/>
        <w:numPr>
          <w:ilvl w:val="1"/>
          <w:numId w:val="2"/>
        </w:numPr>
        <w:ind w:left="426" w:firstLine="0"/>
        <w:spacing w:before="0" w:after="119" w:afterAutospacing="0" w:line="240" w:lineRule="auto"/>
        <w:tabs>
          <w:tab w:val="left" w:pos="851" w:leader="none"/>
        </w:tabs>
        <w:rPr>
          <w:rFonts w:cs="Arial"/>
          <w:sz w:val="22"/>
          <w:szCs w:val="18"/>
        </w:rPr>
      </w:pPr>
      <w:r>
        <w:rPr>
          <w:rFonts w:cs="Arial"/>
          <w:sz w:val="22"/>
          <w:szCs w:val="22"/>
        </w:rPr>
        <w:t xml:space="preserve">При разработке настоящего документа на последующих этапах жизненного цикла ИТ-решения (приводятся в Таблице 1) прорабатываются только те разделы и подразделы настоящего документа, в которых допо</w:t>
      </w:r>
      <w:r>
        <w:rPr>
          <w:rFonts w:cs="Arial"/>
          <w:sz w:val="22"/>
          <w:szCs w:val="22"/>
        </w:rPr>
        <w:t xml:space="preserve">лняются и/или изменяются и/или затрагиваются сущности (предпосылки, цели, объемы, диаграммы, требования и пр.), описанные в таком разделе (например, при изменении только нефункциональных характеристик, раздел «Функциональные требования» не прорабатывается)</w:t>
      </w:r>
      <w:r>
        <w:rPr>
          <w:rFonts w:cs="Arial"/>
          <w:sz w:val="22"/>
          <w:szCs w:val="18"/>
        </w:rPr>
      </w:r>
    </w:p>
    <w:p>
      <w:pPr>
        <w:pStyle w:val="1211"/>
        <w:numPr>
          <w:ilvl w:val="0"/>
          <w:numId w:val="2"/>
        </w:numPr>
        <w:ind w:left="284" w:firstLine="0"/>
        <w:spacing w:before="0" w:after="119" w:afterAutospacing="0" w:line="240" w:lineRule="auto"/>
        <w:rPr>
          <w:rFonts w:cs="Arial"/>
          <w:sz w:val="22"/>
          <w:szCs w:val="18"/>
        </w:rPr>
      </w:pPr>
      <w:r>
        <w:rPr>
          <w:rFonts w:cs="Arial"/>
          <w:sz w:val="22"/>
          <w:szCs w:val="22"/>
        </w:rPr>
        <w:t xml:space="preserve">В документе введены теги: [Оценка], [Выбор], [Определение] – это означает, что содержимое раздела заполняется (в т.ч актуализируется и/или детализируется) на указанном этапе реализации проекта ИТ и ЦТ.</w:t>
      </w:r>
      <w:r>
        <w:rPr>
          <w:rFonts w:cs="Arial"/>
          <w:sz w:val="22"/>
          <w:szCs w:val="18"/>
        </w:rPr>
      </w:r>
    </w:p>
    <w:p>
      <w:pPr>
        <w:pStyle w:val="1211"/>
        <w:numPr>
          <w:ilvl w:val="0"/>
          <w:numId w:val="2"/>
        </w:numPr>
        <w:ind w:left="284" w:firstLine="0"/>
        <w:spacing w:before="0" w:after="119" w:afterAutospacing="0" w:line="240" w:lineRule="auto"/>
        <w:rPr>
          <w:rFonts w:cs="Arial"/>
          <w:sz w:val="22"/>
          <w:szCs w:val="18"/>
        </w:rPr>
      </w:pPr>
      <w:r>
        <w:rPr>
          <w:rFonts w:cs="Arial"/>
          <w:sz w:val="22"/>
          <w:szCs w:val="22"/>
        </w:rPr>
        <w:t xml:space="preserve">Текст шаблона, приведенный курсивом и в угловых скобках, должен быть замещен соответствующим текстом подготавливаемого документа или удален. Текст шаблона, приведенный в квадратных скобках в наименовании разделов, должен быть удален.</w:t>
      </w:r>
      <w:r>
        <w:rPr>
          <w:rFonts w:cs="Arial"/>
          <w:sz w:val="22"/>
          <w:szCs w:val="18"/>
        </w:rPr>
      </w:r>
    </w:p>
    <w:p>
      <w:pPr>
        <w:pStyle w:val="1211"/>
        <w:numPr>
          <w:ilvl w:val="0"/>
          <w:numId w:val="2"/>
        </w:numPr>
        <w:ind w:left="284" w:firstLine="0"/>
        <w:spacing w:before="0" w:after="119" w:afterAutospacing="0" w:line="240" w:lineRule="auto"/>
        <w:rPr>
          <w:rFonts w:cs="Arial"/>
          <w:sz w:val="22"/>
          <w:szCs w:val="18"/>
        </w:rPr>
      </w:pPr>
      <w:r>
        <w:rPr>
          <w:rFonts w:cs="Arial"/>
          <w:sz w:val="22"/>
          <w:szCs w:val="22"/>
        </w:rPr>
        <w:t xml:space="preserve">Правила формулирования предпосылок и целей проекта, требований всех типов, за выявление которых отвечает Бизнес-аналитик, указаны в документе М-15.10.02-01.</w:t>
      </w:r>
      <w:r>
        <w:rPr>
          <w:rFonts w:cs="Arial"/>
          <w:sz w:val="22"/>
          <w:szCs w:val="18"/>
        </w:rPr>
      </w:r>
    </w:p>
    <w:p>
      <w:pPr>
        <w:pStyle w:val="1211"/>
        <w:numPr>
          <w:ilvl w:val="0"/>
          <w:numId w:val="2"/>
        </w:numPr>
        <w:ind w:left="284" w:firstLine="0"/>
        <w:spacing w:before="0" w:after="119" w:afterAutospacing="0" w:line="240" w:lineRule="auto"/>
        <w:rPr>
          <w:rFonts w:cs="Arial"/>
          <w:sz w:val="22"/>
          <w:szCs w:val="18"/>
        </w:rPr>
      </w:pPr>
      <w:r>
        <w:rPr>
          <w:rFonts w:cs="Arial"/>
          <w:sz w:val="22"/>
          <w:szCs w:val="22"/>
        </w:rPr>
        <w:t xml:space="preserve">Когда настоящий ЕДТ и</w:t>
      </w:r>
      <w:r>
        <w:rPr>
          <w:rFonts w:cs="Arial"/>
          <w:sz w:val="22"/>
          <w:szCs w:val="22"/>
        </w:rPr>
        <w:t xml:space="preserve">спользуется для коммуникаций со сторонними организациями и лицами (например, с вендорами), необходимо удалить из него персональные данные и данные, подпадающие под требования КТ-040 при условии отсутствия между сторонами заключенных договоров по обработке </w:t>
      </w:r>
      <w:r>
        <w:rPr>
          <w:rFonts w:cs="Arial"/>
          <w:sz w:val="22"/>
          <w:szCs w:val="22"/>
        </w:rPr>
        <w:t xml:space="preserve">ПДн</w:t>
      </w:r>
      <w:r>
        <w:rPr>
          <w:rFonts w:cs="Arial"/>
          <w:sz w:val="22"/>
          <w:szCs w:val="22"/>
        </w:rPr>
        <w:t xml:space="preserve"> и/или соглашения о конфиденциальности. Бизнес-аналитик ответственный за удаление такой информации, контролирует и передает документ для дальнейших коммуникаций Руководитель проекта.</w:t>
      </w:r>
      <w:r>
        <w:rPr>
          <w:rFonts w:cs="Arial"/>
          <w:sz w:val="22"/>
          <w:szCs w:val="18"/>
        </w:rPr>
      </w:r>
    </w:p>
    <w:p>
      <w:pPr>
        <w:spacing w:after="119" w:afterAutospacing="0" w:line="240" w:lineRule="auto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</w:r>
    </w:p>
    <w:p>
      <w:pPr>
        <w:spacing w:after="119" w:afterAutospacing="0" w:line="240" w:lineRule="auto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</w:r>
    </w:p>
    <w:p>
      <w:pPr>
        <w:spacing w:after="119" w:afterAutospacing="0" w:line="240" w:lineRule="auto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</w:r>
    </w:p>
    <w:p>
      <w:pPr>
        <w:spacing w:after="119" w:afterAutospacing="0" w:line="240" w:lineRule="auto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</w:r>
    </w:p>
    <w:p>
      <w:pPr>
        <w:spacing w:after="119" w:afterAutospacing="0" w:line="240" w:lineRule="auto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</w:r>
    </w:p>
    <w:p>
      <w:pPr>
        <w:spacing w:after="119" w:afterAutospacing="0" w:line="240" w:lineRule="auto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</w:r>
    </w:p>
    <w:p>
      <w:pPr>
        <w:spacing w:after="119" w:afterAutospacing="0" w:line="240" w:lineRule="auto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</w:r>
    </w:p>
    <w:p>
      <w:pPr>
        <w:spacing w:after="119" w:afterAutospacing="0" w:line="240" w:lineRule="auto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</w:r>
    </w:p>
    <w:p>
      <w:pPr>
        <w:spacing w:after="119" w:afterAutospacing="0" w:line="240" w:lineRule="auto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</w:r>
    </w:p>
    <w:p>
      <w:pPr>
        <w:spacing w:after="119" w:afterAutospacing="0" w:line="240" w:lineRule="auto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</w:r>
    </w:p>
    <w:p>
      <w:pPr>
        <w:spacing w:after="119" w:afterAutospacing="0" w:line="240" w:lineRule="auto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</w:r>
    </w:p>
    <w:p>
      <w:pPr>
        <w:spacing w:after="119" w:afterAutospacing="0" w:line="240" w:lineRule="auto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</w:r>
    </w:p>
    <w:sdt>
      <w:sdtPr>
        <w15:appearance w15:val="boundingBox"/>
        <w:id w:val="908346325"/>
        <w:docPartObj>
          <w:docPartGallery w:val="Table of Contents"/>
          <w:docPartUnique w:val="true"/>
        </w:docPartObj>
        <w:rPr/>
      </w:sdtPr>
      <w:sdtContent>
        <w:p>
          <w:pPr>
            <w:pStyle w:val="1211"/>
            <w:spacing w:after="119" w:afterAutospacing="0" w:line="240" w:lineRule="auto"/>
            <w:rPr>
              <w:rFonts w:ascii="Arial" w:hAnsi="Arial" w:cs="Arial" w:eastAsiaTheme="majorEastAsia"/>
              <w:b/>
              <w:bCs/>
              <w:sz w:val="22"/>
              <w:szCs w:val="22"/>
              <w:highlight w:val="none"/>
            </w:rPr>
          </w:pPr>
          <w:r>
            <w:rPr>
              <w:rFonts w:ascii="Arial" w:hAnsi="Arial" w:cs="Arial" w:eastAsiaTheme="majorEastAsia"/>
              <w:b/>
              <w:bCs/>
              <w:sz w:val="22"/>
              <w:szCs w:val="22"/>
            </w:rPr>
            <w:t xml:space="preserve">Содержание</w:t>
          </w:r>
          <w:r>
            <w:rPr>
              <w:rFonts w:ascii="Arial" w:hAnsi="Arial" w:cs="Arial" w:eastAsiaTheme="majorEastAsia"/>
              <w:b/>
              <w:bCs/>
              <w:sz w:val="22"/>
              <w:szCs w:val="22"/>
              <w:highlight w:val="none"/>
            </w:rPr>
          </w:r>
        </w:p>
        <w:p>
          <w:pPr>
            <w:pStyle w:val="1196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>
            <w:rPr>
              <w:rFonts w:ascii="Arial" w:hAnsi="Arial" w:eastAsia="Arial" w:cs="Arial"/>
              <w:sz w:val="22"/>
              <w:szCs w:val="22"/>
            </w:rPr>
            <w:fldChar w:fldCharType="begin"/>
          </w:r>
          <w:r>
            <w:rPr>
              <w:rFonts w:ascii="Arial" w:hAnsi="Arial" w:eastAsia="Arial" w:cs="Arial"/>
              <w:sz w:val="22"/>
              <w:szCs w:val="22"/>
            </w:rPr>
            <w:instrText xml:space="preserve"> TOC \o "1-3" \h \z \u </w:instrText>
          </w:r>
          <w:r>
            <w:rPr>
              <w:rFonts w:ascii="Arial" w:hAnsi="Arial" w:eastAsia="Arial" w:cs="Arial"/>
              <w:sz w:val="22"/>
              <w:szCs w:val="22"/>
            </w:rPr>
            <w:fldChar w:fldCharType="separate"/>
          </w:r>
          <w:hyperlink w:tooltip="#_Toc256000000" w:anchor="_Toc256000000" w:history="1">
            <w:r>
              <w:rPr>
                <w:rStyle w:val="1189"/>
              </w:rPr>
              <w:t xml:space="preserve">Термины и определения</w:t>
            </w:r>
            <w:r>
              <w:tab/>
            </w:r>
            <w:r>
              <w:fldChar w:fldCharType="begin"/>
            </w:r>
            <w:r>
              <w:instrText xml:space="preserve"> PAGEREF _Toc256000000 \h </w:instrText>
            </w:r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6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01" w:anchor="_Toc256000001" w:history="1">
            <w:r>
              <w:rPr>
                <w:rStyle w:val="1189"/>
              </w:rPr>
              <w:t xml:space="preserve">1.   Ключевая информация по ИТ-решению</w:t>
            </w:r>
            <w:r>
              <w:tab/>
            </w:r>
            <w:r>
              <w:fldChar w:fldCharType="begin"/>
            </w:r>
            <w:r>
              <w:instrText xml:space="preserve"> PAGEREF _Toc256000001 \h </w:instrText>
            </w:r>
            <w:r>
              <w:fldChar w:fldCharType="separate"/>
            </w:r>
            <w:r>
              <w:t xml:space="preserve">21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02" w:anchor="_Toc256000002" w:history="1">
            <w:r>
              <w:rPr>
                <w:rStyle w:val="1189"/>
              </w:rPr>
              <w:t xml:space="preserve">1.1  Предпосылки и цели создания / изменения ИТ-решения [Оценка]</w:t>
            </w:r>
            <w:r>
              <w:tab/>
            </w:r>
            <w:r>
              <w:fldChar w:fldCharType="begin"/>
            </w:r>
            <w:r>
              <w:instrText xml:space="preserve"> PAGEREF _Toc256000002 \h </w:instrText>
            </w:r>
            <w:r>
              <w:fldChar w:fldCharType="separate"/>
            </w:r>
            <w:r>
              <w:t xml:space="preserve">21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03" w:anchor="_Toc256000003" w:history="1">
            <w:r>
              <w:rPr>
                <w:rStyle w:val="1189"/>
              </w:rPr>
              <w:t xml:space="preserve">1.2 Процессный объем ИТ-решения</w:t>
            </w:r>
            <w:r>
              <w:tab/>
            </w:r>
            <w:r>
              <w:fldChar w:fldCharType="begin"/>
            </w:r>
            <w:r>
              <w:instrText xml:space="preserve"> PAGEREF _Toc256000003 \h </w:instrText>
            </w:r>
            <w:r>
              <w:fldChar w:fldCharType="separate"/>
            </w:r>
            <w:r>
              <w:t xml:space="preserve">23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8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04" w:anchor="_Toc256000004" w:history="1">
            <w:r>
              <w:rPr>
                <w:rStyle w:val="1189"/>
              </w:rPr>
              <w:t xml:space="preserve">1.2.1   Перечень изменяемых бизнес-процессов [Оценка]</w:t>
            </w:r>
            <w:r>
              <w:tab/>
            </w:r>
            <w:r>
              <w:fldChar w:fldCharType="begin"/>
            </w:r>
            <w:r>
              <w:instrText xml:space="preserve"> PAGEREF _Toc256000004 \h </w:instrText>
            </w:r>
            <w:r>
              <w:fldChar w:fldCharType="separate"/>
            </w:r>
            <w:r>
              <w:t xml:space="preserve">23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8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05" w:anchor="_Toc256000005" w:history="1">
            <w:r>
              <w:rPr>
                <w:rStyle w:val="1189"/>
              </w:rPr>
              <w:t xml:space="preserve">1.2.2           Перечень смежных бизнес-процессов [Оценка]</w:t>
            </w:r>
            <w:r>
              <w:tab/>
            </w:r>
            <w:r>
              <w:fldChar w:fldCharType="begin"/>
            </w:r>
            <w:r>
              <w:instrText xml:space="preserve"> PAGEREF _Toc256000005 \h </w:instrText>
            </w:r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06" w:anchor="_Toc256000006" w:history="1">
            <w:r>
              <w:rPr>
                <w:rStyle w:val="1189"/>
              </w:rPr>
              <w:t xml:space="preserve">1.3  Результаты изменения ИТ-решения в части функционального объема и нефункциональных характеристик</w:t>
            </w:r>
            <w:r>
              <w:tab/>
            </w:r>
            <w:r>
              <w:fldChar w:fldCharType="begin"/>
            </w:r>
            <w:r>
              <w:instrText xml:space="preserve"> PAGEREF _Toc256000006 \h </w:instrText>
            </w:r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8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07" w:anchor="_Toc256000007" w:history="1">
            <w:r>
              <w:rPr>
                <w:rStyle w:val="1189"/>
              </w:rPr>
              <w:t xml:space="preserve">1.3.1   Функциональный объем изменения ИТ-решения [Оценка] [Выбор]</w:t>
            </w:r>
            <w:r>
              <w:tab/>
            </w:r>
            <w:r>
              <w:fldChar w:fldCharType="begin"/>
            </w:r>
            <w:r>
              <w:instrText xml:space="preserve"> PAGEREF _Toc256000007 \h </w:instrText>
            </w:r>
            <w:r>
              <w:fldChar w:fldCharType="separate"/>
            </w:r>
            <w:r>
              <w:t xml:space="preserve">25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8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08" w:anchor="_Toc256000008" w:history="1">
            <w:r>
              <w:rPr>
                <w:rStyle w:val="1189"/>
              </w:rPr>
              <w:t xml:space="preserve">1.3.2   Объем изменения нефункциональных характеристик [Оценка] [Выбор]</w:t>
            </w:r>
            <w:r>
              <w:tab/>
            </w:r>
            <w:r>
              <w:fldChar w:fldCharType="begin"/>
            </w:r>
            <w:r>
              <w:instrText xml:space="preserve"> PAGEREF _Toc256000008 \h </w:instrText>
            </w:r>
            <w:r>
              <w:fldChar w:fldCharType="separate"/>
            </w:r>
            <w:r>
              <w:t xml:space="preserve">26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09" w:anchor="_Toc256000009" w:history="1">
            <w:r>
              <w:rPr>
                <w:rStyle w:val="1189"/>
              </w:rPr>
              <w:t xml:space="preserve">1.4  Организационный объем ИТ-решения [Оценка]</w:t>
            </w:r>
            <w:r>
              <w:tab/>
            </w:r>
            <w:r>
              <w:fldChar w:fldCharType="begin"/>
            </w:r>
            <w:r>
              <w:instrText xml:space="preserve"> PAGEREF _Toc256000009 \h </w:instrText>
            </w:r>
            <w:r>
              <w:fldChar w:fldCharType="separate"/>
            </w:r>
            <w:r>
              <w:t xml:space="preserve">27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10" w:anchor="_Toc256000010" w:history="1">
            <w:r>
              <w:rPr>
                <w:rStyle w:val="1189"/>
              </w:rPr>
              <w:t xml:space="preserve">1.5  Бизнес-эффекты [Оценка] [Выбор]</w:t>
            </w:r>
            <w:r>
              <w:tab/>
            </w:r>
            <w:r>
              <w:fldChar w:fldCharType="begin"/>
            </w:r>
            <w:r>
              <w:instrText xml:space="preserve"> PAGEREF _Toc256000010 \h </w:instrText>
            </w:r>
            <w:r>
              <w:fldChar w:fldCharType="separate"/>
            </w:r>
            <w:r>
              <w:t xml:space="preserve">28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6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11" w:anchor="_Toc256000011" w:history="1">
            <w:r>
              <w:rPr>
                <w:rStyle w:val="1189"/>
              </w:rPr>
              <w:t xml:space="preserve">2.   Заинтересованные стороны ИТ-решения</w:t>
            </w:r>
            <w:r>
              <w:tab/>
            </w:r>
            <w:r>
              <w:fldChar w:fldCharType="begin"/>
            </w:r>
            <w:r>
              <w:instrText xml:space="preserve"> PAGEREF _Toc256000011 \h </w:instrText>
            </w:r>
            <w:r>
              <w:fldChar w:fldCharType="separate"/>
            </w:r>
            <w:r>
              <w:t xml:space="preserve">30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12" w:anchor="_Toc256000012" w:history="1">
            <w:r>
              <w:rPr>
                <w:rStyle w:val="1189"/>
              </w:rPr>
              <w:t xml:space="preserve">2.1  Список заинтересованных сторон [Оценка] [Выбор]</w:t>
            </w:r>
            <w:r>
              <w:tab/>
            </w:r>
            <w:r>
              <w:fldChar w:fldCharType="begin"/>
            </w:r>
            <w:r>
              <w:instrText xml:space="preserve"> PAGEREF _Toc256000012 \h </w:instrText>
            </w:r>
            <w:r>
              <w:fldChar w:fldCharType="separate"/>
            </w:r>
            <w:r>
              <w:t xml:space="preserve">30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13" w:anchor="_Toc256000013" w:history="1">
            <w:r>
              <w:rPr>
                <w:rStyle w:val="1189"/>
              </w:rPr>
              <w:t xml:space="preserve">2.2  Требования заинтересованных сторон [Оценка] [Выбор]</w:t>
            </w:r>
            <w:r>
              <w:tab/>
            </w:r>
            <w:r>
              <w:fldChar w:fldCharType="begin"/>
            </w:r>
            <w:r>
              <w:instrText xml:space="preserve"> PAGEREF _Toc256000013 \h </w:instrText>
            </w:r>
            <w:r>
              <w:fldChar w:fldCharType="separate"/>
            </w:r>
            <w:r>
              <w:t xml:space="preserve">31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6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14" w:anchor="_Toc256000014" w:history="1">
            <w:r>
              <w:rPr>
                <w:rStyle w:val="1189"/>
              </w:rPr>
              <w:t xml:space="preserve">3.   Пользователи ИТ-Решения и бизнес-роли [Выбор]</w:t>
            </w:r>
            <w:r>
              <w:tab/>
            </w:r>
            <w:r>
              <w:fldChar w:fldCharType="begin"/>
            </w:r>
            <w:r>
              <w:instrText xml:space="preserve"> PAGEREF _Toc256000014 \h </w:instrText>
            </w:r>
            <w:r>
              <w:fldChar w:fldCharType="separate"/>
            </w:r>
            <w:r>
              <w:t xml:space="preserve">33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15" w:anchor="_Toc256000015" w:history="1">
            <w:r>
              <w:rPr>
                <w:rStyle w:val="1189"/>
              </w:rPr>
              <w:t xml:space="preserve">3.1  Предполагаемая нагрузка на ИТ-решение [Выбор]</w:t>
            </w:r>
            <w:r>
              <w:tab/>
            </w:r>
            <w:r>
              <w:fldChar w:fldCharType="begin"/>
            </w:r>
            <w:r>
              <w:instrText xml:space="preserve"> PAGEREF _Toc256000015 \h </w:instrText>
            </w:r>
            <w:r>
              <w:fldChar w:fldCharType="separate"/>
            </w:r>
            <w:r>
              <w:t xml:space="preserve">35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16" w:anchor="_Toc256000016" w:history="1">
            <w:r>
              <w:rPr>
                <w:rStyle w:val="1189"/>
              </w:rPr>
              <w:t xml:space="preserve">3.2  Сведения о третьих лицах и трансграничной передаче персональных данных [Выбор] 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_Toc256000016 \h </w:instrText>
            </w:r>
            <w:r>
              <w:fldChar w:fldCharType="separate"/>
            </w:r>
            <w:r>
              <w:t xml:space="preserve">36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6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17" w:anchor="_Toc256000017" w:history="1">
            <w:r>
              <w:rPr>
                <w:rStyle w:val="1189"/>
              </w:rPr>
              <w:t xml:space="preserve">4.   Модели процессов</w:t>
            </w:r>
            <w:r>
              <w:tab/>
            </w:r>
            <w:r>
              <w:fldChar w:fldCharType="begin"/>
            </w:r>
            <w:r>
              <w:instrText xml:space="preserve"> PAGEREF _Toc256000017 \h </w:instrText>
            </w:r>
            <w:r>
              <w:fldChar w:fldCharType="separate"/>
            </w:r>
            <w:r>
              <w:t xml:space="preserve">38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18" w:anchor="_Toc256000018" w:history="1">
            <w:r>
              <w:rPr>
                <w:rStyle w:val="1189"/>
              </w:rPr>
              <w:t xml:space="preserve">4.1  Сквозной процесс [Оценка]</w:t>
            </w:r>
            <w:r>
              <w:tab/>
            </w:r>
            <w:r>
              <w:fldChar w:fldCharType="begin"/>
            </w:r>
            <w:r>
              <w:instrText xml:space="preserve"> PAGEREF _Toc256000018 \h </w:instrText>
            </w:r>
            <w:r>
              <w:fldChar w:fldCharType="separate"/>
            </w:r>
            <w:r>
              <w:t xml:space="preserve">39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19" w:anchor="_Toc256000019" w:history="1">
            <w:r>
              <w:rPr>
                <w:rStyle w:val="1189"/>
              </w:rPr>
              <w:t xml:space="preserve">4.2  Модели бизнес-процессов [Оценка] [Выбор]</w:t>
            </w:r>
            <w:r>
              <w:tab/>
            </w:r>
            <w:r>
              <w:fldChar w:fldCharType="begin"/>
            </w:r>
            <w:r>
              <w:instrText xml:space="preserve"> PAGEREF _Toc256000019 \h </w:instrText>
            </w:r>
            <w:r>
              <w:fldChar w:fldCharType="separate"/>
            </w:r>
            <w:r>
              <w:t xml:space="preserve">40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20" w:anchor="_Toc256000020" w:history="1">
            <w:r>
              <w:rPr>
                <w:rStyle w:val="1189"/>
              </w:rPr>
              <w:t xml:space="preserve">4.3  Процесс взаимодействия бизнеса с ИТ-решением [Выбор] 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_Toc256000020 \h </w:instrText>
            </w:r>
            <w:r>
              <w:fldChar w:fldCharType="separate"/>
            </w:r>
            <w:r>
              <w:t xml:space="preserve">43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6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21" w:anchor="_Toc256000021" w:history="1">
            <w:r>
              <w:rPr>
                <w:rStyle w:val="1189"/>
              </w:rPr>
              <w:t xml:space="preserve">5.   Сущности ИТ-решения</w:t>
            </w:r>
            <w:r>
              <w:tab/>
            </w:r>
            <w:r>
              <w:fldChar w:fldCharType="begin"/>
            </w:r>
            <w:r>
              <w:instrText xml:space="preserve"> PAGEREF _Toc256000021 \h </w:instrText>
            </w:r>
            <w:r>
              <w:fldChar w:fldCharType="separate"/>
            </w:r>
            <w:r>
              <w:t xml:space="preserve">44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22" w:anchor="_Toc256000022" w:history="1">
            <w:r>
              <w:rPr>
                <w:rStyle w:val="1189"/>
              </w:rPr>
              <w:t xml:space="preserve">5.1  Глоссарий сущностей [Оценка] [Выбор]</w:t>
            </w:r>
            <w:r>
              <w:tab/>
            </w:r>
            <w:r>
              <w:fldChar w:fldCharType="begin"/>
            </w:r>
            <w:r>
              <w:instrText xml:space="preserve"> PAGEREF _Toc256000022 \h </w:instrText>
            </w:r>
            <w:r>
              <w:fldChar w:fldCharType="separate"/>
            </w:r>
            <w:r>
              <w:t xml:space="preserve">46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23" w:anchor="_Toc256000023" w:history="1">
            <w:r>
              <w:rPr>
                <w:rStyle w:val="1189"/>
              </w:rPr>
              <w:t xml:space="preserve">5.2 Диаграмма «Сущность – связь» [Выбор]</w:t>
            </w:r>
            <w:r>
              <w:tab/>
            </w:r>
            <w:r>
              <w:fldChar w:fldCharType="begin"/>
            </w:r>
            <w:r>
              <w:instrText xml:space="preserve"> PAGEREF _Toc256000023 \h </w:instrText>
            </w:r>
            <w:r>
              <w:fldChar w:fldCharType="separate"/>
            </w:r>
            <w:r>
              <w:t xml:space="preserve">46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24" w:anchor="_Toc256000024" w:history="1">
            <w:r>
              <w:rPr>
                <w:rStyle w:val="1189"/>
              </w:rPr>
              <w:t xml:space="preserve">5.3  Диаграммы состояний для бизнес-сущностей [Выбор]</w:t>
            </w:r>
            <w:r>
              <w:tab/>
            </w:r>
            <w:r>
              <w:fldChar w:fldCharType="begin"/>
            </w:r>
            <w:r>
              <w:instrText xml:space="preserve"> PAGEREF _Toc256000024 \h </w:instrText>
            </w:r>
            <w:r>
              <w:fldChar w:fldCharType="separate"/>
            </w:r>
            <w:r>
              <w:t xml:space="preserve">47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6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25" w:anchor="_Toc256000025" w:history="1">
            <w:r>
              <w:rPr>
                <w:rStyle w:val="1189"/>
              </w:rPr>
              <w:t xml:space="preserve">6.   Функциональные требования [Выбор] 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_Toc256000025 \h </w:instrText>
            </w:r>
            <w:r>
              <w:fldChar w:fldCharType="separate"/>
            </w:r>
            <w:r>
              <w:t xml:space="preserve">49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6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26" w:anchor="_Toc256000026" w:history="1">
            <w:r>
              <w:rPr>
                <w:rStyle w:val="1189"/>
              </w:rPr>
              <w:t xml:space="preserve">7.   Требования к информационному обмену [Выбор] 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_Toc256000026 \h </w:instrText>
            </w:r>
            <w:r>
              <w:fldChar w:fldCharType="separate"/>
            </w:r>
            <w:r>
              <w:t xml:space="preserve">51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6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27" w:anchor="_Toc256000027" w:history="1">
            <w:r>
              <w:rPr>
                <w:rStyle w:val="1189"/>
              </w:rPr>
              <w:t xml:space="preserve">8. Нефункциональные требования [Выбор] 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_Toc256000027 \h </w:instrText>
            </w:r>
            <w:r>
              <w:fldChar w:fldCharType="separate"/>
            </w:r>
            <w:r>
              <w:t xml:space="preserve">52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28" w:anchor="_Toc256000028" w:history="1">
            <w:r>
              <w:rPr>
                <w:rStyle w:val="1189"/>
              </w:rPr>
              <w:t xml:space="preserve">8.1  Интерфейс ИТ-решения [Выбор] 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_Toc256000028 \h </w:instrText>
            </w:r>
            <w:r>
              <w:fldChar w:fldCharType="separate"/>
            </w:r>
            <w:r>
              <w:t xml:space="preserve">53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29" w:anchor="_Toc256000029" w:history="1">
            <w:r>
              <w:rPr>
                <w:rStyle w:val="1189"/>
              </w:rPr>
              <w:t xml:space="preserve">8.2  Безопасность и защита данных [Выбор] 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_Toc256000029 \h </w:instrText>
            </w:r>
            <w:r>
              <w:fldChar w:fldCharType="separate"/>
            </w:r>
            <w:r>
              <w:t xml:space="preserve">55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8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30" w:anchor="_Toc256000030" w:history="1">
            <w:r>
              <w:rPr>
                <w:rStyle w:val="1189"/>
              </w:rPr>
              <w:t xml:space="preserve">8.2.1   Требования к обеспечению информационной безопасности</w:t>
            </w:r>
            <w:r>
              <w:tab/>
            </w:r>
            <w:r>
              <w:fldChar w:fldCharType="begin"/>
            </w:r>
            <w:r>
              <w:instrText xml:space="preserve"> PAGEREF _Toc256000030 \h </w:instrText>
            </w:r>
            <w:r>
              <w:fldChar w:fldCharType="separate"/>
            </w:r>
            <w:r>
              <w:t xml:space="preserve">55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8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31" w:anchor="_Toc256000031" w:history="1">
            <w:r>
              <w:rPr>
                <w:rStyle w:val="1189"/>
              </w:rPr>
              <w:t xml:space="preserve">8.2.2   Требования к мерам по защите ПДн</w:t>
            </w:r>
            <w:r>
              <w:tab/>
            </w:r>
            <w:r>
              <w:fldChar w:fldCharType="begin"/>
            </w:r>
            <w:r>
              <w:instrText xml:space="preserve"> PAGEREF _Toc256000031 \h </w:instrText>
            </w:r>
            <w:r>
              <w:fldChar w:fldCharType="separate"/>
            </w:r>
            <w:r>
              <w:t xml:space="preserve">58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32" w:anchor="_Toc256000032" w:history="1">
            <w:r>
              <w:rPr>
                <w:rStyle w:val="1189"/>
              </w:rPr>
              <w:t xml:space="preserve">8.3  Атрибуты качества [Выбор] 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_Toc256000032 \h </w:instrText>
            </w:r>
            <w:r>
              <w:fldChar w:fldCharType="separate"/>
            </w:r>
            <w:r>
              <w:t xml:space="preserve">60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33" w:anchor="_Toc256000033" w:history="1">
            <w:r>
              <w:rPr>
                <w:rStyle w:val="1189"/>
              </w:rPr>
              <w:t xml:space="preserve">8.4  Требования к сервису [Выбор] 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_Toc256000033 \h </w:instrText>
            </w:r>
            <w:r>
              <w:fldChar w:fldCharType="separate"/>
            </w:r>
            <w:r>
              <w:t xml:space="preserve">65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8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34" w:anchor="_Toc256000034" w:history="1">
            <w:r>
              <w:rPr>
                <w:rStyle w:val="1189"/>
              </w:rPr>
              <w:t xml:space="preserve">8.4.1    Подготовка, условия и ресурсное обеспечение эксплуатации [Выбор] 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_Toc256000034 \h </w:instrText>
            </w:r>
            <w:r>
              <w:fldChar w:fldCharType="separate"/>
            </w:r>
            <w:r>
              <w:t xml:space="preserve">65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8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35" w:anchor="_Toc256000035" w:history="1">
            <w:r>
              <w:rPr>
                <w:rStyle w:val="1189"/>
              </w:rPr>
              <w:t xml:space="preserve">8.4.2   Техническая поддержка и сопровождение пользователей [Выбор] 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_Toc256000035 \h </w:instrText>
            </w:r>
            <w:r>
              <w:fldChar w:fldCharType="separate"/>
            </w:r>
            <w:r>
              <w:t xml:space="preserve">67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36" w:anchor="_Toc256000036" w:history="1">
            <w:r>
              <w:rPr>
                <w:rStyle w:val="1189"/>
              </w:rPr>
              <w:t xml:space="preserve">8.5  Требования к видам обеспечения [Выбор] 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_Toc256000036 \h </w:instrText>
            </w:r>
            <w:r>
              <w:fldChar w:fldCharType="separate"/>
            </w:r>
            <w:r>
              <w:t xml:space="preserve">69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8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37" w:anchor="_Toc256000037" w:history="1">
            <w:r>
              <w:rPr>
                <w:rStyle w:val="1189"/>
              </w:rPr>
              <w:t xml:space="preserve">8.5.1   Требования к программному обеспечению</w:t>
            </w:r>
            <w:r>
              <w:tab/>
            </w:r>
            <w:r>
              <w:fldChar w:fldCharType="begin"/>
            </w:r>
            <w:r>
              <w:instrText xml:space="preserve"> PAGEREF _Toc256000037 \h </w:instrText>
            </w:r>
            <w:r>
              <w:fldChar w:fldCharType="separate"/>
            </w:r>
            <w:r>
              <w:t xml:space="preserve">69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8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38" w:anchor="_Toc256000038" w:history="1">
            <w:r>
              <w:rPr>
                <w:rStyle w:val="1189"/>
              </w:rPr>
              <w:t xml:space="preserve">8.5.2  Требования к информационному обеспечению</w:t>
            </w:r>
            <w:r>
              <w:tab/>
            </w:r>
            <w:r>
              <w:fldChar w:fldCharType="begin"/>
            </w:r>
            <w:r>
              <w:instrText xml:space="preserve"> PAGEREF _Toc256000038 \h </w:instrText>
            </w:r>
            <w:r>
              <w:fldChar w:fldCharType="separate"/>
            </w:r>
            <w:r>
              <w:t xml:space="preserve">70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8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39" w:anchor="_Toc256000039" w:history="1">
            <w:r>
              <w:rPr>
                <w:rStyle w:val="1189"/>
              </w:rPr>
              <w:t xml:space="preserve">8.5.3   Требования к данным и метрикам моделей ИИ [Оценка][Выбор][Определение]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_Toc256000039 \h </w:instrText>
            </w:r>
            <w:r>
              <w:fldChar w:fldCharType="separate"/>
            </w:r>
            <w:r>
              <w:t xml:space="preserve">74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8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40" w:anchor="_Toc256000040" w:history="1">
            <w:r>
              <w:rPr>
                <w:rStyle w:val="1189"/>
              </w:rPr>
              <w:t xml:space="preserve">8.5.4  Требования к техническому обеспечению</w:t>
            </w:r>
            <w:r>
              <w:tab/>
            </w:r>
            <w:r>
              <w:fldChar w:fldCharType="begin"/>
            </w:r>
            <w:r>
              <w:instrText xml:space="preserve"> PAGEREF _Toc256000040 \h </w:instrText>
            </w:r>
            <w:r>
              <w:fldChar w:fldCharType="separate"/>
            </w:r>
            <w:r>
              <w:t xml:space="preserve">79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8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41" w:anchor="_Toc256000041" w:history="1">
            <w:r>
              <w:rPr>
                <w:rStyle w:val="1189"/>
              </w:rPr>
              <w:t xml:space="preserve">8.5.5   Требования к инфраструктуре и каналам связи</w:t>
            </w:r>
            <w:r>
              <w:tab/>
            </w:r>
            <w:r>
              <w:fldChar w:fldCharType="begin"/>
            </w:r>
            <w:r>
              <w:instrText xml:space="preserve"> PAGEREF _Toc256000041 \h </w:instrText>
            </w:r>
            <w:r>
              <w:fldChar w:fldCharType="separate"/>
            </w:r>
            <w:r>
              <w:t xml:space="preserve">79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42" w:anchor="_Toc256000042" w:history="1">
            <w:r>
              <w:rPr>
                <w:rStyle w:val="1189"/>
              </w:rPr>
              <w:t xml:space="preserve">8.6  Требования к документационному обеспечению [Выбор] 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_Toc256000042 \h </w:instrText>
            </w:r>
            <w:r>
              <w:fldChar w:fldCharType="separate"/>
            </w:r>
            <w:r>
              <w:t xml:space="preserve">81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43" w:anchor="_Toc256000043" w:history="1">
            <w:r>
              <w:rPr>
                <w:rStyle w:val="1189"/>
              </w:rPr>
              <w:t xml:space="preserve">8.7  Дополнительные нефункциональные требования [Выбор] [Определение]</w:t>
            </w:r>
            <w:r>
              <w:tab/>
            </w:r>
            <w:r>
              <w:fldChar w:fldCharType="begin"/>
            </w:r>
            <w:r>
              <w:instrText xml:space="preserve"> PAGEREF _Toc256000043 \h </w:instrText>
            </w:r>
            <w:r>
              <w:fldChar w:fldCharType="separate"/>
            </w:r>
            <w:r>
              <w:t xml:space="preserve">82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6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44" w:anchor="_Toc256000044" w:history="1">
            <w:r>
              <w:rPr>
                <w:rStyle w:val="1189"/>
              </w:rPr>
              <w:t xml:space="preserve">9.   Приложения</w:t>
            </w:r>
            <w:r>
              <w:tab/>
            </w:r>
            <w:r>
              <w:fldChar w:fldCharType="begin"/>
            </w:r>
            <w:r>
              <w:instrText xml:space="preserve"> PAGEREF _Toc256000044 \h </w:instrText>
            </w:r>
            <w:r>
              <w:fldChar w:fldCharType="separate"/>
            </w:r>
            <w:r>
              <w:t xml:space="preserve">83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45" w:anchor="_Toc256000045" w:history="1">
            <w:r>
              <w:rPr>
                <w:rStyle w:val="1189"/>
              </w:rPr>
              <w:t xml:space="preserve">ПРИЛОЖЕНИЕ 1. Исходные данные</w:t>
            </w:r>
            <w:r>
              <w:tab/>
            </w:r>
            <w:r>
              <w:fldChar w:fldCharType="begin"/>
            </w:r>
            <w:r>
              <w:instrText xml:space="preserve"> PAGEREF _Toc256000045 \h </w:instrText>
            </w:r>
            <w:r>
              <w:fldChar w:fldCharType="separate"/>
            </w:r>
            <w:r>
              <w:t xml:space="preserve">83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46" w:anchor="_Toc256000046" w:history="1">
            <w:r>
              <w:rPr>
                <w:rStyle w:val="1189"/>
              </w:rPr>
              <w:t xml:space="preserve">ПРИЛОЖЕНИЕ 2. Формат выходных отчетов</w:t>
            </w:r>
            <w:r>
              <w:tab/>
            </w:r>
            <w:r>
              <w:fldChar w:fldCharType="begin"/>
            </w:r>
            <w:r>
              <w:instrText xml:space="preserve"> PAGEREF _Toc256000046 \h </w:instrText>
            </w:r>
            <w:r>
              <w:fldChar w:fldCharType="separate"/>
            </w:r>
            <w:r>
              <w:t xml:space="preserve">83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47" w:anchor="_Toc256000047" w:history="1">
            <w:r>
              <w:rPr>
                <w:rStyle w:val="1189"/>
              </w:rPr>
              <w:t xml:space="preserve">ПРИЛОЖЕНИЕ 3. Описание процесса обработки персональных данных</w:t>
            </w:r>
            <w:r>
              <w:tab/>
            </w:r>
            <w:r>
              <w:fldChar w:fldCharType="begin"/>
            </w:r>
            <w:r>
              <w:instrText xml:space="preserve"> PAGEREF _Toc256000047 \h </w:instrText>
            </w:r>
            <w:r>
              <w:fldChar w:fldCharType="separate"/>
            </w:r>
            <w:r>
              <w:t xml:space="preserve">84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48" w:anchor="_Toc256000048" w:history="1">
            <w:r>
              <w:rPr>
                <w:rStyle w:val="1189"/>
              </w:rPr>
              <w:t xml:space="preserve">Приложение 3А</w:t>
            </w:r>
            <w:r>
              <w:tab/>
            </w:r>
            <w:r>
              <w:fldChar w:fldCharType="begin"/>
            </w:r>
            <w:r>
              <w:instrText xml:space="preserve"> PAGEREF _Toc256000048 \h </w:instrText>
            </w:r>
            <w:r>
              <w:fldChar w:fldCharType="separate"/>
            </w:r>
            <w:r>
              <w:t xml:space="preserve">91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49" w:anchor="_Toc256000049" w:history="1">
            <w:r>
              <w:rPr>
                <w:rStyle w:val="1189"/>
              </w:rPr>
              <w:t xml:space="preserve">ПРИЛОЖЕНИЕ 4. Формат USE CASE</w:t>
            </w:r>
            <w:r>
              <w:tab/>
            </w:r>
            <w:r>
              <w:fldChar w:fldCharType="begin"/>
            </w:r>
            <w:r>
              <w:instrText xml:space="preserve"> PAGEREF _Toc256000049 \h </w:instrText>
            </w:r>
            <w:r>
              <w:fldChar w:fldCharType="separate"/>
            </w:r>
            <w:r>
              <w:t xml:space="preserve">95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6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50" w:anchor="_Toc256000050" w:history="1">
            <w:r>
              <w:rPr>
                <w:rStyle w:val="1189"/>
              </w:rPr>
              <w:t xml:space="preserve">История изменения шаблона ЕДТ</w:t>
            </w:r>
            <w:r>
              <w:tab/>
            </w:r>
            <w:r>
              <w:fldChar w:fldCharType="begin"/>
            </w:r>
            <w:r>
              <w:instrText xml:space="preserve"> PAGEREF _Toc256000050 \h </w:instrText>
            </w:r>
            <w:r>
              <w:fldChar w:fldCharType="separate"/>
            </w:r>
            <w:r>
              <w:t xml:space="preserve">98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51" w:anchor="_Toc256000051" w:history="1">
            <w:r>
              <w:rPr>
                <w:rStyle w:val="1189"/>
              </w:rPr>
              <w:t xml:space="preserve">Реестр изменений по шаблону ЕДТ (NEW):</w:t>
            </w:r>
            <w:r>
              <w:tab/>
            </w:r>
            <w:r>
              <w:fldChar w:fldCharType="begin"/>
            </w:r>
            <w:r>
              <w:instrText xml:space="preserve"> PAGEREF _Toc256000051 \h </w:instrText>
            </w:r>
            <w:r>
              <w:fldChar w:fldCharType="separate"/>
            </w:r>
            <w:r>
              <w:t xml:space="preserve">98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pStyle w:val="1197"/>
            <w:tabs>
              <w:tab w:val="right" w:pos="9345" w:leader="dot"/>
            </w:tabs>
            <w:rPr>
              <w:rFonts w:asciiTheme="minorHAnsi" w:hAnsiTheme="minorHAnsi"/>
              <w:sz w:val="22"/>
            </w:rPr>
          </w:pPr>
          <w:r/>
          <w:hyperlink w:tooltip="#_Toc256000052" w:anchor="_Toc256000052" w:history="1">
            <w:r>
              <w:rPr>
                <w:rStyle w:val="1189"/>
              </w:rPr>
              <w:t xml:space="preserve">История изменения шаблона ЕДТ (начиная с 16.01.2025)</w:t>
            </w:r>
            <w:r>
              <w:tab/>
            </w:r>
            <w:r>
              <w:fldChar w:fldCharType="begin"/>
            </w:r>
            <w:r>
              <w:instrText xml:space="preserve"> PAGEREF _Toc256000052 \h </w:instrText>
            </w:r>
            <w:r>
              <w:fldChar w:fldCharType="separate"/>
            </w:r>
            <w:r>
              <w:t xml:space="preserve">101</w:t>
            </w:r>
            <w:r>
              <w:fldChar w:fldCharType="end"/>
            </w:r>
          </w:hyperlink>
          <w:r/>
          <w:r>
            <w:rPr>
              <w:rFonts w:asciiTheme="minorHAnsi" w:hAnsiTheme="minorHAnsi"/>
              <w:sz w:val="22"/>
            </w:rPr>
          </w:r>
        </w:p>
        <w:p>
          <w:pPr>
            <w:ind w:left="-283" w:right="-141" w:firstLine="0"/>
            <w:spacing w:after="119" w:afterAutospacing="0" w:line="240" w:lineRule="auto"/>
            <w:rPr>
              <w:rFonts w:ascii="Arial" w:hAnsi="Arial" w:cs="Arial"/>
              <w:bCs/>
              <w:sz w:val="22"/>
              <w:szCs w:val="22"/>
            </w:rPr>
          </w:pPr>
          <w:r>
            <w:rPr>
              <w:rFonts w:ascii="Arial" w:hAnsi="Arial" w:eastAsia="Arial" w:cs="Arial"/>
              <w:b/>
              <w:bCs/>
              <w:sz w:val="22"/>
              <w:szCs w:val="22"/>
            </w:rPr>
            <w:fldChar w:fldCharType="end"/>
          </w:r>
          <w:r>
            <w:rPr>
              <w:rFonts w:ascii="Arial" w:hAnsi="Arial" w:cs="Arial"/>
              <w:bCs/>
              <w:sz w:val="22"/>
              <w:szCs w:val="22"/>
            </w:rPr>
          </w:r>
        </w:p>
      </w:sdtContent>
    </w:sdt>
    <w:p>
      <w:pPr>
        <w:spacing w:after="119" w:afterAutospacing="0" w:line="240" w:lineRule="auto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</w:r>
    </w:p>
    <w:p>
      <w:pPr>
        <w:ind w:left="-283" w:right="0" w:firstLine="0"/>
        <w:spacing w:after="119" w:afterAutospacing="0" w:line="240" w:lineRule="auto"/>
        <w:rPr>
          <w:rFonts w:ascii="Arial" w:hAnsi="Arial" w:cs="Arial"/>
          <w:sz w:val="22"/>
          <w:szCs w:val="22"/>
          <w:highlight w:val="none"/>
        </w:rPr>
        <w:sectPr>
          <w:headerReference w:type="default" r:id="rId11"/>
          <w:headerReference w:type="first" r:id="rId12"/>
          <w:footerReference w:type="default" r:id="rId19"/>
          <w:footerReference w:type="first" r:id="rId20"/>
          <w:footnotePr/>
          <w:endnotePr/>
          <w:type w:val="nextPage"/>
          <w:pgSz w:w="11906" w:h="16838" w:orient="portrait"/>
          <w:pgMar w:top="1134" w:right="850" w:bottom="1134" w:left="1701" w:header="709" w:footer="709" w:gutter="0"/>
          <w:cols w:num="1" w:sep="0" w:space="708" w:equalWidth="1"/>
          <w:docGrid w:linePitch="360"/>
        </w:sectPr>
      </w:pPr>
      <w:r/>
      <w:bookmarkStart w:id="1" w:name="scroll-bookmark-1"/>
      <w:r/>
      <w:bookmarkEnd w:id="1"/>
      <w:r/>
      <w:r>
        <w:rPr>
          <w:rFonts w:ascii="Arial" w:hAnsi="Arial" w:cs="Arial"/>
          <w:sz w:val="22"/>
          <w:szCs w:val="22"/>
          <w:highlight w:val="none"/>
        </w:rPr>
      </w:r>
    </w:p>
    <w:p>
      <w:pPr>
        <w:pStyle w:val="1032"/>
        <w:rPr>
          <w:rFonts w:ascii="Arial" w:hAnsi="Arial" w:eastAsia="Arial" w:cs="Arial"/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  <w:bookmarkStart w:id="2" w:name="scroll-bookmark-2"/>
      <w:r>
        <w:rPr>
          <w:b/>
          <w:bCs/>
          <w:sz w:val="36"/>
          <w:szCs w:val="36"/>
        </w:rPr>
      </w:r>
      <w:bookmarkStart w:id="3" w:name="_Toc256000000"/>
      <w:r>
        <w:rPr>
          <w:rFonts w:ascii="Arial" w:hAnsi="Arial" w:eastAsia="Arial" w:cs="Arial"/>
          <w:b/>
          <w:bCs/>
          <w:sz w:val="36"/>
          <w:szCs w:val="36"/>
        </w:rPr>
        <w:t xml:space="preserve">Термины и определения</w:t>
      </w:r>
      <w:bookmarkEnd w:id="3"/>
      <w:r>
        <w:rPr>
          <w:b/>
          <w:bCs/>
          <w:sz w:val="36"/>
          <w:szCs w:val="36"/>
        </w:rPr>
      </w:r>
      <w:bookmarkEnd w:id="2"/>
      <w:r>
        <w:rPr>
          <w:b/>
          <w:bCs/>
          <w:sz w:val="36"/>
          <w:szCs w:val="36"/>
        </w:rPr>
      </w:r>
      <w:r>
        <w:rPr>
          <w:rFonts w:ascii="Arial" w:hAnsi="Arial" w:eastAsia="Arial" w:cs="Arial"/>
          <w:b/>
          <w:bCs/>
          <w:sz w:val="36"/>
          <w:szCs w:val="36"/>
        </w:rPr>
      </w:r>
    </w:p>
    <w:p>
      <w:pPr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В настоящем документе используются термины и сокращения, определенные в каталогах КТ-004, КТ-262, а также следующие термины и сокращения:</w:t>
      </w:r>
      <w:r>
        <w:rPr>
          <w:rFonts w:ascii="Arial" w:hAnsi="Arial" w:eastAsia="Arial" w:cs="Arial"/>
          <w:sz w:val="22"/>
          <w:szCs w:val="22"/>
        </w:rPr>
      </w:r>
    </w:p>
    <w:p>
      <w:pPr>
        <w:pStyle w:val="1062"/>
        <w:keepNext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Таблица </w:t>
      </w:r>
      <w:r>
        <w:rPr>
          <w:rFonts w:ascii="Arial" w:hAnsi="Arial" w:eastAsia="Arial" w:cs="Arial"/>
          <w:sz w:val="22"/>
          <w:szCs w:val="22"/>
        </w:rPr>
        <w:fldChar w:fldCharType="begin"/>
      </w:r>
      <w:r>
        <w:rPr>
          <w:rFonts w:ascii="Arial" w:hAnsi="Arial" w:eastAsia="Arial" w:cs="Arial"/>
          <w:sz w:val="22"/>
          <w:szCs w:val="22"/>
        </w:rPr>
        <w:instrText xml:space="preserve">SEQ Таблица \* ARABIC</w:instrText>
      </w:r>
      <w:r>
        <w:rPr>
          <w:rFonts w:ascii="Arial" w:hAnsi="Arial" w:eastAsia="Arial" w:cs="Arial"/>
          <w:sz w:val="22"/>
          <w:szCs w:val="22"/>
        </w:rPr>
        <w:fldChar w:fldCharType="separate"/>
      </w:r>
      <w:r>
        <w:rPr>
          <w:rFonts w:ascii="Arial" w:hAnsi="Arial" w:eastAsia="Arial" w:cs="Arial"/>
          <w:sz w:val="22"/>
          <w:szCs w:val="22"/>
        </w:rPr>
        <w:t xml:space="preserve">1</w:t>
      </w:r>
      <w:r>
        <w:rPr>
          <w:rFonts w:ascii="Arial" w:hAnsi="Arial" w:eastAsia="Arial" w:cs="Arial"/>
          <w:sz w:val="22"/>
          <w:szCs w:val="22"/>
        </w:rPr>
        <w:fldChar w:fldCharType="end"/>
      </w:r>
      <w:r>
        <w:rPr>
          <w:rFonts w:ascii="Arial" w:hAnsi="Arial" w:eastAsia="Arial" w:cs="Arial"/>
          <w:sz w:val="22"/>
          <w:szCs w:val="22"/>
        </w:rPr>
        <w:t xml:space="preserve"> Термины и определение</w:t>
      </w:r>
      <w:r>
        <w:rPr>
          <w:rFonts w:ascii="Arial" w:hAnsi="Arial" w:eastAsia="Arial" w:cs="Arial"/>
          <w:sz w:val="22"/>
          <w:szCs w:val="22"/>
        </w:rPr>
      </w:r>
    </w:p>
    <w:tbl>
      <w:tblPr>
        <w:tblStyle w:val="1220"/>
        <w:tblW w:w="5000" w:type="pct"/>
        <w:tblLook w:val="0000" w:firstRow="0" w:lastRow="0" w:firstColumn="0" w:lastColumn="0" w:noHBand="0" w:noVBand="0"/>
      </w:tblPr>
      <w:tblGrid>
        <w:gridCol w:w="1518"/>
        <w:gridCol w:w="3380"/>
        <w:gridCol w:w="9369"/>
      </w:tblGrid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bookmarkStart w:id="4" w:name="scroll-bookmark-3"/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№</w:t>
            </w:r>
            <w:bookmarkEnd w:id="4"/>
            <w:r/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Термин/сокращение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Определение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Порядковый №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&lt;Наименование термина, сокращения или обозначения, использованного в артефактах проекта. Формулировка должна быть точной и не допускать разночтений&gt;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&lt;Разъяснение смысла термина, отражающее его значение в контексте проекта. Расшифровка сокращения&gt;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1.     </w:t>
            </w:r>
            <w:r>
              <w:rPr>
                <w:i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Бизнес-процесс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Регулярно повторяющаяся последовательность взаимосвязанных операций, преобразующая входы в выходы и нацеленная на получение результата.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Изменение бизнес-процесса – актуализация / изменение последовательности и/или содержания операций, а также состава входов / выходов.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Автоматизация бизнес-процесса – применение ИТ-решений / систем при реализации операций бизнес-процесса.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2.     </w:t>
            </w:r>
            <w:r>
              <w:rPr>
                <w:i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Бизнес-роль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Условное функциональное наименование субъекта, исполняющего операции процесса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3.     </w:t>
            </w:r>
            <w:r>
              <w:rPr>
                <w:i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Бизнес-функциональность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Объект корпоративной Бизнес-архитектуры, на концептуальном уровне описывающий </w:t>
            </w:r>
            <w:r>
              <w:rPr>
                <w:u w:val="single"/>
              </w:rPr>
              <w:t xml:space="preserve">поведение (действия)</w:t>
            </w:r>
            <w:r>
              <w:t xml:space="preserve"> ИТ-решения во взаимосвязи с автоматизируемыми бизнес-процессами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4.     </w:t>
            </w:r>
            <w:r>
              <w:rPr>
                <w:i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Бизнес-эффект (БЭ)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Материальный или нематериальный результат от изменения бизнес-процесса при внедрении функционала ИТ-решения, отображает количественное и/или качественное выражение ценности реализуемого изменения.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5.      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Владелец информационной системы персональных данных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Структурное подразделение ПАО «Г</w:t>
            </w:r>
            <w:r>
              <w:t xml:space="preserve">азпром Нефть», его дочернего общества, выступающее постановщиком (функциональным заказчиком) реализуемых с использованием информационной системы персональных данных задач и (или) являющееся основным пользователем информационной системы персональных данных.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6.      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Заинтересованная сторона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Физическое и/или юридическое лицо, которое может влиять на деятельность Компании или способны испытывать на себе влияние ее деятельности, производимой ею продукции или оказываемых ею услуг и связанных с этим действий.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7.      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Информационная система персональных данных (ИСПДн)         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Совокупность содержащихся в базах данных персональных данных и обеспечивающих их обработку информационных технологий и технических средств.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8.      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Исходные данные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НМД, определяющие порядок осуществления деятельности и/или реализации изменяемых (автоматизируемых) бизнес-процессов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9.      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ИТ-решение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Совокупность ИТ-систем по определенному бизнес-процессу с измеримыми метриками, направленная на автоматизацию хранения, поиск, обработку и передачу информации для решения определенных бизнес-задач.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10.   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Итерация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Ограниченный по времени период работы в рамках этапа проекта с зафиксированным набором требований и получением части результата проекта, которая добавляет полезный и работающий функционал к ранее созданной версии.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11.   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Нефункциональное требование (НФТ)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Описание условий, которые не влияют напрямую на поведение и функционал</w:t>
            </w:r>
            <w:r>
              <w:t xml:space="preserve">ьность системы, но в рамках, которых система должна оставаться эффективной, или качественных характеристик, которыми система должна обладать. Примеры НФТ: средняя и пиковая производительность, удобство сопровождения, расширяемость, надежность, доступность.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12.   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НМД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Нормативно-методический документ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13.   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НПА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Нормативно-правовой акт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14.   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Обработка персональных данных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</w:t>
            </w:r>
            <w:r>
              <w:t xml:space="preserve">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15.   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Оператор персональных данных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Юридическое лицо (ПАО «Газпром Нефть», или ДО), самостоятельно или со</w:t>
            </w:r>
            <w:r>
              <w:t xml:space="preserve">вместно с другими лицами организующие и (или)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данными.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16.   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Персональные данные (ПДн)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Любая информация, относящаяся к прямо или косвенно определенному или определяемому физическому лицу (субъекту персональных данных).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17.   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Предпосылка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Описание проблемы или возможности, которая в текущих условиях влияет на достижение стратегических целей и формирует необходимость инициировать проект.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18.   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Процесс взаимодействия бизнеса с ИТ-решением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Детализированный сценарий работы пользователей с ИТ-решением, описывающий контекст работы ИТ-решения и включающий различ</w:t>
            </w:r>
            <w:r>
              <w:t xml:space="preserve">ные типы операций (пользовательская, ручная, системная); может использоваться для описания кросс-функционального процесса на уровне операций, детализации операций бизнес-процесса, описания взаимодействия пользователей при обмене данными между ИТ-системами.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19.   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Система защиты персональных данных (СЗПДн)         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Организационные и (или) технические меры, определенные с учетом актуальных угроз безопасности персональных данных и информационных технологий, используемых в информационных системах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20.   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Сквозной процесс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Совокупность взаимосвязанных бизнес-процессов, подлежащих изменениям в рамках проекта ИТ и ЦТ, а также смежных, по отношению к изменяемым, бизнес-процессам.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21.   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Трансграничная передача персональных данных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Передача персональных данных на территорию иностранного государства органу власти иностранного государства, иностранному физическому лицу или иностранному юридическому лицу.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22.   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Транзакция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Группа последовательных операций с базой данных, которая представляет собой логическую единицу работы с данными.</w:t>
            </w:r>
            <w:r/>
          </w:p>
        </w:tc>
      </w:tr>
      <w:tr>
        <w:tblPrEx/>
        <w:trPr/>
        <w:tc>
          <w:tcPr>
            <w:vMerge w:val="restart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23.   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Требование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Документально зафиксированное описание потребности в рамках определенного контекста, определяющее, какие условия и критерии должны быть выполнены для достижения поставленных целей и получения определенных результатов.</w:t>
            </w:r>
            <w:r/>
          </w:p>
        </w:tc>
      </w:tr>
      <w:tr>
        <w:tblPrEx/>
        <w:trPr/>
        <w:tc>
          <w:tcPr>
            <w:vMerge w:val="continue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Вышестоящее требование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Требование, которое является источником рассматриваемого требования.</w:t>
            </w:r>
            <w:r/>
          </w:p>
        </w:tc>
      </w:tr>
      <w:tr>
        <w:tblPrEx/>
        <w:trPr/>
        <w:tc>
          <w:tcPr>
            <w:vMerge w:val="continue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Связанные требования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Два или более требования, между которыми существует взаимная зависимость или влияние. Реализация или изменение одного из таких требований напрямую затрагивает, ограничивает или обуславливает реализацию другого.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24.   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Требование к информационному обмену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Требование к передаче данных от источника к потребителю или удаленному вызову функций одной ИТ-системы из другой.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25.   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Требование заинтересованной стороны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Документально зафиксированное описание потребности или ожидания заинтересованных сторон, определяющее, что каждая заинтересованная сторона хочет получить от ИТ-решения.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26.   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Функциональное требование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Требование к поведению ИТ-решения, которое детализирует реализацию Бизнес-функциональности.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27.   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Цель проекта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Конечное состояние или улучшение, которого компания хочет достичь в рамках проекта, обеспечивающее решение проблемы или использование возможности, определенной в предпосылках.</w:t>
            </w:r>
            <w:r/>
          </w:p>
        </w:tc>
      </w:tr>
    </w:tbl>
    <w:p>
      <w:r>
        <w:rPr>
          <w:rFonts w:ascii="Arial" w:hAnsi="Arial" w:eastAsia="Arial" w:cs="Arial"/>
          <w:b/>
          <w:sz w:val="22"/>
          <w:szCs w:val="22"/>
        </w:rPr>
        <w:t xml:space="preserve">Общие положения и правила заполнения настоящего документа:</w:t>
      </w:r>
      <w:r/>
    </w:p>
    <w:p>
      <w:pPr>
        <w:numPr>
          <w:ilvl w:val="0"/>
          <w:numId w:val="3"/>
        </w:numPr>
      </w:pPr>
      <w:r>
        <w:t xml:space="preserve">Все разделы и подразделы настоящего документа обязательны для заполнения в проектах ИТ и ЦТ «Новое ИТ-решение». В исключительных случаях, когда в проекте </w:t>
      </w:r>
      <w:r>
        <w:rPr>
          <w:u w:val="single"/>
        </w:rPr>
        <w:t xml:space="preserve">не предполагается заполнение отдельного подраздела, в том числе такого</w:t>
      </w:r>
      <w:r>
        <w:t xml:space="preserve">, в описании которого указано, что его заполнение опционально, то его наименование сохраняется, содержимое удаляется, </w:t>
      </w:r>
      <w:r>
        <w:rPr>
          <w:u w:val="single"/>
        </w:rPr>
        <w:t xml:space="preserve">под наименованием указывается «Не применимо. Причина»</w:t>
      </w:r>
      <w:r>
        <w:t xml:space="preserve">. Если не прорабатываются все подразделы в разделе, то в каждом из них указывается «Не применимо. Причина», при этом заголовки разделов и/или подразделов не у</w:t>
      </w:r>
      <w:r>
        <w:t xml:space="preserve">даляются. Допускается добавление таблиц в подразделы или столбцов в существующие таблицы, если это необходимо для целей проекта. Данное решение принимается Руководителем проекта и согласовывается с Бизнес-аналитиком, Архитектором решения и Специалистом ИБ.</w:t>
      </w:r>
      <w:r/>
    </w:p>
    <w:p>
      <w:r>
        <w:t xml:space="preserve">Также допускается опциональное заполнение отдельных строк, столбцов или полей таблиц, приведенных в настоящем документе с указанием в такой строке / столбце / поле фразы: «Не применимо. Причина».</w:t>
      </w:r>
      <w:r/>
    </w:p>
    <w:p>
      <w:pPr>
        <w:numPr>
          <w:ilvl w:val="0"/>
          <w:numId w:val="4"/>
        </w:numPr>
      </w:pPr>
      <w:r>
        <w:t xml:space="preserve">При разработке настоящего документа на последующих этапах жизненного цикла ИТ-решения (приводятся в Таблице 1) прорабатываются только те разделы и подразделы настоящего документа, в которых допо</w:t>
      </w:r>
      <w:r>
        <w:t xml:space="preserve">лняются и/или изменяются и/или затрагиваются сущности (предпосылки, цели, объемы, диаграммы, требования и пр.), описанные в таком разделе (например, при изменении только нефункциональных характеристик, раздел «Функциональные требования» не прорабатывается)</w:t>
      </w:r>
      <w:r/>
    </w:p>
    <w:p>
      <w:pPr>
        <w:numPr>
          <w:ilvl w:val="0"/>
          <w:numId w:val="5"/>
        </w:numPr>
      </w:pPr>
      <w:r>
        <w:t xml:space="preserve">В документе введены теги: [Оценка], [Выбор], [Определение] – это означает, что содержимое раздела заполняется (в т.ч актуализируется и/или детализируется) на указанном этапе реализации проекта ИТ и ЦТ.</w:t>
      </w:r>
      <w:r/>
    </w:p>
    <w:p>
      <w:pPr>
        <w:numPr>
          <w:ilvl w:val="0"/>
          <w:numId w:val="5"/>
        </w:numPr>
      </w:pPr>
      <w:r>
        <w:t xml:space="preserve">Текст шаблона, приведенный курсивом и в угловых скобках, должен быть замещен соответствующим текстом подготавливаемого документа или удален. Текст шаблона, приведенный в квадратных скобках в наименовании разделов, должен быть удален.</w:t>
      </w:r>
      <w:r/>
    </w:p>
    <w:p>
      <w:pPr>
        <w:numPr>
          <w:ilvl w:val="0"/>
          <w:numId w:val="5"/>
        </w:numPr>
      </w:pPr>
      <w:r>
        <w:t xml:space="preserve">Правила формулирования предпосылок и целей проекта, требований всех типов, за выявление которых отвечает Бизнес-аналитик, указаны в документе М-15.10.02-01.</w:t>
      </w:r>
      <w:r/>
    </w:p>
    <w:p>
      <w:pPr>
        <w:numPr>
          <w:ilvl w:val="0"/>
          <w:numId w:val="5"/>
        </w:numPr>
      </w:pPr>
      <w:r>
        <w:t xml:space="preserve">Когда настоящий ЕДТ используется для коммуникаций со сторонними организациями и лицами (например, с вендорами), необходимо удалить из него персональные данные и данные, подпадающие под требования КТ-040 при</w:t>
      </w:r>
      <w:r>
        <w:t xml:space="preserve"> условии отсутствия между сторонами заключенных договоров по обработке ПДн и/или соглашения о конфиденциальности. Бизнес-аналитик ответственный за удаление такой информации, контролирует и передает документ для дальнейших коммуникаций Руководитель проекта.</w:t>
      </w:r>
      <w:r/>
    </w:p>
    <w:p>
      <w:pPr>
        <w:numPr>
          <w:ilvl w:val="0"/>
          <w:numId w:val="0"/>
        </w:numPr>
        <w:sectPr>
          <w:headerReference w:type="default" r:id="rId13"/>
          <w:headerReference w:type="first" r:id="rId14"/>
          <w:footerReference w:type="default" r:id="rId21"/>
          <w:footerReference w:type="first" r:id="rId22"/>
          <w:footnotePr/>
          <w:endnotePr/>
          <w:type w:val="nextPage"/>
          <w:pgSz w:w="16838" w:h="11906" w:orient="landscape"/>
          <w:pgMar w:top="1134" w:right="850" w:bottom="1134" w:left="1701" w:header="709" w:footer="709" w:gutter="0"/>
          <w:cols w:num="1" w:sep="0" w:space="708" w:equalWidth="1"/>
          <w:docGrid w:linePitch="360"/>
        </w:sectPr>
      </w:pPr>
      <w:r/>
      <w:r/>
    </w:p>
    <w:p>
      <w:pPr>
        <w:pStyle w:val="1032"/>
      </w:pPr>
      <w:r/>
      <w:bookmarkStart w:id="5" w:name="scroll-bookmark-4"/>
      <w:r/>
      <w:bookmarkStart w:id="6" w:name="_Toc256000001"/>
      <w:r>
        <w:t xml:space="preserve">1.   Ключевая информация по ИТ-решению</w:t>
      </w:r>
      <w:bookmarkEnd w:id="6"/>
      <w:r/>
      <w:bookmarkEnd w:id="5"/>
      <w:r/>
      <w:r/>
    </w:p>
    <w:p>
      <w:pPr>
        <w:pStyle w:val="1034"/>
      </w:pPr>
      <w:r/>
      <w:bookmarkStart w:id="7" w:name="scroll-bookmark-5"/>
      <w:r/>
      <w:bookmarkStart w:id="8" w:name="_Toc256000002"/>
      <w:r>
        <w:t xml:space="preserve">1.1  Предпосылки и цели создания / изменения ИТ-решения [Оценка]</w:t>
      </w:r>
      <w:bookmarkEnd w:id="8"/>
      <w:r/>
      <w:bookmarkEnd w:id="7"/>
      <w:r/>
      <w:r/>
    </w:p>
    <w:p>
      <w:pPr>
        <w:pStyle w:val="1062"/>
        <w:keepNext/>
      </w:pPr>
      <w:r>
        <w:t xml:space="preserve">Таблица </w:t>
      </w:r>
      <w:r>
        <w:fldChar w:fldCharType="begin"/>
      </w:r>
      <w:r>
        <w:instrText xml:space="preserve">SEQ Таблица \* ARABIC</w:instrText>
      </w:r>
      <w:r>
        <w:fldChar w:fldCharType="separate"/>
      </w:r>
      <w:r>
        <w:t xml:space="preserve">2</w:t>
      </w:r>
      <w:r>
        <w:fldChar w:fldCharType="end"/>
      </w:r>
      <w:r>
        <w:t xml:space="preserve"> Предпосылки</w:t>
      </w:r>
      <w:r/>
    </w:p>
    <w:tbl>
      <w:tblPr>
        <w:tblStyle w:val="1220"/>
        <w:tblW w:w="5000" w:type="pct"/>
        <w:tblLook w:val="0000" w:firstRow="0" w:lastRow="0" w:firstColumn="0" w:lastColumn="0" w:noHBand="0" w:noVBand="0"/>
      </w:tblPr>
      <w:tblGrid>
        <w:gridCol w:w="2278"/>
        <w:gridCol w:w="1384"/>
        <w:gridCol w:w="7115"/>
        <w:gridCol w:w="1440"/>
        <w:gridCol w:w="2049"/>
      </w:tblGrid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bookmarkStart w:id="9" w:name="scroll-bookmark-6"/>
            <w:r>
              <w:rPr>
                <w:b/>
              </w:rPr>
              <w:t xml:space="preserve">Код этапа ЖЦ ИТ-решения</w:t>
            </w:r>
            <w:bookmarkEnd w:id="9"/>
            <w:r/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Код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Предпосылка создания / изменения ИТ-решения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Код цели создания / изменения ИТ-решения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Цель создания / изменения ИТ-решения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соответствующего этапа ЖЦ согласно таблице «Жизненный цикл ИТ-решения»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Код с префиксом «ПР»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&lt;Описание проблем или возможностей, ставших основой для инициирования создания или изменения ИТ-решения&gt;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 префиксом Ц&gt;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&lt;Цель создания / изменения ИТ-решения&gt;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Проект 1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ПР-1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&lt;ПРИМЕР&gt;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&lt;В процессе «Организация и управление проектированием объектов капитального строит</w:t>
            </w:r>
            <w:r>
              <w:rPr>
                <w:i/>
                <w:color w:val="0000ff"/>
              </w:rPr>
              <w:t xml:space="preserve">ельства наземного обустройства нефтегазовых месторождений» наблюдается наличие дополнительных трудозатрат на проверку документации, которые в среднем составляют 40 человеко-часов на каждый документ для устранения несоответствий и адаптации к внутренним ста</w:t>
            </w:r>
            <w:r>
              <w:rPr>
                <w:i/>
                <w:color w:val="0000ff"/>
              </w:rPr>
              <w:t xml:space="preserve">ндартам. Это подтверждается оценкой трудозатрат, проведённой в 2023 году. Причиной является отсутствие унифицированных требований к составу и способам приёма результатов разработки инженерной документации подрядчиков в проектах капитального строительства.&gt;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&lt;Ц-1&gt;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&lt;ПРИМЕР&gt;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&lt;Обеспечение единства состава инженерной документации на всех географически распределенных площадках Компании&gt;</w:t>
            </w:r>
            <w:r/>
          </w:p>
        </w:tc>
      </w:tr>
    </w:tbl>
    <w:p>
      <w:pPr>
        <w:pStyle w:val="1062"/>
        <w:keepNext/>
      </w:pPr>
      <w:r>
        <w:t xml:space="preserve">Таблица </w:t>
      </w:r>
      <w:r>
        <w:fldChar w:fldCharType="begin"/>
      </w:r>
      <w:r>
        <w:instrText xml:space="preserve">SEQ Таблица \* ARABIC</w:instrText>
      </w:r>
      <w:r>
        <w:fldChar w:fldCharType="separate"/>
      </w:r>
      <w:r>
        <w:t xml:space="preserve">3</w:t>
      </w:r>
      <w:r>
        <w:fldChar w:fldCharType="end"/>
      </w:r>
      <w:r>
        <w:t xml:space="preserve"> Цели и бизнес-эффекты</w:t>
      </w:r>
      <w:r/>
    </w:p>
    <w:tbl>
      <w:tblPr>
        <w:tblStyle w:val="1220"/>
        <w:tblW w:w="5000" w:type="pct"/>
        <w:tblLook w:val="0000" w:firstRow="0" w:lastRow="0" w:firstColumn="0" w:lastColumn="0" w:noHBand="0" w:noVBand="0"/>
      </w:tblPr>
      <w:tblGrid>
        <w:gridCol w:w="2855"/>
        <w:gridCol w:w="3565"/>
        <w:gridCol w:w="2104"/>
        <w:gridCol w:w="2697"/>
        <w:gridCol w:w="3047"/>
      </w:tblGrid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bookmarkStart w:id="10" w:name="scroll-bookmark-7"/>
            <w:r>
              <w:rPr>
                <w:b/>
              </w:rPr>
              <w:t xml:space="preserve">Код этапа ЖЦ </w:t>
            </w:r>
            <w:r>
              <w:rPr>
                <w:b/>
              </w:rPr>
              <w:br/>
            </w:r>
            <w:r>
              <w:rPr>
                <w:b/>
              </w:rPr>
              <w:t xml:space="preserve">ИТ-решения</w:t>
            </w:r>
            <w:bookmarkEnd w:id="10"/>
            <w:r/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Цель создания / изменения ИТ-решения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Соответствие стратегическим целям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Бизнес-процесс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Бизнес-эффект изменения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&lt;Указывается код соответствующего этапа ЖЦ согласно таблице «Жизненный цикл ИТ-решения»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&lt;Цель проекта&gt;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&lt;Цели из Бизнес-стратегии или ИТ-стратегии&gt;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&lt;Номер и название изменяемого бизнес-процесса из КТ-001 или сквозной процесс (раздел 4.1)&gt;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&lt;Формулировка бизнес-эффекта (перенос формулировки из столбца 4 Таблицы 9)&gt;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&lt;Проект-1&gt;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&lt;ПРИМЕР&gt;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&lt;Сокращение сроков и затрат при проведении закупочных процедур&gt;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&lt;Повышение уровня цифровизации закупочных процессов&gt;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&lt;Сквозной процесс (изменение нескольких процессов в рамках одного ИТ решения)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color w:val="0000ff"/>
              </w:rPr>
              <w:t xml:space="preserve">·       </w:t>
            </w:r>
            <w:r>
              <w:rPr>
                <w:i/>
                <w:color w:val="0000ff"/>
              </w:rPr>
              <w:t xml:space="preserve">Процесс распределения НВИ;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color w:val="0000ff"/>
              </w:rPr>
              <w:t xml:space="preserve">·       </w:t>
            </w:r>
            <w:r>
              <w:rPr>
                <w:i/>
                <w:color w:val="0000ff"/>
              </w:rPr>
              <w:t xml:space="preserve">Процесс формирования КП&gt;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 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color w:val="0000ff"/>
              </w:rPr>
              <w:t xml:space="preserve">·       </w:t>
            </w:r>
            <w:r>
              <w:rPr>
                <w:i/>
                <w:color w:val="0000ff"/>
              </w:rPr>
              <w:t xml:space="preserve">Повышение скорости оборачиваемости НВИ, %;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color w:val="0000ff"/>
              </w:rPr>
              <w:t xml:space="preserve">·       </w:t>
            </w:r>
            <w:r>
              <w:rPr>
                <w:i/>
                <w:color w:val="0000ff"/>
              </w:rPr>
              <w:t xml:space="preserve">Сокращение трудозатрат сотрудников, участвующих в закупочных процессах, FTE&gt;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 Проект-1&gt;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&lt;Обеспечение единства состава инженерной документации на всех географически распределенных площадках Компании&gt;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&lt;Повышение качества проектной и исполнительной документации&gt;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&lt;01.05.01.01.01 Проведение модернизации IT-обеспеченности бизнес-процесса&gt;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&lt;Сокращение трудозатрат сотрудников на формирование проектной и исполнительной документации, FTE&gt;</w:t>
            </w:r>
            <w:r/>
          </w:p>
        </w:tc>
      </w:tr>
    </w:tbl>
    <w:p>
      <w:pPr>
        <w:pStyle w:val="1032"/>
      </w:pPr>
      <w:r/>
      <w:bookmarkStart w:id="33" w:name="scroll-bookmark-22"/>
      <w:r/>
      <w:bookmarkStart w:id="34" w:name="_Toc256000011"/>
      <w:r>
        <w:t xml:space="preserve">2.   Заинтересованные стороны ИТ-решения</w:t>
      </w:r>
      <w:bookmarkEnd w:id="34"/>
      <w:r/>
      <w:bookmarkEnd w:id="33"/>
      <w:r/>
      <w:r/>
    </w:p>
    <w:p>
      <w:pPr>
        <w:pStyle w:val="1034"/>
      </w:pPr>
      <w:r/>
      <w:bookmarkStart w:id="35" w:name="scroll-bookmark-23"/>
      <w:r/>
      <w:bookmarkStart w:id="36" w:name="_Toc256000012"/>
      <w:r>
        <w:t xml:space="preserve">2.1  Список заинтересованных сторон [Оценка] [Выбор]</w:t>
      </w:r>
      <w:bookmarkEnd w:id="36"/>
      <w:r/>
      <w:bookmarkEnd w:id="35"/>
      <w:r/>
      <w:r/>
    </w:p>
    <w:p>
      <w:pPr>
        <w:pStyle w:val="1062"/>
        <w:keepNext/>
      </w:pPr>
      <w:r>
        <w:t xml:space="preserve">Таблица </w:t>
      </w:r>
      <w:r>
        <w:fldChar w:fldCharType="begin"/>
      </w:r>
      <w:r>
        <w:instrText xml:space="preserve">SEQ Таблица \* ARABIC</w:instrText>
      </w:r>
      <w:r>
        <w:fldChar w:fldCharType="separate"/>
      </w:r>
      <w:r>
        <w:t xml:space="preserve">10</w:t>
      </w:r>
      <w:r>
        <w:fldChar w:fldCharType="end"/>
      </w:r>
      <w:r>
        <w:t xml:space="preserve"> Список заинтересованных сторон</w:t>
      </w:r>
      <w:r/>
    </w:p>
    <w:tbl>
      <w:tblPr>
        <w:tblStyle w:val="1220"/>
        <w:tblW w:w="5000" w:type="pct"/>
        <w:tblLook w:val="0000" w:firstRow="0" w:lastRow="0" w:firstColumn="0" w:lastColumn="0" w:noHBand="0" w:noVBand="0"/>
      </w:tblPr>
      <w:tblGrid>
        <w:gridCol w:w="404"/>
        <w:gridCol w:w="2424"/>
        <w:gridCol w:w="2671"/>
        <w:gridCol w:w="1998"/>
        <w:gridCol w:w="1909"/>
        <w:gridCol w:w="4860"/>
      </w:tblGrid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bookmarkStart w:id="37" w:name="scroll-bookmark-24"/>
            <w:r>
              <w:rPr>
                <w:b/>
              </w:rPr>
              <w:t xml:space="preserve">№</w:t>
            </w:r>
            <w:bookmarkEnd w:id="37"/>
            <w:r/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Тип заинтересованной стороны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Заинтересованная сторона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ФИО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Комментарий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Код этапа ЖЦ ИТ-решения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&lt;Указывается тип заинтересованной стороны. Выберите одно из значений, например: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Представитель бизнеса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Ключевой пользователь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Регулятор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Представитель смежного [выбор: ИТР / Бизнес-процесса / проекта / </w:t>
            </w:r>
            <w:r>
              <w:rPr>
                <w:i/>
              </w:rPr>
              <w:t xml:space="preserve">функции</w:t>
            </w:r>
            <w:r>
              <w:rPr>
                <w:i/>
              </w:rPr>
              <w:t xml:space="preserve">]&gt;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&lt;Укажите для Представителя бизнеса, Ключевого пользователя, Представителя смежных ИТР/БП/проектов/</w:t>
            </w:r>
            <w:r>
              <w:rPr>
                <w:i/>
              </w:rPr>
              <w:t xml:space="preserve">функции</w:t>
            </w:r>
            <w:r>
              <w:rPr>
                <w:i/>
              </w:rPr>
              <w:t xml:space="preserve">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Организация (опционально, если вне ГК)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Подразделение или отдел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Должность или роль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Для внутренних регуляторов: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Название подразделения или коллегиального органа, разработавшего НМД 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Для внешних регуляторов: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Название регулятора, издавшего нормативный документ&gt;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&lt;Укажите ФИО и контакты конкретного лица / лиц для облегчения дальнейшей коммуникации&gt;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&lt;Укажите информацию (опционально), полезную при дальнейшей проработке требований&gt;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соответствующего этапа ЖЦ согласно таблице «Жизненный цикл ИТ-решения», в котором участвовал данный представитель заинтересованной стороны. Допускается указание нескольких этапов ЖЦ ИТ-решения в одной ячейке</w:t>
            </w:r>
            <w:r>
              <w:rPr>
                <w:i/>
              </w:rPr>
              <w:t xml:space="preserve">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1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&lt;Ключевой пользователь&gt;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&lt;КЦ ПАО «Газпром нефть» (БРД), Дирекция по ГРР и РРБ.</w:t>
            </w:r>
            <w:r>
              <w:rPr>
                <w:color w:val="0000ff"/>
              </w:rPr>
              <w:t xml:space="preserve"> </w:t>
            </w:r>
            <w:r>
              <w:rPr>
                <w:i/>
                <w:color w:val="0000ff"/>
              </w:rPr>
              <w:t xml:space="preserve">Департамент геологоразведочных работ. Руководитель департамента&gt;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Петров И.И.&gt;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Проект 1</w:t>
            </w:r>
            <w:r>
              <w:rPr>
                <w:i/>
                <w:color w:val="0000ff"/>
              </w:rPr>
              <w:t xml:space="preserve">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&lt;КЦП-1&gt;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2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&lt;Регулятор&gt;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Минэнерго</w:t>
            </w:r>
            <w:r>
              <w:rPr>
                <w:i/>
                <w:color w:val="0000ff"/>
              </w:rPr>
              <w:t xml:space="preserve"> РФ&gt;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&lt;-&gt;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Приказ №146 от 10.03.2023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Проект 1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&lt; 3&gt;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П</w:t>
            </w:r>
            <w:r>
              <w:rPr>
                <w:i/>
                <w:color w:val="0000ff"/>
              </w:rPr>
              <w:t xml:space="preserve">р</w:t>
            </w:r>
            <w:r>
              <w:rPr>
                <w:i/>
                <w:color w:val="0000ff"/>
              </w:rPr>
              <w:t xml:space="preserve">е</w:t>
            </w:r>
            <w:r>
              <w:rPr>
                <w:i/>
                <w:color w:val="0000ff"/>
              </w:rPr>
              <w:t xml:space="preserve">д</w:t>
            </w:r>
            <w:r>
              <w:rPr>
                <w:i/>
                <w:color w:val="0000ff"/>
              </w:rPr>
              <w:t xml:space="preserve">с</w:t>
            </w:r>
            <w:r>
              <w:rPr>
                <w:i/>
                <w:color w:val="0000ff"/>
              </w:rPr>
              <w:t xml:space="preserve">т</w:t>
            </w:r>
            <w:r>
              <w:rPr>
                <w:i/>
                <w:color w:val="0000ff"/>
              </w:rPr>
              <w:t xml:space="preserve">а</w:t>
            </w:r>
            <w:r>
              <w:rPr>
                <w:i/>
                <w:color w:val="0000ff"/>
              </w:rPr>
              <w:t xml:space="preserve">в</w:t>
            </w:r>
            <w:r>
              <w:rPr>
                <w:i/>
                <w:color w:val="0000ff"/>
              </w:rPr>
              <w:t xml:space="preserve">и</w:t>
            </w:r>
            <w:r>
              <w:rPr>
                <w:i/>
                <w:color w:val="0000ff"/>
              </w:rPr>
              <w:t xml:space="preserve">т</w:t>
            </w:r>
            <w:r>
              <w:rPr>
                <w:i/>
                <w:color w:val="0000ff"/>
              </w:rPr>
              <w:t xml:space="preserve">е</w:t>
            </w:r>
            <w:r>
              <w:rPr>
                <w:i/>
                <w:color w:val="0000ff"/>
              </w:rPr>
              <w:t xml:space="preserve">л</w:t>
            </w:r>
            <w:r>
              <w:rPr>
                <w:i/>
                <w:color w:val="0000ff"/>
              </w:rPr>
              <w:t xml:space="preserve">ь</w:t>
            </w:r>
            <w:r>
              <w:rPr>
                <w:i/>
                <w:color w:val="0000ff"/>
              </w:rPr>
              <w:t xml:space="preserve"> </w:t>
            </w:r>
            <w:r>
              <w:rPr>
                <w:i/>
                <w:color w:val="0000ff"/>
              </w:rPr>
              <w:t xml:space="preserve">ф</w:t>
            </w:r>
            <w:r>
              <w:rPr>
                <w:i/>
                <w:color w:val="0000ff"/>
              </w:rPr>
              <w:t xml:space="preserve">у</w:t>
            </w:r>
            <w:r>
              <w:rPr>
                <w:i/>
                <w:color w:val="0000ff"/>
              </w:rPr>
              <w:t xml:space="preserve">н</w:t>
            </w:r>
            <w:r>
              <w:rPr>
                <w:i/>
                <w:color w:val="0000ff"/>
              </w:rPr>
              <w:t xml:space="preserve">к</w:t>
            </w:r>
            <w:r>
              <w:rPr>
                <w:i/>
                <w:color w:val="0000ff"/>
              </w:rPr>
              <w:t xml:space="preserve">ц</w:t>
            </w:r>
            <w:r>
              <w:rPr>
                <w:i/>
                <w:color w:val="0000ff"/>
              </w:rPr>
              <w:t xml:space="preserve">и</w:t>
            </w:r>
            <w:r>
              <w:rPr>
                <w:i/>
                <w:color w:val="0000ff"/>
              </w:rPr>
              <w:t xml:space="preserve">и</w:t>
            </w:r>
            <w:r>
              <w:rPr>
                <w:i/>
                <w:color w:val="0000ff"/>
              </w:rPr>
              <w:t xml:space="preserve">.</w:t>
            </w:r>
            <w:r>
              <w:rPr>
                <w:i/>
                <w:color w:val="0000ff"/>
              </w:rPr>
              <w:t xml:space="preserve"> </w:t>
            </w:r>
            <w:r>
              <w:rPr>
                <w:i/>
                <w:color w:val="0000ff"/>
              </w:rPr>
              <w:t xml:space="preserve">Ф</w:t>
            </w:r>
            <w:r>
              <w:rPr>
                <w:i/>
                <w:color w:val="0000ff"/>
              </w:rPr>
              <w:t xml:space="preserve">у</w:t>
            </w:r>
            <w:r>
              <w:rPr>
                <w:i/>
                <w:color w:val="0000ff"/>
              </w:rPr>
              <w:t xml:space="preserve">н</w:t>
            </w:r>
            <w:r>
              <w:rPr>
                <w:i/>
                <w:color w:val="0000ff"/>
              </w:rPr>
              <w:t xml:space="preserve">к</w:t>
            </w:r>
            <w:r>
              <w:rPr>
                <w:i/>
                <w:color w:val="0000ff"/>
              </w:rPr>
              <w:t xml:space="preserve">ц</w:t>
            </w:r>
            <w:r>
              <w:rPr>
                <w:i/>
                <w:color w:val="0000ff"/>
              </w:rPr>
              <w:t xml:space="preserve">и</w:t>
            </w:r>
            <w:r>
              <w:rPr>
                <w:i/>
                <w:color w:val="0000ff"/>
              </w:rPr>
              <w:t xml:space="preserve">я</w:t>
            </w:r>
            <w:r>
              <w:rPr>
                <w:i/>
                <w:color w:val="0000ff"/>
              </w:rPr>
              <w:t xml:space="preserve"> </w:t>
            </w:r>
            <w:r>
              <w:rPr>
                <w:i/>
                <w:color w:val="0000ff"/>
              </w:rPr>
              <w:t xml:space="preserve">с</w:t>
            </w:r>
            <w:r>
              <w:rPr>
                <w:i/>
                <w:color w:val="0000ff"/>
              </w:rPr>
              <w:t xml:space="preserve">е</w:t>
            </w:r>
            <w:r>
              <w:rPr>
                <w:i/>
                <w:color w:val="0000ff"/>
              </w:rPr>
              <w:t xml:space="preserve">р</w:t>
            </w:r>
            <w:r>
              <w:rPr>
                <w:i/>
                <w:color w:val="0000ff"/>
              </w:rPr>
              <w:t xml:space="preserve">в</w:t>
            </w:r>
            <w:r>
              <w:rPr>
                <w:i/>
                <w:color w:val="0000ff"/>
              </w:rPr>
              <w:t xml:space="preserve">и</w:t>
            </w:r>
            <w:r>
              <w:rPr>
                <w:i/>
                <w:color w:val="0000ff"/>
              </w:rPr>
              <w:t xml:space="preserve">с</w:t>
            </w:r>
            <w:r>
              <w:rPr>
                <w:i/>
                <w:color w:val="0000ff"/>
              </w:rPr>
              <w:t xml:space="preserve">а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М</w:t>
            </w:r>
            <w:r>
              <w:rPr>
                <w:i/>
                <w:color w:val="0000ff"/>
              </w:rPr>
              <w:t xml:space="preserve">е</w:t>
            </w:r>
            <w:r>
              <w:rPr>
                <w:i/>
                <w:color w:val="0000ff"/>
              </w:rPr>
              <w:t xml:space="preserve">н</w:t>
            </w:r>
            <w:r>
              <w:rPr>
                <w:i/>
                <w:color w:val="0000ff"/>
              </w:rPr>
              <w:t xml:space="preserve">е</w:t>
            </w:r>
            <w:r>
              <w:rPr>
                <w:i/>
                <w:color w:val="0000ff"/>
              </w:rPr>
              <w:t xml:space="preserve">д</w:t>
            </w:r>
            <w:r>
              <w:rPr>
                <w:i/>
                <w:color w:val="0000ff"/>
              </w:rPr>
              <w:t xml:space="preserve">ж</w:t>
            </w:r>
            <w:r>
              <w:rPr>
                <w:i/>
                <w:color w:val="0000ff"/>
              </w:rPr>
              <w:t xml:space="preserve">е</w:t>
            </w:r>
            <w:r>
              <w:rPr>
                <w:i/>
                <w:color w:val="0000ff"/>
              </w:rPr>
              <w:t xml:space="preserve">р</w:t>
            </w:r>
            <w:r>
              <w:rPr>
                <w:i/>
                <w:color w:val="0000ff"/>
              </w:rPr>
              <w:t xml:space="preserve"> </w:t>
            </w:r>
            <w:r>
              <w:rPr>
                <w:i/>
                <w:color w:val="0000ff"/>
              </w:rPr>
              <w:t xml:space="preserve">п</w:t>
            </w:r>
            <w:r>
              <w:rPr>
                <w:i/>
                <w:color w:val="0000ff"/>
              </w:rPr>
              <w:t xml:space="preserve">р</w:t>
            </w:r>
            <w:r>
              <w:rPr>
                <w:i/>
                <w:color w:val="0000ff"/>
              </w:rPr>
              <w:t xml:space="preserve">о</w:t>
            </w:r>
            <w:r>
              <w:rPr>
                <w:i/>
                <w:color w:val="0000ff"/>
              </w:rPr>
              <w:t xml:space="preserve">е</w:t>
            </w:r>
            <w:r>
              <w:rPr>
                <w:i/>
                <w:color w:val="0000ff"/>
              </w:rPr>
              <w:t xml:space="preserve">к</w:t>
            </w:r>
            <w:r>
              <w:rPr>
                <w:i/>
                <w:color w:val="0000ff"/>
              </w:rPr>
              <w:t xml:space="preserve">т</w:t>
            </w:r>
            <w:r>
              <w:rPr>
                <w:i/>
                <w:color w:val="0000ff"/>
              </w:rPr>
              <w:t xml:space="preserve">и</w:t>
            </w:r>
            <w:r>
              <w:rPr>
                <w:i/>
                <w:color w:val="0000ff"/>
              </w:rPr>
              <w:t xml:space="preserve">р</w:t>
            </w:r>
            <w:r>
              <w:rPr>
                <w:i/>
                <w:color w:val="0000ff"/>
              </w:rPr>
              <w:t xml:space="preserve">о</w:t>
            </w:r>
            <w:r>
              <w:rPr>
                <w:i/>
                <w:color w:val="0000ff"/>
              </w:rPr>
              <w:t xml:space="preserve">в</w:t>
            </w:r>
            <w:r>
              <w:rPr>
                <w:i/>
                <w:color w:val="0000ff"/>
              </w:rPr>
              <w:t xml:space="preserve">а</w:t>
            </w:r>
            <w:r>
              <w:rPr>
                <w:i/>
                <w:color w:val="0000ff"/>
              </w:rPr>
              <w:t xml:space="preserve">н</w:t>
            </w:r>
            <w:r>
              <w:rPr>
                <w:i/>
                <w:color w:val="0000ff"/>
              </w:rPr>
              <w:t xml:space="preserve">и</w:t>
            </w:r>
            <w:r>
              <w:rPr>
                <w:i/>
                <w:color w:val="0000ff"/>
              </w:rPr>
              <w:t xml:space="preserve">я</w:t>
            </w:r>
            <w:r>
              <w:rPr>
                <w:i/>
                <w:color w:val="0000ff"/>
              </w:rPr>
              <w:t xml:space="preserve"> </w:t>
            </w:r>
            <w:r>
              <w:rPr>
                <w:i/>
                <w:color w:val="0000ff"/>
              </w:rPr>
              <w:t xml:space="preserve">с</w:t>
            </w:r>
            <w:r>
              <w:rPr>
                <w:i/>
                <w:color w:val="0000ff"/>
              </w:rPr>
              <w:t xml:space="preserve">е</w:t>
            </w:r>
            <w:r>
              <w:rPr>
                <w:i/>
                <w:color w:val="0000ff"/>
              </w:rPr>
              <w:t xml:space="preserve">р</w:t>
            </w:r>
            <w:r>
              <w:rPr>
                <w:i/>
                <w:color w:val="0000ff"/>
              </w:rPr>
              <w:t xml:space="preserve">в</w:t>
            </w:r>
            <w:r>
              <w:rPr>
                <w:i/>
                <w:color w:val="0000ff"/>
              </w:rPr>
              <w:t xml:space="preserve">и</w:t>
            </w:r>
            <w:r>
              <w:rPr>
                <w:i/>
                <w:color w:val="0000ff"/>
              </w:rPr>
              <w:t xml:space="preserve">с</w:t>
            </w:r>
            <w:r>
              <w:rPr>
                <w:i/>
                <w:color w:val="0000ff"/>
              </w:rPr>
              <w:t xml:space="preserve">а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&lt;Сидоров А.В.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Проект 2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</w:tr>
    </w:tbl>
    <w:p>
      <w:pPr>
        <w:pStyle w:val="1034"/>
      </w:pPr>
      <w:r/>
      <w:bookmarkStart w:id="38" w:name="scroll-bookmark-25"/>
      <w:r/>
      <w:bookmarkStart w:id="39" w:name="_Toc256000013"/>
      <w:r>
        <w:t xml:space="preserve">2.2  Требования заинтересованных сторон [Оценка] [Выбор]</w:t>
      </w:r>
      <w:bookmarkEnd w:id="39"/>
      <w:r/>
      <w:bookmarkEnd w:id="38"/>
      <w:r/>
      <w:r/>
    </w:p>
    <w:p>
      <w:pPr>
        <w:pStyle w:val="1062"/>
        <w:keepNext/>
      </w:pPr>
      <w:r>
        <w:t xml:space="preserve">Таблица </w:t>
      </w:r>
      <w:r>
        <w:fldChar w:fldCharType="begin"/>
      </w:r>
      <w:r>
        <w:instrText xml:space="preserve">SEQ Таблица \* ARABIC</w:instrText>
      </w:r>
      <w:r>
        <w:fldChar w:fldCharType="separate"/>
      </w:r>
      <w:r>
        <w:t xml:space="preserve">11</w:t>
      </w:r>
      <w:r>
        <w:fldChar w:fldCharType="end"/>
      </w:r>
      <w:r>
        <w:t xml:space="preserve"> Требования заинтересованных сторон</w:t>
      </w:r>
      <w:r/>
    </w:p>
    <w:tbl>
      <w:tblPr>
        <w:tblStyle w:val="1220"/>
        <w:tblW w:w="5000" w:type="pct"/>
        <w:tblLook w:val="0000" w:firstRow="0" w:lastRow="0" w:firstColumn="0" w:lastColumn="0" w:noHBand="0" w:noVBand="0"/>
      </w:tblPr>
      <w:tblGrid>
        <w:gridCol w:w="998"/>
        <w:gridCol w:w="1748"/>
        <w:gridCol w:w="1330"/>
        <w:gridCol w:w="1426"/>
        <w:gridCol w:w="1718"/>
        <w:gridCol w:w="1472"/>
        <w:gridCol w:w="1811"/>
        <w:gridCol w:w="1253"/>
        <w:gridCol w:w="1643"/>
        <w:gridCol w:w="878"/>
      </w:tblGrid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bookmarkStart w:id="40" w:name="scroll-bookmark-26"/>
            <w:r>
              <w:rPr>
                <w:b/>
              </w:rPr>
              <w:t xml:space="preserve">Код ТЗС</w:t>
            </w:r>
            <w:bookmarkEnd w:id="40"/>
            <w:r/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Тип требования заинтересованной стороны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ФИО ЗС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Бизнес-роль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Описание требования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Обоснование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Бизнес-функциональность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Критичность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Код этапа ЖЦ ИТ-решения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Статус для этапа ЖЦ ИТ-решения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 префиксом «ТЗС»&gt;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&lt;Выберите одно из значений, например: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 </w:t>
            </w:r>
            <w:r>
              <w:rPr>
                <w:i/>
              </w:rPr>
              <w:t xml:space="preserve">Бизнес-требование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 </w:t>
            </w:r>
            <w:r>
              <w:rPr>
                <w:i/>
              </w:rPr>
              <w:t xml:space="preserve">Пользовательское требование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 </w:t>
            </w:r>
            <w:r>
              <w:rPr>
                <w:i/>
              </w:rPr>
              <w:t xml:space="preserve">Ограничение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 </w:t>
            </w:r>
            <w:r>
              <w:rPr>
                <w:i/>
              </w:rPr>
              <w:t xml:space="preserve">Требование смежного [выбор: ИТР / Бизнес-процесса / проекта]&gt;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&lt;Источник требования: ФИО представителя ЗС / наименование ЗС&gt;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&lt;По возможности, указывается конкретная бизнес-роль в ИТ-решении, которая будет выполнять данный функционал (кто)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Если указание бизнес-роли невозможно, кратко указывается причина (например, "ТЗС относится ко всему ИТР"&gt;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&lt;Указывается определенное действие, которое бизнес-роль должна иметь возможность выполнять в ИТ-решении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(что)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Или какому требованию должно соответствовать ИТР&gt;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&lt;Указывается цель или выгода, которую это ТЗС должно достигать&gt;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&lt;Указывается код БФ, выявленного на основании данного ТЗС. Если ТЗС относится ко всему ИТР (БФ не выявляется), в поле указывается прочерк&gt;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&lt;Указывается одно из значений: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 </w:t>
            </w:r>
            <w:r>
              <w:rPr>
                <w:i/>
              </w:rPr>
              <w:t xml:space="preserve">Отсекающий критерий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 </w:t>
            </w:r>
            <w:r>
              <w:rPr>
                <w:i/>
              </w:rPr>
              <w:t xml:space="preserve">Критичное требование 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 </w:t>
            </w:r>
            <w:r>
              <w:rPr>
                <w:i/>
              </w:rPr>
              <w:t xml:space="preserve">Рабочее требование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 </w:t>
            </w:r>
            <w:r>
              <w:rPr>
                <w:i/>
              </w:rPr>
              <w:t xml:space="preserve">Пожелание&gt;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соответствующего этапа ЖЦ согласно таблице «Жизненный цикл ИТ-решения»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ТЗС-1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Пользовательское требование</w:t>
            </w:r>
            <w:r>
              <w:rPr>
                <w:i/>
                <w:color w:val="0000ff"/>
              </w:rPr>
              <w:t xml:space="preserve">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  <w:color w:val="0000ff"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&lt;Петров П.П.&gt;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&lt;Инженер проекта капитального строительства&gt;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&lt;Настраивать график поступления инженерной документации от подрядчиков&gt;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&lt;Соблюдать сроки проекта&gt;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БФ-1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Рабочее требование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ТЗС-2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&lt;Ограничение&gt;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М</w:t>
            </w:r>
            <w:r>
              <w:rPr>
                <w:i/>
                <w:color w:val="0000ff"/>
              </w:rPr>
              <w:t xml:space="preserve">инэнерго РФ</w:t>
            </w:r>
            <w:r>
              <w:rPr>
                <w:i/>
                <w:color w:val="0000ff"/>
              </w:rPr>
              <w:t xml:space="preserve">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(Приказ №146 от 10.03.2023)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Соблюдать особенности определения количества направленного на переработку нефтяного сырья&gt;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В целях исчисления акциза на нефтяное сырье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БФ-2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Критичное требование</w:t>
            </w:r>
            <w:r>
              <w:rPr>
                <w:i/>
                <w:color w:val="0000ff"/>
              </w:rPr>
              <w:t xml:space="preserve">&gt;</w:t>
            </w:r>
            <w:r>
              <w:rPr>
                <w:i/>
                <w:color w:val="0000ff"/>
              </w:rPr>
              <w:t xml:space="preserve"> 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ТЗС-3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Т</w:t>
            </w:r>
            <w:r>
              <w:rPr>
                <w:i/>
                <w:color w:val="0000ff"/>
              </w:rPr>
              <w:t xml:space="preserve">р</w:t>
            </w:r>
            <w:r>
              <w:rPr>
                <w:i/>
                <w:color w:val="0000ff"/>
              </w:rPr>
              <w:t xml:space="preserve">е</w:t>
            </w:r>
            <w:r>
              <w:rPr>
                <w:i/>
                <w:color w:val="0000ff"/>
              </w:rPr>
              <w:t xml:space="preserve">б</w:t>
            </w:r>
            <w:r>
              <w:rPr>
                <w:i/>
                <w:color w:val="0000ff"/>
              </w:rPr>
              <w:t xml:space="preserve">о</w:t>
            </w:r>
            <w:r>
              <w:rPr>
                <w:i/>
                <w:color w:val="0000ff"/>
              </w:rPr>
              <w:t xml:space="preserve">в</w:t>
            </w:r>
            <w:r>
              <w:rPr>
                <w:i/>
                <w:color w:val="0000ff"/>
              </w:rPr>
              <w:t xml:space="preserve">а</w:t>
            </w:r>
            <w:r>
              <w:rPr>
                <w:i/>
                <w:color w:val="0000ff"/>
              </w:rPr>
              <w:t xml:space="preserve">н</w:t>
            </w:r>
            <w:r>
              <w:rPr>
                <w:i/>
                <w:color w:val="0000ff"/>
              </w:rPr>
              <w:t xml:space="preserve">и</w:t>
            </w:r>
            <w:r>
              <w:rPr>
                <w:i/>
                <w:color w:val="0000ff"/>
              </w:rPr>
              <w:t xml:space="preserve">я</w:t>
            </w:r>
            <w:r>
              <w:rPr>
                <w:i/>
                <w:color w:val="0000ff"/>
              </w:rPr>
              <w:t xml:space="preserve"> </w:t>
            </w:r>
            <w:r>
              <w:rPr>
                <w:i/>
                <w:color w:val="0000ff"/>
              </w:rPr>
              <w:t xml:space="preserve">ф</w:t>
            </w:r>
            <w:r>
              <w:rPr>
                <w:i/>
                <w:color w:val="0000ff"/>
              </w:rPr>
              <w:t xml:space="preserve">у</w:t>
            </w:r>
            <w:r>
              <w:rPr>
                <w:i/>
                <w:color w:val="0000ff"/>
              </w:rPr>
              <w:t xml:space="preserve">н</w:t>
            </w:r>
            <w:r>
              <w:rPr>
                <w:i/>
                <w:color w:val="0000ff"/>
              </w:rPr>
              <w:t xml:space="preserve">к</w:t>
            </w:r>
            <w:r>
              <w:rPr>
                <w:i/>
                <w:color w:val="0000ff"/>
              </w:rPr>
              <w:t xml:space="preserve">ц</w:t>
            </w:r>
            <w:r>
              <w:rPr>
                <w:i/>
                <w:color w:val="0000ff"/>
              </w:rPr>
              <w:t xml:space="preserve">и</w:t>
            </w:r>
            <w:r>
              <w:rPr>
                <w:i/>
                <w:color w:val="0000ff"/>
              </w:rPr>
              <w:t xml:space="preserve">и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&lt;Сидоров А.В.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ТЗС относится ко всему ИТР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возможность заблаговременно информировать пользователей или группы пользователей о предстоящих регламентных и планово-восстановительных работах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минимизировать негативное влияние на бизнес-процессы и снизить количество обращений в службу поддержки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&lt;-&gt;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&lt;Критичное требование&gt;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П</w:t>
            </w:r>
            <w:r>
              <w:rPr>
                <w:i/>
                <w:color w:val="0000ff"/>
              </w:rPr>
              <w:t xml:space="preserve">р</w:t>
            </w:r>
            <w:r>
              <w:rPr>
                <w:i/>
                <w:color w:val="0000ff"/>
              </w:rPr>
              <w:t xml:space="preserve">о</w:t>
            </w:r>
            <w:r>
              <w:rPr>
                <w:i/>
                <w:color w:val="0000ff"/>
              </w:rPr>
              <w:t xml:space="preserve">е</w:t>
            </w:r>
            <w:r>
              <w:rPr>
                <w:i/>
                <w:color w:val="0000ff"/>
              </w:rPr>
              <w:t xml:space="preserve">к</w:t>
            </w:r>
            <w:r>
              <w:rPr>
                <w:i/>
                <w:color w:val="0000ff"/>
              </w:rPr>
              <w:t xml:space="preserve">т</w:t>
            </w:r>
            <w:r>
              <w:rPr>
                <w:i/>
                <w:color w:val="0000ff"/>
              </w:rPr>
              <w:t xml:space="preserve"> 2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Н</w:t>
            </w:r>
            <w:r>
              <w:rPr>
                <w:i/>
                <w:color w:val="0000ff"/>
              </w:rPr>
              <w:t xml:space="preserve">о</w:t>
            </w:r>
            <w:r>
              <w:rPr>
                <w:i/>
                <w:color w:val="0000ff"/>
              </w:rPr>
              <w:t xml:space="preserve">в</w:t>
            </w:r>
            <w:r>
              <w:rPr>
                <w:i/>
                <w:color w:val="0000ff"/>
              </w:rPr>
              <w:t xml:space="preserve">о</w:t>
            </w:r>
            <w:r>
              <w:rPr>
                <w:i/>
                <w:color w:val="0000ff"/>
              </w:rPr>
              <w:t xml:space="preserve">е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</w:tr>
    </w:tbl>
    <w:p>
      <w:pPr>
        <w:pStyle w:val="1032"/>
      </w:pPr>
      <w:r/>
      <w:bookmarkStart w:id="41" w:name="scroll-bookmark-27"/>
      <w:r/>
      <w:bookmarkStart w:id="42" w:name="_Toc256000014"/>
      <w:r>
        <w:t xml:space="preserve">3.   Пользователи ИТ-Решения и бизнес-роли [Выбор]</w:t>
      </w:r>
      <w:bookmarkEnd w:id="42"/>
      <w:r/>
      <w:bookmarkEnd w:id="41"/>
      <w:r/>
      <w:r/>
    </w:p>
    <w:p>
      <w:pPr>
        <w:pStyle w:val="1062"/>
        <w:keepNext/>
      </w:pPr>
      <w:r>
        <w:t xml:space="preserve">Таблица </w:t>
      </w:r>
      <w:r>
        <w:fldChar w:fldCharType="begin"/>
      </w:r>
      <w:r>
        <w:instrText xml:space="preserve">SEQ Таблица \* ARABIC</w:instrText>
      </w:r>
      <w:r>
        <w:fldChar w:fldCharType="separate"/>
      </w:r>
      <w:r>
        <w:t xml:space="preserve">12</w:t>
      </w:r>
      <w:r>
        <w:fldChar w:fldCharType="end"/>
      </w:r>
      <w:r>
        <w:t xml:space="preserve"> Пользователи ИТ-решения  </w:t>
      </w:r>
      <w:r/>
    </w:p>
    <w:tbl>
      <w:tblPr>
        <w:tblStyle w:val="1220"/>
        <w:tblW w:w="5000" w:type="pct"/>
        <w:tblLook w:val="0000" w:firstRow="0" w:lastRow="0" w:firstColumn="0" w:lastColumn="0" w:noHBand="0" w:noVBand="0"/>
      </w:tblPr>
      <w:tblGrid>
        <w:gridCol w:w="589"/>
        <w:gridCol w:w="2180"/>
        <w:gridCol w:w="2512"/>
        <w:gridCol w:w="2194"/>
        <w:gridCol w:w="2596"/>
        <w:gridCol w:w="1918"/>
        <w:gridCol w:w="2278"/>
      </w:tblGrid>
      <w:tr>
        <w:tblPrEx/>
        <w:trPr/>
        <w:tc>
          <w:tcPr>
            <w:vMerge w:val="restart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bookmarkStart w:id="43" w:name="scroll-bookmark-28"/>
            <w:r>
              <w:rPr>
                <w:b/>
              </w:rPr>
              <w:t xml:space="preserve">№</w:t>
            </w:r>
            <w:bookmarkEnd w:id="43"/>
            <w:r/>
            <w:r/>
          </w:p>
        </w:tc>
        <w:tc>
          <w:tcPr>
            <w:vMerge w:val="restart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Наименование бизнес-роли</w:t>
            </w:r>
            <w:r/>
          </w:p>
        </w:tc>
        <w:tc>
          <w:tcPr>
            <w:gridSpan w:val="2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Исполнители бизнес-роли</w:t>
            </w:r>
            <w:r/>
          </w:p>
        </w:tc>
        <w:tc>
          <w:tcPr>
            <w:vMerge w:val="restart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Бизнес-функциональность, доступная для роли</w:t>
            </w:r>
            <w:r/>
          </w:p>
        </w:tc>
        <w:tc>
          <w:tcPr>
            <w:vMerge w:val="restart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Доступ к сведениям по КТ-040* и/или ПДн</w:t>
            </w:r>
            <w:r/>
          </w:p>
        </w:tc>
        <w:tc>
          <w:tcPr>
            <w:vMerge w:val="restart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Код этапа ЖЦ ИТ-решения</w:t>
            </w:r>
            <w:r/>
          </w:p>
        </w:tc>
      </w:tr>
      <w:tr>
        <w:tblPrEx/>
        <w:trPr/>
        <w:tc>
          <w:tcPr>
            <w:vMerge w:val="continue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r/>
          </w:p>
        </w:tc>
        <w:tc>
          <w:tcPr>
            <w:vMerge w:val="continue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Организация ГК ГПН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Количество пользователей</w:t>
            </w:r>
            <w:r/>
          </w:p>
        </w:tc>
        <w:tc>
          <w:tcPr>
            <w:vMerge w:val="continue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r/>
          </w:p>
        </w:tc>
        <w:tc>
          <w:tcPr>
            <w:vMerge w:val="continue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r/>
          </w:p>
        </w:tc>
        <w:tc>
          <w:tcPr>
            <w:vMerge w:val="continue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№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Бизнес-роль пользователя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&lt;ДО, Департамент ДО, Подразделение департамента ДО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или Блок, Департамент, Подразделение департамента&gt;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&lt;Количество пользователей, выполняющих указанную роль в соответствующем подразделении&gt;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&lt;Приводятся коды БФ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опционально указывается пояснение, в какой степени БФ доступна для роли (выполнение, просмотр, изменение)&gt;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&lt;Указывается наличие доступа в рамках БФ к сведениям по КТ-040 (да / нет) и/или ПДн (да / нет)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При указании доступа к сведениям, содержащимся в КТ-040 необходимо указать номер его версии&gt;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соответствующего этапа ЖЦ согласно таблице «Жизненный цикл ИТ-решения»</w:t>
            </w:r>
            <w:r>
              <w:rPr>
                <w:i/>
              </w:rPr>
              <w:t xml:space="preserve">&gt;</w:t>
            </w:r>
            <w:r/>
          </w:p>
        </w:tc>
      </w:tr>
      <w:tr>
        <w:tblPrEx/>
        <w:trPr/>
        <w:tc>
          <w:tcPr>
            <w:gridSpan w:val="3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Общее количество пользователей: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&lt;Сумма по столбцу&gt;</w:t>
            </w:r>
            <w:r/>
          </w:p>
        </w:tc>
        <w:tc>
          <w:tcPr>
            <w:gridSpan w:val="3"/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&lt;1&gt;</w:t>
            </w:r>
            <w:r/>
          </w:p>
        </w:tc>
        <w:tc>
          <w:tcPr>
            <w:vMerge w:val="restart"/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&lt;Руководитель функционального направления&gt;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 </w:t>
            </w:r>
            <w:r/>
          </w:p>
        </w:tc>
        <w:tc>
          <w:tcPr>
            <w:vMerge w:val="restart"/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&lt;КЦ ПАО «Газпром нефть» (БРД), Дирекция по ГРР и РРБ, Департамент геологоразведочных работ&gt;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 </w:t>
            </w:r>
            <w:r/>
          </w:p>
        </w:tc>
        <w:tc>
          <w:tcPr>
            <w:vMerge w:val="restart"/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&lt;10&gt;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БФ-1.1 </w:t>
            </w:r>
            <w:r>
              <w:rPr>
                <w:i/>
                <w:color w:val="0000ff"/>
              </w:rPr>
              <w:t xml:space="preserve">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БФ-1.2 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vMerge w:val="restart"/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 &lt;Нет&gt;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Проект-1</w:t>
            </w:r>
            <w:r>
              <w:rPr>
                <w:i/>
                <w:color w:val="0000ff"/>
              </w:rPr>
              <w:t xml:space="preserve">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 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&lt;2&gt;</w:t>
            </w:r>
            <w:r/>
          </w:p>
        </w:tc>
        <w:tc>
          <w:tcPr>
            <w:vMerge w:val="continue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r/>
          </w:p>
        </w:tc>
        <w:tc>
          <w:tcPr>
            <w:vMerge w:val="continue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r/>
          </w:p>
        </w:tc>
        <w:tc>
          <w:tcPr>
            <w:vMerge w:val="continue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БФ-1.3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vMerge w:val="continue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КЦП-2</w:t>
            </w:r>
            <w:r>
              <w:rPr>
                <w:i/>
                <w:color w:val="0000ff"/>
              </w:rPr>
              <w:t xml:space="preserve">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 </w:t>
            </w:r>
            <w:r/>
          </w:p>
        </w:tc>
      </w:tr>
      <w:tr>
        <w:tblPrEx/>
        <w:trPr/>
        <w:tc>
          <w:tcPr>
            <w:gridSpan w:val="3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color w:val="0000ff"/>
              </w:rPr>
              <w:t xml:space="preserve">Общее количество пользователей: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&lt;10&gt;</w:t>
            </w:r>
            <w:r/>
          </w:p>
        </w:tc>
        <w:tc>
          <w:tcPr>
            <w:gridSpan w:val="3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 </w:t>
            </w:r>
            <w:r/>
          </w:p>
        </w:tc>
      </w:tr>
    </w:tbl>
    <w:p>
      <w:pPr>
        <w:pStyle w:val="1032"/>
      </w:pPr>
      <w:r/>
      <w:bookmarkStart w:id="51" w:name="scroll-bookmark-34"/>
      <w:r/>
      <w:bookmarkStart w:id="52" w:name="_Toc256000017"/>
      <w:r>
        <w:t xml:space="preserve">4.   Модели процессов</w:t>
      </w:r>
      <w:bookmarkEnd w:id="52"/>
      <w:r/>
      <w:bookmarkEnd w:id="51"/>
      <w:r/>
      <w:r/>
    </w:p>
    <w:p>
      <w:pPr>
        <w:pStyle w:val="1062"/>
        <w:keepNext/>
      </w:pPr>
      <w:r>
        <w:t xml:space="preserve">Таблица </w:t>
      </w:r>
      <w:r>
        <w:fldChar w:fldCharType="begin"/>
      </w:r>
      <w:r>
        <w:instrText xml:space="preserve">SEQ Таблица \* ARABIC</w:instrText>
      </w:r>
      <w:r>
        <w:fldChar w:fldCharType="separate"/>
      </w:r>
      <w:r>
        <w:t xml:space="preserve">16</w:t>
      </w:r>
      <w:r>
        <w:fldChar w:fldCharType="end"/>
      </w:r>
      <w:r>
        <w:t xml:space="preserve"> Реестр изменений моделей процессов</w:t>
      </w:r>
      <w:r/>
    </w:p>
    <w:tbl>
      <w:tblPr>
        <w:tblStyle w:val="1220"/>
        <w:tblW w:w="5000" w:type="pct"/>
        <w:tblLook w:val="0000" w:firstRow="0" w:lastRow="0" w:firstColumn="0" w:lastColumn="0" w:noHBand="0" w:noVBand="0"/>
      </w:tblPr>
      <w:tblGrid>
        <w:gridCol w:w="1518"/>
        <w:gridCol w:w="1990"/>
        <w:gridCol w:w="5248"/>
        <w:gridCol w:w="1759"/>
        <w:gridCol w:w="1475"/>
        <w:gridCol w:w="2278"/>
      </w:tblGrid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bookmarkStart w:id="53" w:name="scroll-bookmark-35"/>
            <w:r>
              <w:rPr>
                <w:b/>
              </w:rPr>
              <w:t xml:space="preserve">№</w:t>
            </w:r>
            <w:bookmarkEnd w:id="53"/>
            <w:r/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Вид модели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Описание модели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№ рисунка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Статус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Код ЖЦ ИТ-решения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Порядковый №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&lt;Выбор из: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 </w:t>
            </w:r>
            <w:r>
              <w:rPr>
                <w:i/>
              </w:rPr>
              <w:t xml:space="preserve">Сквозной процесс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 </w:t>
            </w:r>
            <w:r>
              <w:rPr>
                <w:i/>
              </w:rPr>
              <w:t xml:space="preserve">Модель БП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 </w:t>
            </w:r>
            <w:r>
              <w:rPr>
                <w:i/>
              </w:rPr>
              <w:t xml:space="preserve">Процесс взаимодействия с ИТ-решением&gt;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&lt;Краткая аннотация модели.&gt;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Выбирается одно из значений: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Создана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Изменена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Архивная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соответствующего этапа ЖЦ см. «Жизненный цикл ИТ-решения»&gt;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&lt;1&gt;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&lt;Сквозной процесс&gt;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&lt;Построена м</w:t>
            </w:r>
            <w:r>
              <w:rPr>
                <w:i/>
                <w:color w:val="0000ff"/>
              </w:rPr>
              <w:t xml:space="preserve">одель сквозного процесса для автоматизации посредством ИТ-решения «</w:t>
            </w:r>
            <w:r>
              <w:rPr>
                <w:i/>
                <w:color w:val="0000ff"/>
              </w:rPr>
              <w:t xml:space="preserve">EXoil</w:t>
            </w:r>
            <w:r>
              <w:rPr>
                <w:i/>
                <w:color w:val="0000ff"/>
              </w:rPr>
              <w:t xml:space="preserve">»&gt;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Рисунок 1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Создана + версия ЕДТ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&lt;Проект-1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&lt;2&gt;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Модель БП «01.05.02.01.02 Управление ГТМ»&gt;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&lt;Приведена актуальная </w:t>
            </w:r>
            <w:r>
              <w:rPr>
                <w:i/>
                <w:color w:val="0000ff"/>
              </w:rPr>
              <w:t xml:space="preserve">EPC</w:t>
            </w:r>
            <w:r>
              <w:rPr>
                <w:i/>
                <w:color w:val="0000ff"/>
              </w:rPr>
              <w:t xml:space="preserve">-модель бизнес-процесса с указанием автоматизируемых операций&gt;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&lt;Рисунок 3 – изменен, перенесен в Приложение 6&gt;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-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&lt;Проект-1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&lt;3&gt;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&lt;Модель БП «01.05.02.01.02 Управление ГТМ»&gt;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&lt;Изменена последовательность операций бизнес-процесса с указанием автоматизируемых операций&gt;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&lt;Рисунок 6 – актуальная версия&gt;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Изменена + версия ЕДТ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Проект-2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&lt;4&gt;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&lt;Процесс взаимодействия с ИТ-решением&gt;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&lt;Сформирована модель процесса взаимодействия бизнеса с ИТ-решением </w:t>
            </w:r>
            <w:r>
              <w:rPr>
                <w:i/>
                <w:color w:val="0000ff"/>
              </w:rPr>
              <w:t xml:space="preserve">«</w:t>
            </w:r>
            <w:r>
              <w:rPr>
                <w:i/>
                <w:color w:val="0000ff"/>
              </w:rPr>
              <w:t xml:space="preserve">EXoil</w:t>
            </w:r>
            <w:r>
              <w:rPr>
                <w:i/>
                <w:color w:val="0000ff"/>
              </w:rPr>
              <w:t xml:space="preserve">»</w:t>
            </w:r>
            <w:r>
              <w:rPr>
                <w:i/>
                <w:color w:val="0000ff"/>
              </w:rPr>
              <w:t xml:space="preserve"> при расчете эффекта от ГТМ на базе цифрового двойника месторождения&gt;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&lt;Рисунок 5 – актуальная версия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Создана + версия ЕДТ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&lt;Проект-1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&lt;5&gt;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&lt;Процесс взаимодействия с ИТ-решением&gt;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&lt;Use Case построения карты гео-основы месторождения&gt;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&lt;Таблица 43 – актуальная версия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Создана + версия ЕДТ</w:t>
            </w:r>
            <w:r>
              <w:rPr>
                <w:i/>
                <w:color w:val="0000ff"/>
              </w:rPr>
              <w:t xml:space="preserve"> 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&lt;КЦП-3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</w:tr>
    </w:tbl>
    <w:p>
      <w:pPr>
        <w:pStyle w:val="1034"/>
      </w:pPr>
      <w:r/>
      <w:bookmarkStart w:id="54" w:name="scroll-bookmark-36"/>
      <w:r/>
      <w:bookmarkStart w:id="55" w:name="_Toc256000018"/>
      <w:r>
        <w:t xml:space="preserve">4.1  Сквозной процесс [Оценка]</w:t>
      </w:r>
      <w:bookmarkEnd w:id="55"/>
      <w:r/>
      <w:bookmarkEnd w:id="54"/>
      <w:r/>
      <w:r/>
    </w:p>
    <w:p>
      <w:r/>
      <w:r/>
    </w:p>
    <w:p>
      <w:r/>
      <w:r/>
    </w:p>
    <w:p>
      <w:pPr>
        <w:keepNext/>
      </w:pPr>
      <w:r/>
      <w:bookmarkStart w:id="56" w:name="scroll-bookmark-37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978399" cy="3810000"/>
                <wp:effectExtent l="0" t="0" r="0" b="0"/>
                <wp:docPr id="1" name="" title="Модель сквозного процесса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6978399" cy="3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49.48pt;height:300.00pt;mso-wrap-distance-left:0.00pt;mso-wrap-distance-top:0.00pt;mso-wrap-distance-right:0.00pt;mso-wrap-distance-bottom:0.00pt;" stroked="false">
                <v:path textboxrect="0,0,0,0"/>
                <v:imagedata r:id="rId25" o:title=""/>
              </v:shape>
            </w:pict>
          </mc:Fallback>
        </mc:AlternateContent>
      </w:r>
      <w:bookmarkEnd w:id="56"/>
      <w:r/>
      <w:r/>
    </w:p>
    <w:p>
      <w:pPr>
        <w:pStyle w:val="1062"/>
      </w:pPr>
      <w:r>
        <w:t xml:space="preserve">Рисунок </w:t>
      </w:r>
      <w:r>
        <w:fldChar w:fldCharType="begin"/>
      </w:r>
      <w:r>
        <w:instrText xml:space="preserve">SEQ Рисунок \* ARABIC</w:instrText>
      </w:r>
      <w:r>
        <w:fldChar w:fldCharType="separate"/>
      </w:r>
      <w:r>
        <w:t xml:space="preserve">1</w:t>
      </w:r>
      <w:r>
        <w:fldChar w:fldCharType="end"/>
      </w:r>
      <w:r>
        <w:t xml:space="preserve"> Модель сквозного процесса</w:t>
      </w:r>
      <w:r/>
    </w:p>
    <w:p>
      <w:pPr>
        <w:pStyle w:val="1062"/>
      </w:pPr>
      <w:r/>
      <w:r/>
    </w:p>
    <w:p>
      <w:r/>
      <w:r/>
    </w:p>
    <w:p>
      <w:pPr>
        <w:pStyle w:val="1034"/>
      </w:pPr>
      <w:r/>
      <w:bookmarkStart w:id="57" w:name="scroll-bookmark-38"/>
      <w:r/>
      <w:bookmarkStart w:id="58" w:name="_Toc256000019"/>
      <w:r>
        <w:t xml:space="preserve">4.2  Модели бизнес-процессов [Оценка] [Выбор]</w:t>
      </w:r>
      <w:bookmarkEnd w:id="58"/>
      <w:r/>
      <w:bookmarkEnd w:id="57"/>
      <w:r/>
      <w:r/>
    </w:p>
    <w:p>
      <w:r/>
      <w:r/>
    </w:p>
    <w:p>
      <w:pPr>
        <w:keepNext/>
      </w:pPr>
      <w:r/>
      <w:bookmarkStart w:id="59" w:name="scroll-bookmark-39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191459" cy="3810000"/>
                <wp:effectExtent l="0" t="0" r="0" b="0"/>
                <wp:docPr id="2" name="" title="Упрощенная модель бизнес-процесса «Номер и наименование»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7191459" cy="3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566.26pt;height:300.00pt;mso-wrap-distance-left:0.00pt;mso-wrap-distance-top:0.00pt;mso-wrap-distance-right:0.00pt;mso-wrap-distance-bottom:0.00pt;" stroked="false">
                <v:path textboxrect="0,0,0,0"/>
                <v:imagedata r:id="rId26" o:title=""/>
              </v:shape>
            </w:pict>
          </mc:Fallback>
        </mc:AlternateContent>
      </w:r>
      <w:bookmarkEnd w:id="59"/>
      <w:r/>
      <w:r/>
    </w:p>
    <w:p>
      <w:pPr>
        <w:pStyle w:val="1062"/>
      </w:pPr>
      <w:r>
        <w:t xml:space="preserve">Рисунок </w:t>
      </w:r>
      <w:r>
        <w:fldChar w:fldCharType="begin"/>
      </w:r>
      <w:r>
        <w:instrText xml:space="preserve">SEQ Рисунок \* ARABIC</w:instrText>
      </w:r>
      <w:r>
        <w:fldChar w:fldCharType="separate"/>
      </w:r>
      <w:r>
        <w:t xml:space="preserve">2</w:t>
      </w:r>
      <w:r>
        <w:fldChar w:fldCharType="end"/>
      </w:r>
      <w:r>
        <w:t xml:space="preserve"> Упрощенная модель бизнес-процесса «Номер и наименование»</w:t>
      </w:r>
      <w:r/>
    </w:p>
    <w:p>
      <w:pPr>
        <w:pStyle w:val="1062"/>
      </w:pPr>
      <w:r/>
      <w:r/>
    </w:p>
    <w:p>
      <w:r/>
      <w:r/>
    </w:p>
    <w:p>
      <w:r/>
      <w:r/>
    </w:p>
    <w:p>
      <w:pPr>
        <w:keepNext/>
      </w:pPr>
      <w:r/>
      <w:bookmarkStart w:id="60" w:name="scroll-bookmark-40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95084" cy="3810000"/>
                <wp:effectExtent l="0" t="0" r="0" b="0"/>
                <wp:docPr id="3" name="" title="Модель целевого бизнес-процесса &lt;Номер и наименование&gt;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4195084" cy="381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30.32pt;height:300.00pt;mso-wrap-distance-left:0.00pt;mso-wrap-distance-top:0.00pt;mso-wrap-distance-right:0.00pt;mso-wrap-distance-bottom:0.00pt;" stroked="false">
                <v:path textboxrect="0,0,0,0"/>
                <v:imagedata r:id="rId27" o:title=""/>
              </v:shape>
            </w:pict>
          </mc:Fallback>
        </mc:AlternateContent>
      </w:r>
      <w:bookmarkEnd w:id="60"/>
      <w:r/>
      <w:r/>
    </w:p>
    <w:p>
      <w:pPr>
        <w:pStyle w:val="1062"/>
      </w:pPr>
      <w:r>
        <w:t xml:space="preserve">Рисунок </w:t>
      </w:r>
      <w:r>
        <w:fldChar w:fldCharType="begin"/>
      </w:r>
      <w:r>
        <w:instrText xml:space="preserve">SEQ Рисунок \* ARABIC</w:instrText>
      </w:r>
      <w:r>
        <w:fldChar w:fldCharType="separate"/>
      </w:r>
      <w:r>
        <w:t xml:space="preserve">3</w:t>
      </w:r>
      <w:r>
        <w:fldChar w:fldCharType="end"/>
      </w:r>
      <w:r>
        <w:t xml:space="preserve"> Модель целевого бизнес-процесса &lt;Номер и наименование&gt;</w:t>
      </w:r>
      <w:r/>
    </w:p>
    <w:p>
      <w:pPr>
        <w:pStyle w:val="1062"/>
      </w:pPr>
      <w:r/>
      <w:r/>
    </w:p>
    <w:p>
      <w:r/>
      <w:r/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14700" cy="8286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3314700" cy="828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261.00pt;height:65.25pt;mso-wrap-distance-left:0.00pt;mso-wrap-distance-top:0.00pt;mso-wrap-distance-right:0.00pt;mso-wrap-distance-bottom:0.00pt;" stroked="false">
                <v:path textboxrect="0,0,0,0"/>
                <v:imagedata r:id="rId28" o:title=""/>
              </v:shape>
            </w:pict>
          </mc:Fallback>
        </mc:AlternateContent>
      </w:r>
      <w:r/>
    </w:p>
    <w:p>
      <w:r/>
      <w:r/>
    </w:p>
    <w:p>
      <w:r/>
      <w:r/>
    </w:p>
    <w:p>
      <w:r/>
      <w:r/>
    </w:p>
    <w:p>
      <w:pPr>
        <w:keepNext/>
      </w:pPr>
      <w:r/>
      <w:bookmarkStart w:id="61" w:name="scroll-bookmark-41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730568" cy="3066554"/>
                <wp:effectExtent l="0" t="0" r="0" b="0"/>
                <wp:docPr id="5" name="" title="Детализированная модель бизнес-процесса «Номер и наименование»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6730568" cy="30665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529.97pt;height:241.46pt;mso-wrap-distance-left:0.00pt;mso-wrap-distance-top:0.00pt;mso-wrap-distance-right:0.00pt;mso-wrap-distance-bottom:0.00pt;" stroked="false">
                <v:path textboxrect="0,0,0,0"/>
                <v:imagedata r:id="rId29" o:title=""/>
              </v:shape>
            </w:pict>
          </mc:Fallback>
        </mc:AlternateContent>
      </w:r>
      <w:bookmarkEnd w:id="61"/>
      <w:r/>
      <w:r/>
    </w:p>
    <w:p>
      <w:pPr>
        <w:pStyle w:val="1062"/>
      </w:pPr>
      <w:r>
        <w:t xml:space="preserve">Рисунок </w:t>
      </w:r>
      <w:r>
        <w:fldChar w:fldCharType="begin"/>
      </w:r>
      <w:r>
        <w:instrText xml:space="preserve">SEQ Рисунок \* ARABIC</w:instrText>
      </w:r>
      <w:r>
        <w:fldChar w:fldCharType="separate"/>
      </w:r>
      <w:r>
        <w:t xml:space="preserve">4</w:t>
      </w:r>
      <w:r>
        <w:fldChar w:fldCharType="end"/>
      </w:r>
      <w:r>
        <w:t xml:space="preserve"> Детализированная модель бизнес-процесса «Номер и наименование»</w:t>
      </w:r>
      <w:r/>
    </w:p>
    <w:p>
      <w:pPr>
        <w:pStyle w:val="1062"/>
      </w:pPr>
      <w:r/>
      <w:r/>
    </w:p>
    <w:p>
      <w:r/>
      <w:r/>
    </w:p>
    <w:p>
      <w:r/>
      <w:r/>
    </w:p>
    <w:p>
      <w:pPr>
        <w:pStyle w:val="1034"/>
      </w:pPr>
      <w:r/>
      <w:bookmarkStart w:id="62" w:name="scroll-bookmark-42"/>
      <w:r/>
      <w:bookmarkStart w:id="63" w:name="_Toc256000020"/>
      <w:r>
        <w:t xml:space="preserve">4.3  Процесс взаимодействия бизнеса с ИТ-решением [Выбор] [Определение]</w:t>
      </w:r>
      <w:bookmarkEnd w:id="63"/>
      <w:r/>
      <w:bookmarkEnd w:id="62"/>
      <w:r/>
      <w:r/>
    </w:p>
    <w:p>
      <w:r/>
      <w:r/>
    </w:p>
    <w:p>
      <w:r/>
      <w:r/>
    </w:p>
    <w:p>
      <w:pPr>
        <w:keepNext/>
      </w:pPr>
      <w:r/>
      <w:bookmarkStart w:id="64" w:name="scroll-bookmark-43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296318" cy="2381250"/>
                <wp:effectExtent l="0" t="0" r="0" b="0"/>
                <wp:docPr id="6" name="" title="Процесс взаимодействия бизнеса с ИТ-решением (пример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8296318" cy="2381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653.25pt;height:187.50pt;mso-wrap-distance-left:0.00pt;mso-wrap-distance-top:0.00pt;mso-wrap-distance-right:0.00pt;mso-wrap-distance-bottom:0.00pt;" stroked="false">
                <v:path textboxrect="0,0,0,0"/>
                <v:imagedata r:id="rId30" o:title=""/>
              </v:shape>
            </w:pict>
          </mc:Fallback>
        </mc:AlternateContent>
      </w:r>
      <w:bookmarkEnd w:id="64"/>
      <w:r/>
      <w:r/>
    </w:p>
    <w:p>
      <w:pPr>
        <w:pStyle w:val="1062"/>
      </w:pPr>
      <w:r>
        <w:t xml:space="preserve">Рисунок </w:t>
      </w:r>
      <w:r>
        <w:fldChar w:fldCharType="begin"/>
      </w:r>
      <w:r>
        <w:instrText xml:space="preserve">SEQ Рисунок \* ARABIC</w:instrText>
      </w:r>
      <w:r>
        <w:fldChar w:fldCharType="separate"/>
      </w:r>
      <w:r>
        <w:t xml:space="preserve">5</w:t>
      </w:r>
      <w:r>
        <w:fldChar w:fldCharType="end"/>
      </w:r>
      <w:r>
        <w:t xml:space="preserve"> Процесс взаимодействия бизнеса с ИТ-решением (пример)</w:t>
      </w:r>
      <w:r/>
    </w:p>
    <w:p>
      <w:pPr>
        <w:pStyle w:val="1062"/>
      </w:pPr>
      <w:r/>
      <w:r/>
    </w:p>
    <w:p>
      <w:r/>
      <w:r/>
    </w:p>
    <w:p>
      <w:pPr>
        <w:pStyle w:val="1032"/>
      </w:pPr>
      <w:r/>
      <w:bookmarkStart w:id="65" w:name="scroll-bookmark-44"/>
      <w:r/>
      <w:bookmarkStart w:id="66" w:name="_Toc256000021"/>
      <w:r>
        <w:t xml:space="preserve">5.   Сущности ИТ-решения</w:t>
      </w:r>
      <w:bookmarkEnd w:id="66"/>
      <w:r/>
      <w:bookmarkEnd w:id="65"/>
      <w:r/>
      <w:r/>
    </w:p>
    <w:p>
      <w:pPr>
        <w:pStyle w:val="1062"/>
        <w:keepNext/>
      </w:pPr>
      <w:r>
        <w:t xml:space="preserve">Таблица </w:t>
      </w:r>
      <w:r>
        <w:fldChar w:fldCharType="begin"/>
      </w:r>
      <w:r>
        <w:instrText xml:space="preserve">SEQ Таблица \* ARABIC</w:instrText>
      </w:r>
      <w:r>
        <w:fldChar w:fldCharType="separate"/>
      </w:r>
      <w:r>
        <w:t xml:space="preserve">17</w:t>
      </w:r>
      <w:r>
        <w:fldChar w:fldCharType="end"/>
      </w:r>
      <w:r>
        <w:t xml:space="preserve"> Реестр диаграмм для раздела 5 «Сущности ИТ-решения»</w:t>
      </w:r>
      <w:r/>
    </w:p>
    <w:tbl>
      <w:tblPr>
        <w:tblStyle w:val="1220"/>
        <w:tblW w:w="5000" w:type="pct"/>
        <w:tblLook w:val="0000" w:firstRow="0" w:lastRow="0" w:firstColumn="0" w:lastColumn="0" w:noHBand="0" w:noVBand="0"/>
      </w:tblPr>
      <w:tblGrid>
        <w:gridCol w:w="1518"/>
        <w:gridCol w:w="1571"/>
        <w:gridCol w:w="3580"/>
        <w:gridCol w:w="2027"/>
        <w:gridCol w:w="2767"/>
        <w:gridCol w:w="2804"/>
      </w:tblGrid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bookmarkStart w:id="67" w:name="scroll-bookmark-45"/>
            <w:r>
              <w:rPr>
                <w:b/>
              </w:rPr>
              <w:t xml:space="preserve">№</w:t>
            </w:r>
            <w:bookmarkEnd w:id="67"/>
            <w:r/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Вид диаграммы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Описание диаграммы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№ рисунка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Статус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Код ЖЦ ИТ-решения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Порядковый №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&lt;Выбор из: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 </w:t>
            </w:r>
            <w:r>
              <w:rPr>
                <w:i/>
              </w:rPr>
              <w:t xml:space="preserve">Диаграмма «Сущность-связь»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 </w:t>
            </w:r>
            <w:r>
              <w:rPr>
                <w:i/>
              </w:rPr>
              <w:t xml:space="preserve">Диаграмма состояний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 </w:t>
            </w:r>
            <w:r>
              <w:rPr>
                <w:i/>
              </w:rPr>
              <w:t xml:space="preserve">КМД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 </w:t>
            </w:r>
            <w:r>
              <w:rPr>
                <w:i/>
              </w:rPr>
              <w:t xml:space="preserve">ЛМД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&lt;Краткая аннотация диаграммы&gt;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&lt;Указываются изменения в диаграмме по отношению к предыдущей&gt;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соответствующего этапа ЖЦ см. «Жизненный цикл ИТ-решения»: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&lt;1&gt;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&lt;Диаграмма «Сущность-связь»&gt;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&lt;Приведена диаграмма сущностей для процесса оформления онлайн заказа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&lt;Рисунок 6 – изменен, перенесен в Приложение 5&gt;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Создана </w:t>
            </w:r>
            <w:r>
              <w:rPr>
                <w:i/>
                <w:color w:val="0000ff"/>
              </w:rPr>
              <w:t xml:space="preserve">+ версия ЕДТ</w:t>
            </w:r>
            <w:r>
              <w:rPr>
                <w:i/>
                <w:color w:val="0000ff"/>
              </w:rPr>
              <w:t xml:space="preserve"> 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Проект-1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&lt;2&gt;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&lt;Диаграмма «Сущность-связь»&gt;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&lt;Приведена диаграмма сущностей для процесса оформления онлайн заказа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Рисунок 96 – актуальная версия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Изменена </w:t>
            </w:r>
            <w:r>
              <w:rPr>
                <w:i/>
                <w:color w:val="0000ff"/>
              </w:rPr>
              <w:t xml:space="preserve">+ версия ЕДТ</w:t>
            </w:r>
            <w:r>
              <w:rPr>
                <w:i/>
                <w:color w:val="0000ff"/>
              </w:rPr>
              <w:t xml:space="preserve"> 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Проект-2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&lt;3&gt;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Диаграмма состояний</w:t>
            </w:r>
            <w:r>
              <w:rPr>
                <w:i/>
                <w:color w:val="0000ff"/>
              </w:rPr>
              <w:t xml:space="preserve">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&lt;Приведена диаграмма состояний для бизнес-сущности Заказ&gt;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Рисунок 7 – актуальная версия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Изменена </w:t>
            </w:r>
            <w:r>
              <w:rPr>
                <w:i/>
                <w:color w:val="0000ff"/>
              </w:rPr>
              <w:t xml:space="preserve">+ версия ЕДТ</w:t>
            </w:r>
            <w:r>
              <w:rPr>
                <w:i/>
                <w:color w:val="0000ff"/>
              </w:rPr>
              <w:t xml:space="preserve"> 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Проект-2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4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Диаграмма состояний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&lt;Статусная модель для бизнес-сущности, которая была перенесена в другое ИТ-решение&gt;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Рисунок </w:t>
            </w:r>
            <w:r>
              <w:rPr>
                <w:i/>
                <w:color w:val="0000ff"/>
              </w:rPr>
              <w:t xml:space="preserve">8&gt;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Архивная </w:t>
            </w:r>
            <w:r>
              <w:rPr>
                <w:i/>
                <w:color w:val="0000ff"/>
              </w:rPr>
              <w:t xml:space="preserve">+ версия ЕДТ</w:t>
            </w:r>
            <w:r>
              <w:rPr>
                <w:i/>
                <w:color w:val="0000ff"/>
              </w:rPr>
              <w:t xml:space="preserve"> 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Проект-2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</w:tr>
    </w:tbl>
    <w:p>
      <w:pPr>
        <w:pStyle w:val="1034"/>
      </w:pPr>
      <w:r/>
      <w:bookmarkStart w:id="68" w:name="scroll-bookmark-46"/>
      <w:r/>
      <w:bookmarkStart w:id="69" w:name="_Toc256000022"/>
      <w:r>
        <w:t xml:space="preserve">5.1  Глоссарий сущностей [Оценка] [Выбор]</w:t>
      </w:r>
      <w:bookmarkEnd w:id="69"/>
      <w:r/>
      <w:bookmarkEnd w:id="68"/>
      <w:r/>
      <w:r/>
    </w:p>
    <w:p>
      <w:pPr>
        <w:pStyle w:val="1062"/>
        <w:keepNext/>
      </w:pPr>
      <w:r>
        <w:t xml:space="preserve">Таблица </w:t>
      </w:r>
      <w:r>
        <w:fldChar w:fldCharType="begin"/>
      </w:r>
      <w:r>
        <w:instrText xml:space="preserve">SEQ Таблица \* ARABIC</w:instrText>
      </w:r>
      <w:r>
        <w:fldChar w:fldCharType="separate"/>
      </w:r>
      <w:r>
        <w:t xml:space="preserve">18</w:t>
      </w:r>
      <w:r>
        <w:fldChar w:fldCharType="end"/>
      </w:r>
      <w:r>
        <w:t xml:space="preserve"> Глоссарий сущностей</w:t>
      </w:r>
      <w:r/>
    </w:p>
    <w:tbl>
      <w:tblPr>
        <w:tblStyle w:val="1220"/>
        <w:tblW w:w="5000" w:type="pct"/>
        <w:tblLook w:val="0000" w:firstRow="0" w:lastRow="0" w:firstColumn="0" w:lastColumn="0" w:noHBand="0" w:noVBand="0"/>
      </w:tblPr>
      <w:tblGrid>
        <w:gridCol w:w="2644"/>
        <w:gridCol w:w="3262"/>
        <w:gridCol w:w="2140"/>
        <w:gridCol w:w="1909"/>
        <w:gridCol w:w="3007"/>
        <w:gridCol w:w="1304"/>
      </w:tblGrid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bookmarkStart w:id="70" w:name="scroll-bookmark-47"/>
            <w:r>
              <w:rPr>
                <w:b/>
              </w:rPr>
              <w:t xml:space="preserve">Сущность</w:t>
            </w:r>
            <w:bookmarkEnd w:id="70"/>
            <w:r/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Описание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Бизнес-атрибуты сущности (опционально)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Владелец информации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Данные составляющие коммерческую тайну Компании (КТ-040)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Являются ПДн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&lt;Наименование сущности совпадает с диаграммой «Сущность-связь»&gt;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&lt;Описание сущности&gt;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&lt;Атрибуты сущности, важные с точки зрения бизнеса&gt;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Подразделение или отдел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&lt;&lt;Да + пункт КТ-040/Нет&gt;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Решение об отнесении информации к Коммерческой тайне принимается владельцем информации&gt;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&lt;Да/Нет&gt;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&lt;ПРИМЕР&gt;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&lt;Заказ&gt;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&lt;Предложение покупателя поставить, продать ему товар определенного вида и качества&gt;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&lt;Дата заказа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Наименование товара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Количество товара)&gt;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&lt;Отдел продаж&gt;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&lt;Нет&gt;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&lt;Нет&gt;</w:t>
            </w:r>
            <w:r/>
          </w:p>
        </w:tc>
      </w:tr>
    </w:tbl>
    <w:p>
      <w:pPr>
        <w:pStyle w:val="1034"/>
      </w:pPr>
      <w:r/>
      <w:bookmarkStart w:id="71" w:name="scroll-bookmark-48"/>
      <w:r/>
      <w:bookmarkStart w:id="72" w:name="_Toc256000023"/>
      <w:r>
        <w:t xml:space="preserve">5.2 Диаграмма «Сущность – связь» [Выбор]</w:t>
      </w:r>
      <w:bookmarkEnd w:id="72"/>
      <w:r/>
      <w:bookmarkEnd w:id="71"/>
      <w:r/>
      <w:r/>
    </w:p>
    <w:p>
      <w:r/>
      <w:r/>
    </w:p>
    <w:p>
      <w:r/>
      <w:r/>
    </w:p>
    <w:p>
      <w:pPr>
        <w:keepNext/>
      </w:pPr>
      <w:r/>
      <w:bookmarkStart w:id="73" w:name="scroll-bookmark-49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38188" cy="2920237"/>
                <wp:effectExtent l="0" t="0" r="0" b="0"/>
                <wp:docPr id="7" name="" title="Возможный вариант визуализации диаграммы «Сущность - связь»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4938188" cy="29202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388.83pt;height:229.94pt;mso-wrap-distance-left:0.00pt;mso-wrap-distance-top:0.00pt;mso-wrap-distance-right:0.00pt;mso-wrap-distance-bottom:0.00pt;" stroked="false">
                <v:path textboxrect="0,0,0,0"/>
                <v:imagedata r:id="rId31" o:title=""/>
              </v:shape>
            </w:pict>
          </mc:Fallback>
        </mc:AlternateContent>
      </w:r>
      <w:bookmarkEnd w:id="73"/>
      <w:r/>
      <w:r/>
    </w:p>
    <w:p>
      <w:pPr>
        <w:pStyle w:val="1062"/>
      </w:pPr>
      <w:r>
        <w:t xml:space="preserve">Рисунок </w:t>
      </w:r>
      <w:r>
        <w:fldChar w:fldCharType="begin"/>
      </w:r>
      <w:r>
        <w:instrText xml:space="preserve">SEQ Рисунок \* ARABIC</w:instrText>
      </w:r>
      <w:r>
        <w:fldChar w:fldCharType="separate"/>
      </w:r>
      <w:r>
        <w:t xml:space="preserve">6</w:t>
      </w:r>
      <w:r>
        <w:fldChar w:fldCharType="end"/>
      </w:r>
      <w:r>
        <w:t xml:space="preserve"> Возможный вариант визуализации диаграммы «Сущность - связь»</w:t>
      </w:r>
      <w:r/>
    </w:p>
    <w:p>
      <w:pPr>
        <w:pStyle w:val="1062"/>
      </w:pPr>
      <w:r/>
      <w:r/>
    </w:p>
    <w:p>
      <w:r/>
      <w:r/>
    </w:p>
    <w:p>
      <w:r/>
      <w:r/>
    </w:p>
    <w:p>
      <w:pPr>
        <w:pStyle w:val="1034"/>
      </w:pPr>
      <w:r/>
      <w:bookmarkStart w:id="74" w:name="scroll-bookmark-50"/>
      <w:r/>
      <w:bookmarkStart w:id="75" w:name="_Toc256000024"/>
      <w:r>
        <w:t xml:space="preserve">5.3  Диаграммы состояний для бизнес-сущностей [Выбор]</w:t>
      </w:r>
      <w:bookmarkEnd w:id="75"/>
      <w:r/>
      <w:bookmarkEnd w:id="74"/>
      <w:r/>
      <w:r/>
    </w:p>
    <w:p>
      <w:r/>
      <w:r/>
    </w:p>
    <w:p>
      <w:r/>
      <w:r/>
    </w:p>
    <w:p>
      <w:r/>
      <w:r/>
    </w:p>
    <w:p>
      <w:pPr>
        <w:keepNext/>
      </w:pPr>
      <w:r/>
      <w:bookmarkStart w:id="76" w:name="scroll-bookmark-51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072244" cy="3026119"/>
                <wp:effectExtent l="0" t="0" r="0" b="0"/>
                <wp:docPr id="8" name="" title="Пример диаграммы состояний для бизнес-сущности &quot;Заказ&quot;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9072244" cy="30261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714.35pt;height:238.28pt;mso-wrap-distance-left:0.00pt;mso-wrap-distance-top:0.00pt;mso-wrap-distance-right:0.00pt;mso-wrap-distance-bottom:0.00pt;" stroked="false">
                <v:path textboxrect="0,0,0,0"/>
                <v:imagedata r:id="rId32" o:title=""/>
              </v:shape>
            </w:pict>
          </mc:Fallback>
        </mc:AlternateContent>
      </w:r>
      <w:bookmarkEnd w:id="76"/>
      <w:r/>
      <w:r/>
    </w:p>
    <w:p>
      <w:pPr>
        <w:pStyle w:val="1062"/>
      </w:pPr>
      <w:r>
        <w:t xml:space="preserve">Рисунок </w:t>
      </w:r>
      <w:r>
        <w:fldChar w:fldCharType="begin"/>
      </w:r>
      <w:r>
        <w:instrText xml:space="preserve">SEQ Рисунок \* ARABIC</w:instrText>
      </w:r>
      <w:r>
        <w:fldChar w:fldCharType="separate"/>
      </w:r>
      <w:r>
        <w:t xml:space="preserve">7</w:t>
      </w:r>
      <w:r>
        <w:fldChar w:fldCharType="end"/>
      </w:r>
      <w:r>
        <w:t xml:space="preserve"> Пример диаграммы состояний для бизнес-сущности "Заказ"</w:t>
      </w:r>
      <w:r/>
    </w:p>
    <w:p>
      <w:pPr>
        <w:pStyle w:val="1062"/>
      </w:pPr>
      <w:r/>
      <w:r/>
    </w:p>
    <w:p>
      <w:r/>
      <w:r/>
    </w:p>
    <w:p>
      <w:pPr>
        <w:pStyle w:val="1062"/>
        <w:keepNext/>
      </w:pPr>
      <w:r>
        <w:t xml:space="preserve">Таблица </w:t>
      </w:r>
      <w:r>
        <w:fldChar w:fldCharType="begin"/>
      </w:r>
      <w:r>
        <w:instrText xml:space="preserve">SEQ Таблица \* ARABIC</w:instrText>
      </w:r>
      <w:r>
        <w:fldChar w:fldCharType="separate"/>
      </w:r>
      <w:r>
        <w:t xml:space="preserve">19</w:t>
      </w:r>
      <w:r>
        <w:fldChar w:fldCharType="end"/>
      </w:r>
      <w:r>
        <w:t xml:space="preserve"> Триггеры и условия изменения состояний</w:t>
      </w:r>
      <w:r/>
    </w:p>
    <w:tbl>
      <w:tblPr>
        <w:tblStyle w:val="1220"/>
        <w:tblW w:w="5000" w:type="pct"/>
        <w:tblLook w:val="0000" w:firstRow="0" w:lastRow="0" w:firstColumn="0" w:lastColumn="0" w:noHBand="0" w:noVBand="0"/>
      </w:tblPr>
      <w:tblGrid>
        <w:gridCol w:w="2659"/>
        <w:gridCol w:w="1402"/>
        <w:gridCol w:w="1401"/>
        <w:gridCol w:w="5540"/>
        <w:gridCol w:w="3264"/>
      </w:tblGrid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bookmarkStart w:id="77" w:name="scroll-bookmark-52"/>
            <w:r>
              <w:rPr>
                <w:b/>
              </w:rPr>
              <w:t xml:space="preserve">Сущность</w:t>
            </w:r>
            <w:bookmarkEnd w:id="77"/>
            <w:r/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Исходное состояние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Конечное состояние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Триггер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Условие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&lt;Наименование сущности из таблицы «Глоссарий сущностей»&gt;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&lt;Исходное состояние сущности&gt;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&lt;Конечное состояние сущности&gt;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&lt;Номер и название операции БП / процесса взаимодействия бизнеса с ИТ-решением, в рамках которой происходит смена состояния&gt;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&lt;Условие, при котором происходит переход в указанное конечное состояние&gt;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&lt;ПРИМЕР&gt;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Заказ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Оплачен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Собран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04. Подготовка заказа к отправке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Товар есть в наличии</w:t>
            </w:r>
            <w:r>
              <w:rPr>
                <w:i/>
              </w:rPr>
              <w:t xml:space="preserve">&gt;</w:t>
            </w:r>
            <w:r/>
          </w:p>
        </w:tc>
      </w:tr>
    </w:tbl>
    <w:p>
      <w:pPr>
        <w:pStyle w:val="1032"/>
      </w:pPr>
      <w:r/>
      <w:bookmarkStart w:id="78" w:name="scroll-bookmark-53"/>
      <w:r/>
      <w:bookmarkStart w:id="79" w:name="_Toc256000025"/>
      <w:r>
        <w:t xml:space="preserve">6.   Функциональные требования [Выбор] [Определение]</w:t>
      </w:r>
      <w:bookmarkEnd w:id="79"/>
      <w:r>
        <w:t xml:space="preserve"> </w:t>
      </w:r>
      <w:bookmarkEnd w:id="78"/>
      <w:r/>
      <w:r/>
    </w:p>
    <w:p>
      <w:pPr>
        <w:pStyle w:val="1062"/>
        <w:keepNext/>
      </w:pPr>
      <w:r>
        <w:t xml:space="preserve">Таблица </w:t>
      </w:r>
      <w:r>
        <w:fldChar w:fldCharType="begin"/>
      </w:r>
      <w:r>
        <w:instrText xml:space="preserve">SEQ Таблица \* ARABIC</w:instrText>
      </w:r>
      <w:r>
        <w:fldChar w:fldCharType="separate"/>
      </w:r>
      <w:r>
        <w:t xml:space="preserve">20</w:t>
      </w:r>
      <w:r>
        <w:fldChar w:fldCharType="end"/>
      </w:r>
      <w:r>
        <w:t xml:space="preserve"> Функциональные требования</w:t>
      </w:r>
      <w:r/>
    </w:p>
    <w:tbl>
      <w:tblPr>
        <w:tblStyle w:val="1220"/>
        <w:tblW w:w="5000" w:type="pct"/>
        <w:tblLook w:val="0000" w:firstRow="0" w:lastRow="0" w:firstColumn="0" w:lastColumn="0" w:noHBand="0" w:noVBand="0"/>
      </w:tblPr>
      <w:tblGrid>
        <w:gridCol w:w="1621"/>
        <w:gridCol w:w="1942"/>
        <w:gridCol w:w="15"/>
        <w:gridCol w:w="3265"/>
        <w:gridCol w:w="1738"/>
        <w:gridCol w:w="1738"/>
        <w:gridCol w:w="2278"/>
        <w:gridCol w:w="1589"/>
        <w:gridCol w:w="80"/>
      </w:tblGrid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bookmarkStart w:id="80" w:name="scroll-bookmark-54"/>
            <w:r>
              <w:rPr>
                <w:b/>
              </w:rPr>
              <w:t xml:space="preserve">Код</w:t>
            </w:r>
            <w:bookmarkEnd w:id="80"/>
            <w:r/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Наименование</w:t>
            </w:r>
            <w:r/>
          </w:p>
        </w:tc>
        <w:tc>
          <w:tcPr>
            <w:gridSpan w:val="2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Описание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Критичность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Приоритет реализации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Код ЖЦ ИТ-решения</w:t>
            </w:r>
            <w:r/>
          </w:p>
        </w:tc>
        <w:tc>
          <w:tcPr>
            <w:gridSpan w:val="2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Статус для этапов ЖЦ ИТ-решения</w:t>
            </w:r>
            <w:r/>
          </w:p>
        </w:tc>
      </w:tr>
      <w:tr>
        <w:tblPrEx/>
        <w:trPr/>
        <w:tc>
          <w:tcPr>
            <w:gridSpan w:val="9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и наименование бизнес-функциональности&gt;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 префиксом ФТ-номер функции - номер требования&gt;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&lt;Краткое наименование требования&gt;</w:t>
            </w:r>
            <w:r/>
          </w:p>
        </w:tc>
        <w:tc>
          <w:tcPr>
            <w:gridSpan w:val="2"/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&lt;Требование, сформулированное по шаблону: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▪  </w:t>
            </w:r>
            <w:r>
              <w:rPr>
                <w:i/>
              </w:rPr>
              <w:t xml:space="preserve">[Субъект] [Должен] [Действие] [Объект] [Ограничение (если есть)] [Условие (если есть)]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ИЛИ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▪  </w:t>
            </w:r>
            <w:r>
              <w:rPr>
                <w:i/>
              </w:rPr>
              <w:t xml:space="preserve">[Условие (если есть)] [Субъект] [Должен] [Действие] [Объект] [Ограничение (если есть)]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Если описывается требование к формированию какого-либо отчета, то необходимо указать его формат и правила заполнения согласно Приложении 2 «Формат выходных отчетов&gt;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&lt;Указывается одно из значений: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·  Отсекающий критерий 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·  Критичное требование 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·  Рабочее требование&gt;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&lt;Указывается приоритет реализации или итерация (для гибкого метода реализации)&gt;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соответствующего этапа ЖЦ см. «Жизненный цикл ИТ-решения»</w:t>
            </w:r>
            <w:r>
              <w:rPr>
                <w:i/>
              </w:rPr>
              <w:t xml:space="preserve">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  <w:tc>
          <w:tcPr>
            <w:gridSpan w:val="2"/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Выбирается одно из значений: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Новое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Изменено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Исключено</w:t>
            </w:r>
            <w:r>
              <w:rPr>
                <w:i/>
              </w:rPr>
              <w:t xml:space="preserve">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</w:tr>
      <w:tr>
        <w:tblPrEx/>
        <w:trPr/>
        <w:tc>
          <w:tcPr>
            <w:gridSpan w:val="8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&lt;17152-БФ-1 Формирование реестра проектной документации по объекту капитального строительства&gt;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ФТ-1.1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gridSpan w:val="2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&lt;Отображение списка версий&gt;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&lt;ИТ-решение должно отображать список версий инженерной документации для выбранного объекта, включая дату, автора и описание изменений.&gt;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Рабочее требование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1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Проект-1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Новое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r/>
          </w:p>
        </w:tc>
      </w:tr>
      <w:tr>
        <w:tblPrEx/>
        <w:trPr/>
        <w:tc>
          <w:tcPr>
            <w:gridSpan w:val="8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&lt;17152-БФ-1 Формирование реестра проектной документации по объекту капитального строительства&gt;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strike/>
              </w:rPr>
              <w:t xml:space="preserve">&lt;ФТ-1.1</w:t>
            </w:r>
            <w:r>
              <w:rPr>
                <w:i/>
                <w:strike/>
              </w:rPr>
              <w:t xml:space="preserve">&gt;</w:t>
            </w:r>
            <w:r/>
          </w:p>
        </w:tc>
        <w:tc>
          <w:tcPr>
            <w:gridSpan w:val="2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strike/>
              </w:rPr>
              <w:t xml:space="preserve">&lt;Отображение списка версий</w:t>
            </w:r>
            <w:r>
              <w:rPr>
                <w:i/>
                <w:strike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strike/>
              </w:rPr>
              <w:t xml:space="preserve">&lt;ИТ-решение должно отображать список версий инженерной документации для выбранного объекта, включая дату, автора и описание изменений&gt;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strike/>
              </w:rPr>
              <w:t xml:space="preserve">&lt;Рабочее требование</w:t>
            </w:r>
            <w:r>
              <w:rPr>
                <w:i/>
                <w:strike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strike/>
              </w:rPr>
              <w:t xml:space="preserve">&lt;1&gt;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strike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strike/>
              </w:rPr>
              <w:t xml:space="preserve">&lt;</w:t>
            </w:r>
            <w:r>
              <w:rPr>
                <w:i/>
                <w:strike/>
              </w:rPr>
              <w:t xml:space="preserve">КЦП-1</w:t>
            </w:r>
            <w:r>
              <w:rPr>
                <w:i/>
                <w:strike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strike/>
              </w:rPr>
              <w:t xml:space="preserve">&lt;</w:t>
            </w:r>
            <w:r>
              <w:rPr>
                <w:i/>
                <w:strike/>
              </w:rPr>
              <w:t xml:space="preserve">Исключено</w:t>
            </w:r>
            <w:r>
              <w:rPr>
                <w:i/>
                <w:strike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&lt;ФТ-1.1&gt;</w:t>
            </w:r>
            <w:r/>
          </w:p>
        </w:tc>
        <w:tc>
          <w:tcPr>
            <w:gridSpan w:val="2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&lt;Отображение списка версий&gt;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&lt;ИТ-решение должно отображать список версий инженерной документации для выбранного объекта, включая дату, автора, описание изменений и номер устройства, с которого было сделано изменение&gt;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&lt;Рабочее требование&gt;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&lt;1&gt;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&lt;КЦП-1&gt;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&lt;Изменено&gt;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r/>
          </w:p>
        </w:tc>
      </w:tr>
    </w:tbl>
    <w:p>
      <w:pPr>
        <w:pStyle w:val="1032"/>
      </w:pPr>
      <w:r/>
      <w:bookmarkStart w:id="81" w:name="scroll-bookmark-55"/>
      <w:r/>
      <w:bookmarkStart w:id="82" w:name="_Toc256000026"/>
      <w:r>
        <w:t xml:space="preserve">7.   Требования к информационному обмену [Выбор] [Определение]</w:t>
      </w:r>
      <w:bookmarkEnd w:id="82"/>
      <w:r/>
      <w:bookmarkEnd w:id="81"/>
      <w:r/>
      <w:r/>
    </w:p>
    <w:p>
      <w:pPr>
        <w:pStyle w:val="1062"/>
        <w:keepNext/>
      </w:pPr>
      <w:r>
        <w:t xml:space="preserve">Таблица </w:t>
      </w:r>
      <w:r>
        <w:fldChar w:fldCharType="begin"/>
      </w:r>
      <w:r>
        <w:instrText xml:space="preserve">SEQ Таблица \* ARABIC</w:instrText>
      </w:r>
      <w:r>
        <w:fldChar w:fldCharType="separate"/>
      </w:r>
      <w:r>
        <w:t xml:space="preserve">21</w:t>
      </w:r>
      <w:r>
        <w:fldChar w:fldCharType="end"/>
      </w:r>
      <w:r>
        <w:t xml:space="preserve"> Требования к информационному обмену</w:t>
      </w:r>
      <w:r/>
    </w:p>
    <w:tbl>
      <w:tblPr>
        <w:tblStyle w:val="1220"/>
        <w:tblW w:w="5000" w:type="pct"/>
        <w:tblLook w:val="0000" w:firstRow="0" w:lastRow="0" w:firstColumn="0" w:lastColumn="0" w:noHBand="0" w:noVBand="0"/>
      </w:tblPr>
      <w:tblGrid>
        <w:gridCol w:w="1058"/>
        <w:gridCol w:w="1580"/>
        <w:gridCol w:w="1715"/>
        <w:gridCol w:w="1715"/>
        <w:gridCol w:w="1310"/>
        <w:gridCol w:w="1369"/>
        <w:gridCol w:w="1473"/>
        <w:gridCol w:w="1188"/>
        <w:gridCol w:w="1742"/>
        <w:gridCol w:w="1127"/>
      </w:tblGrid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bookmarkStart w:id="83" w:name="scroll-bookmark-56"/>
            <w:r>
              <w:rPr>
                <w:b/>
              </w:rPr>
              <w:t xml:space="preserve">Код</w:t>
            </w:r>
            <w:bookmarkEnd w:id="83"/>
            <w:r/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Передаваемая информация (что передается)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Источник информации (кто передает)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Получатель информации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(кому передается)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Когда происходит передача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(при наличии информации у ЗС)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Наличие передачи/ приема ПДн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Вышестоящие требования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Связанные требования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Код ЖЦ ИТ-решения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Статус для этапов ЖЦ ИТ-решения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Код с префиксом «ТИ»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&lt;Укажите сущность из диаграммы «Сущность-связь» и дополнительную информацию (атрибуты), если есть&gt;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&lt;Наименование ИТ-решения/системы, передающей информацию&gt;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&lt;Наименование ИТ-решения/системы, получающую информацию&gt;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Когда должна передаваться информация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 </w:t>
            </w:r>
            <w:r>
              <w:rPr>
                <w:i/>
              </w:rPr>
              <w:t xml:space="preserve">по расписанию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 </w:t>
            </w:r>
            <w:r>
              <w:rPr>
                <w:i/>
              </w:rPr>
              <w:t xml:space="preserve">по запросу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 </w:t>
            </w:r>
            <w:r>
              <w:rPr>
                <w:i/>
              </w:rPr>
              <w:t xml:space="preserve">по событию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&lt;Наличие ПДн в информации (да/нет) Если указано «да», то приводится состав передаваемых ПДн и категория субъекта ПДн: сотрудник  / не сотрудник ГК ГПН&gt;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вышестоящей НФХ (если она добавляется или изменяется) или ТЗС&gt;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связанного ФТ, НФТ, ТИ&gt;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соответствующего этапа ЖЦ см. «Жизненный цикл ИТ-решения»</w:t>
            </w:r>
            <w:r>
              <w:rPr>
                <w:i/>
              </w:rPr>
              <w:t xml:space="preserve">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Выбирается одно из значений: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Новое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Изменено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Исключено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ТИ-1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&lt;ПРИМЕР&gt;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&lt;Замечания по проектной документации&gt;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&lt;Система Федерального агентства по техническому регулированию и метрологии&gt;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&lt;ИТ-решение проекта&gt;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&lt;По расписанию, раз в сутки в 18-00 мск&gt;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Нет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&lt;ТЗС-12&gt;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ФТ-1.1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&lt;Проект-1&gt;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Новое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</w:tr>
    </w:tbl>
    <w:p>
      <w:pPr>
        <w:pStyle w:val="1032"/>
      </w:pPr>
      <w:r/>
      <w:bookmarkStart w:id="84" w:name="scroll-bookmark-57"/>
      <w:r/>
      <w:bookmarkStart w:id="85" w:name="_Toc256000027"/>
      <w:r>
        <w:t xml:space="preserve">8. Нефункциональные требования [Выбор] [Определение]</w:t>
      </w:r>
      <w:bookmarkEnd w:id="85"/>
      <w:r/>
      <w:bookmarkEnd w:id="84"/>
      <w:r/>
      <w:r/>
    </w:p>
    <w:p>
      <w:pPr>
        <w:pStyle w:val="1062"/>
        <w:keepNext/>
      </w:pPr>
      <w:r>
        <w:t xml:space="preserve">Таблица </w:t>
      </w:r>
      <w:r>
        <w:fldChar w:fldCharType="begin"/>
      </w:r>
      <w:r>
        <w:instrText xml:space="preserve">SEQ Таблица \* ARABIC</w:instrText>
      </w:r>
      <w:r>
        <w:fldChar w:fldCharType="separate"/>
      </w:r>
      <w:r>
        <w:t xml:space="preserve">22</w:t>
      </w:r>
      <w:r>
        <w:fldChar w:fldCharType="end"/>
      </w:r>
      <w:r>
        <w:t xml:space="preserve"> Описание итераций</w:t>
      </w:r>
      <w:r/>
    </w:p>
    <w:tbl>
      <w:tblPr>
        <w:tblStyle w:val="1220"/>
        <w:tblW w:w="5000" w:type="pct"/>
        <w:tblLook w:val="0000" w:firstRow="0" w:lastRow="0" w:firstColumn="0" w:lastColumn="0" w:noHBand="0" w:noVBand="0"/>
      </w:tblPr>
      <w:tblGrid>
        <w:gridCol w:w="1518"/>
        <w:gridCol w:w="4763"/>
        <w:gridCol w:w="7986"/>
      </w:tblGrid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bookmarkStart w:id="86" w:name="scroll-bookmark-58"/>
            <w:r>
              <w:rPr>
                <w:b/>
              </w:rPr>
              <w:t xml:space="preserve">№</w:t>
            </w:r>
            <w:bookmarkEnd w:id="86"/>
            <w:r/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Наименование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Описание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Порядковый №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&lt;Наименование или номер итерации (релиза, инкремента)&gt;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&lt;Описание содержания и/или назначения итерации&gt;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Пример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1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 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Прототип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 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&lt;Разработка начальной версии для визуализации концепции&gt;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2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MVP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&lt;Версия продукта для тестирования он-лайн-загрузки проектной документации и версионирования&gt;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3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</w:t>
            </w:r>
            <w:r>
              <w:rPr>
                <w:i/>
                <w:color w:val="0000ff"/>
              </w:rPr>
              <w:t xml:space="preserve">1</w:t>
            </w:r>
            <w:r>
              <w:rPr>
                <w:i/>
                <w:color w:val="0000ff"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color w:val="0000ff"/>
              </w:rPr>
              <w:t xml:space="preserve">&lt;Доработка MVP и выход в ОПЭ, проработка интеграций с СИД&gt;</w:t>
            </w:r>
            <w:r/>
          </w:p>
        </w:tc>
      </w:tr>
    </w:tbl>
    <w:p>
      <w:pPr>
        <w:pStyle w:val="1034"/>
      </w:pPr>
      <w:r/>
      <w:bookmarkStart w:id="87" w:name="scroll-bookmark-59"/>
      <w:r/>
      <w:bookmarkStart w:id="88" w:name="_Toc256000028"/>
      <w:r>
        <w:t xml:space="preserve">8.1  Интерфейс ИТ-решения [Выбор] [Определение]</w:t>
      </w:r>
      <w:bookmarkEnd w:id="88"/>
      <w:r/>
      <w:bookmarkEnd w:id="87"/>
      <w:r/>
      <w:r/>
    </w:p>
    <w:p>
      <w:pPr>
        <w:pStyle w:val="1062"/>
        <w:keepNext/>
      </w:pPr>
      <w:r>
        <w:t xml:space="preserve">Таблица </w:t>
      </w:r>
      <w:r>
        <w:fldChar w:fldCharType="begin"/>
      </w:r>
      <w:r>
        <w:instrText xml:space="preserve">SEQ Таблица \* ARABIC</w:instrText>
      </w:r>
      <w:r>
        <w:fldChar w:fldCharType="separate"/>
      </w:r>
      <w:r>
        <w:t xml:space="preserve">23</w:t>
      </w:r>
      <w:r>
        <w:fldChar w:fldCharType="end"/>
      </w:r>
      <w:r>
        <w:t xml:space="preserve"> Требования к UI/UX</w:t>
      </w:r>
      <w:r/>
    </w:p>
    <w:tbl>
      <w:tblPr>
        <w:tblStyle w:val="1220"/>
        <w:tblW w:w="5000" w:type="pct"/>
        <w:tblLook w:val="0000" w:firstRow="0" w:lastRow="0" w:firstColumn="0" w:lastColumn="0" w:noHBand="0" w:noVBand="0"/>
      </w:tblPr>
      <w:tblGrid>
        <w:gridCol w:w="1224"/>
        <w:gridCol w:w="1718"/>
        <w:gridCol w:w="3307"/>
        <w:gridCol w:w="1704"/>
        <w:gridCol w:w="1375"/>
        <w:gridCol w:w="1629"/>
        <w:gridCol w:w="2015"/>
        <w:gridCol w:w="1305"/>
      </w:tblGrid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bookmarkStart w:id="89" w:name="scroll-bookmark-60"/>
            <w:r>
              <w:rPr>
                <w:b/>
              </w:rPr>
              <w:t xml:space="preserve">Код</w:t>
            </w:r>
            <w:bookmarkEnd w:id="89"/>
            <w:r/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Наименование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Описание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Вышестоящие требования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Связанные требования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Итерация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Код ЖЦ ИТ-решения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Статус для этапов ЖЦ </w:t>
            </w:r>
            <w:r>
              <w:rPr>
                <w:b/>
              </w:rPr>
              <w:t xml:space="preserve">ИТ-решения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 префиксом «НФТ-ПИ»&gt;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&lt;Краткое наименование требования&gt;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&lt;Подробное описание требования к пользовательскому интерфейсу, навигации, визуальному оформлению и логике взаимодействия и пр.&gt;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вышестоящей НФХ (если она добавляется или изменяется) или ТЗС&gt;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связанного ФТ, НФТ, ТИ&gt;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&lt;Номер /наименование (при наличии итераций)&gt;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соответствующего этапа ЖЦ см. «Жизненный цикл ИТ-решения»</w:t>
            </w:r>
            <w:r>
              <w:rPr>
                <w:i/>
              </w:rPr>
              <w:t xml:space="preserve">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Выбирается одно из значений: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Новое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Изменено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Исключено</w:t>
            </w:r>
            <w:r>
              <w:rPr>
                <w:i/>
              </w:rPr>
              <w:t xml:space="preserve">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strike/>
              </w:rPr>
              <w:t xml:space="preserve">&lt;</w:t>
            </w:r>
            <w:r>
              <w:rPr>
                <w:i/>
                <w:strike/>
              </w:rPr>
              <w:t xml:space="preserve">НФТ-ПИ-3</w:t>
            </w:r>
            <w:r>
              <w:rPr>
                <w:i/>
                <w:strike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strike/>
              </w:rPr>
              <w:t xml:space="preserve">&lt;ПРИМЕР&gt;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strike/>
              </w:rPr>
              <w:t xml:space="preserve">&lt;</w:t>
            </w:r>
            <w:r>
              <w:rPr>
                <w:i/>
                <w:strike/>
              </w:rPr>
              <w:t xml:space="preserve">Переключение темы оформления</w:t>
            </w:r>
            <w:r>
              <w:rPr>
                <w:i/>
                <w:strike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strike/>
              </w:rPr>
              <w:t xml:space="preserve">&lt;ИТ-решение должно поддерживать переключение темы оформления «темная» / «светлая» по команде пользователя&gt;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strike/>
              </w:rPr>
              <w:t xml:space="preserve">&lt;</w:t>
            </w:r>
            <w:r>
              <w:rPr>
                <w:i/>
                <w:strike/>
              </w:rPr>
              <w:t xml:space="preserve">ТЗС-25</w:t>
            </w:r>
            <w:r>
              <w:rPr>
                <w:i/>
                <w:strike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strike/>
              </w:rPr>
              <w:t xml:space="preserve">&lt;</w:t>
            </w:r>
            <w:r>
              <w:rPr>
                <w:i/>
                <w:strike/>
              </w:rPr>
              <w:t xml:space="preserve">ФТ-3.1</w:t>
            </w:r>
            <w:r>
              <w:rPr>
                <w:i/>
                <w:strike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  <w:strike/>
              </w:rPr>
              <w:t xml:space="preserve">&lt;</w:t>
            </w:r>
            <w:r>
              <w:rPr>
                <w:i/>
                <w:strike/>
              </w:rPr>
              <w:t xml:space="preserve">1</w:t>
            </w:r>
            <w:r>
              <w:rPr>
                <w:i/>
                <w:strike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КЦП-1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Исключено</w:t>
            </w:r>
            <w:r>
              <w:rPr>
                <w:i/>
              </w:rPr>
              <w:t xml:space="preserve">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НФТ-ПИ-3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&lt;ПРИМЕР&gt;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Переключение темы оформления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&lt;ИТ-решение должно поддерживать переключение темы оформления «темная» / «светлая»/«пользовательская» по команде пользователя&gt;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ТЗС-25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ФТ-3.1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1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КЦП-1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Изменено</w:t>
            </w:r>
            <w:r>
              <w:rPr>
                <w:i/>
              </w:rPr>
              <w:t xml:space="preserve">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НФТ-ПИ-4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&lt;Заполнение поля «Введите первый вопрос для оценки»&gt;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&lt;ИТ-решение должно позволять вводить текст в поле с учетом следующих требований: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  <w:i/>
              </w:rPr>
              <w:t xml:space="preserve">Наименование поля:</w:t>
            </w:r>
            <w:r>
              <w:rPr>
                <w:i/>
              </w:rPr>
              <w:t xml:space="preserve"> Введите первый вопрос для оценки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  <w:i/>
              </w:rPr>
              <w:t xml:space="preserve">Подсказка к полю </w:t>
            </w:r>
            <w:r>
              <w:rPr>
                <w:i/>
              </w:rPr>
              <w:t xml:space="preserve">(при наведении на символ «</w:t>
            </w:r>
            <w:r>
              <w:rPr>
                <w:i/>
              </w:rPr>
              <w:t xml:space="preserve">i</w:t>
            </w:r>
            <w:r>
              <w:rPr>
                <w:i/>
              </w:rPr>
              <w:t xml:space="preserve">»): «Максимальное количество символов с пробелами — 512»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  <w:i/>
              </w:rPr>
              <w:t xml:space="preserve">Валидация заполнения: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 </w:t>
            </w:r>
            <w:r>
              <w:rPr>
                <w:i/>
              </w:rPr>
              <w:t xml:space="preserve">Количество символов: минимум — 2, максимум — 512 с учётом пробелов.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 </w:t>
            </w:r>
            <w:r>
              <w:rPr>
                <w:i/>
              </w:rPr>
              <w:t xml:space="preserve">Необходим ввод хотя бы одного символа.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 </w:t>
            </w:r>
            <w:r>
              <w:rPr>
                <w:i/>
              </w:rPr>
              <w:t xml:space="preserve">Ввод при превышении количества символов не блокируется, выводится состояние ошибки.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 </w:t>
            </w:r>
            <w:r>
              <w:rPr>
                <w:i/>
              </w:rPr>
              <w:t xml:space="preserve">Валидация типов символов не предусматривается. 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 </w:t>
            </w:r>
            <w:r>
              <w:rPr>
                <w:i/>
              </w:rPr>
              <w:t xml:space="preserve">При ошибке валидации отправка формы блокируется, выводится сообщение об ошибке.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Текст ошибки при превышении количества символов: «Превышено максимальное количество символов с пробелами — 512» (ввод и попытка отправить)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Текст ошибки при недостаточном количестве символов: «не указано минимальное количество символов — 2» (попытка отправить)&gt;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ТЗС-10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ФТ-4.2.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1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Проект-2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Новое</w:t>
            </w:r>
            <w:r>
              <w:rPr>
                <w:i/>
              </w:rPr>
              <w:t xml:space="preserve">&gt;</w:t>
            </w:r>
            <w:r/>
          </w:p>
        </w:tc>
      </w:tr>
    </w:tbl>
    <w:p>
      <w:pPr>
        <w:pStyle w:val="1034"/>
      </w:pPr>
      <w:r/>
      <w:bookmarkStart w:id="90" w:name="scroll-bookmark-61"/>
      <w:r/>
      <w:bookmarkStart w:id="91" w:name="_Toc256000029"/>
      <w:r>
        <w:t xml:space="preserve">8.2  Безопасность и защита данных [Выбор] [Определение]</w:t>
      </w:r>
      <w:bookmarkEnd w:id="91"/>
      <w:r/>
      <w:bookmarkEnd w:id="90"/>
      <w:r/>
      <w:r/>
    </w:p>
    <w:p>
      <w:pPr>
        <w:pStyle w:val="1036"/>
      </w:pPr>
      <w:r/>
      <w:bookmarkStart w:id="92" w:name="scroll-bookmark-62"/>
      <w:r/>
      <w:bookmarkStart w:id="93" w:name="_Toc256000030"/>
      <w:r>
        <w:t xml:space="preserve">8.2.1   Требования к обеспечению информационной безопасности</w:t>
      </w:r>
      <w:bookmarkEnd w:id="93"/>
      <w:r/>
      <w:bookmarkEnd w:id="92"/>
      <w:r/>
      <w:r/>
    </w:p>
    <w:p>
      <w:pPr>
        <w:pStyle w:val="1062"/>
        <w:keepNext/>
      </w:pPr>
      <w:r>
        <w:t xml:space="preserve">Таблица </w:t>
      </w:r>
      <w:r>
        <w:fldChar w:fldCharType="begin"/>
      </w:r>
      <w:r>
        <w:instrText xml:space="preserve">SEQ Таблица \* ARABIC</w:instrText>
      </w:r>
      <w:r>
        <w:fldChar w:fldCharType="separate"/>
      </w:r>
      <w:r>
        <w:t xml:space="preserve">24</w:t>
      </w:r>
      <w:r>
        <w:fldChar w:fldCharType="end"/>
      </w:r>
      <w:r>
        <w:t xml:space="preserve"> Требования к обеспечению информационной безопасности</w:t>
      </w:r>
      <w:r/>
    </w:p>
    <w:tbl>
      <w:tblPr>
        <w:tblStyle w:val="1220"/>
        <w:tblW w:w="5000" w:type="pct"/>
        <w:tblLook w:val="0000" w:firstRow="0" w:lastRow="0" w:firstColumn="0" w:lastColumn="0" w:noHBand="0" w:noVBand="0"/>
      </w:tblPr>
      <w:tblGrid>
        <w:gridCol w:w="1384"/>
        <w:gridCol w:w="2097"/>
        <w:gridCol w:w="3204"/>
        <w:gridCol w:w="2027"/>
        <w:gridCol w:w="1704"/>
        <w:gridCol w:w="2375"/>
        <w:gridCol w:w="1475"/>
      </w:tblGrid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bookmarkStart w:id="94" w:name="scroll-bookmark-63"/>
            <w:r>
              <w:rPr>
                <w:b/>
              </w:rPr>
              <w:t xml:space="preserve">Код</w:t>
            </w:r>
            <w:bookmarkEnd w:id="94"/>
            <w:r/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Наименование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Описание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Итерация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Критичность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Код ЖЦ ИТ-решения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Статус для этапов ЖЦ </w:t>
            </w:r>
            <w:r>
              <w:rPr>
                <w:b/>
              </w:rPr>
              <w:t xml:space="preserve">ИТ-решения</w:t>
            </w:r>
            <w:r/>
          </w:p>
        </w:tc>
      </w:tr>
      <w:tr>
        <w:tblPrEx/>
        <w:trPr/>
        <w:tc>
          <w:tcPr>
            <w:gridSpan w:val="7"/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Требования к подсистемам безопасности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&lt;В данной группе на этапе Выбор специалист ИБ задает требования к наличию подсистем безопасности, актуальным для проекта.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На этапе Определение специалист ИБ задает детальные требования к выбранным подсистемам.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Для детальных требований используются Коды с тем же префиксом и добавочными суффиксами, начинающимися с «1» (например, для родительского НФТ-ИБ-1 детальные имеют вид НФТ-ИБ-1.1, НФТ-ИБ -1.2).&gt;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Для всех требований в этой группе критичность устанавливается на уровне «Отсекающий критерий».&gt;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Код с</w:t>
            </w:r>
            <w:r>
              <w:rPr>
                <w:i/>
              </w:rPr>
              <w:t xml:space="preserve"> префиксом НФТ-ИБ-&gt;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&lt;Краткое наименование требования&gt;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&lt;Подробное описание требования&gt;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&lt;Номер /наименование (при наличии итераций)&gt;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Выбор критерия: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 </w:t>
            </w:r>
            <w:r>
              <w:rPr>
                <w:i/>
              </w:rPr>
              <w:t xml:space="preserve">Отсекающий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 </w:t>
            </w:r>
            <w:r>
              <w:rPr>
                <w:i/>
              </w:rPr>
              <w:t xml:space="preserve">Критичный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соответствующего этапа ЖЦ см. «Жизненный цикл ИТ-решения»&gt;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Выбирается одно из значений: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Новое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Изменено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Исключено</w:t>
            </w:r>
            <w:r>
              <w:rPr>
                <w:i/>
              </w:rPr>
              <w:t xml:space="preserve">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НФТ-ИБ-1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&lt;ПРИМЕР&gt;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&lt;Подсистема </w:t>
            </w:r>
            <w:r>
              <w:rPr>
                <w:i/>
              </w:rPr>
              <w:t xml:space="preserve">идентификации и аутентификации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&lt;ИТ-решение должно включать подсистему идентификации и аутентификации&gt;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Отсекающий</w:t>
            </w:r>
            <w:r>
              <w:rPr>
                <w:i/>
              </w:rPr>
              <w:t xml:space="preserve">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Проект-1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Новое</w:t>
            </w:r>
            <w:r>
              <w:rPr>
                <w:i/>
              </w:rPr>
              <w:t xml:space="preserve">&gt;</w:t>
            </w:r>
            <w:r/>
          </w:p>
        </w:tc>
      </w:tr>
      <w:tr>
        <w:tblPrEx/>
        <w:trPr/>
        <w:tc>
          <w:tcPr>
            <w:gridSpan w:val="7"/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Требования ИБ к компонентам ИУС ПХД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&lt;В данной группе описываются детальные требования к компонентам системы во взаимосвязи с утвержденной архитектурой ИТ-решения.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Необходимо учитывать требования ИБ, размещенные в базе знаний&gt;&gt;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Необходимо учитывать актуальную утвержденную версию КТ-233.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Для каждого компонента необходимо указать ссылки на страницы с требованиями, актуальными на момент формирования документа с требованиями ИБ&gt;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Код с</w:t>
            </w:r>
            <w:r>
              <w:rPr>
                <w:i/>
              </w:rPr>
              <w:t xml:space="preserve"> префиксом НФТ-ИБ-&gt;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&lt;Краткое наименование требования&gt;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&lt;Подробное описание требования&gt;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&lt;Номер /наименование (при наличии итераций)&gt;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Выбор критерия: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 </w:t>
            </w:r>
            <w:r>
              <w:rPr>
                <w:i/>
              </w:rPr>
              <w:t xml:space="preserve">Отсекающий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 </w:t>
            </w:r>
            <w:r>
              <w:rPr>
                <w:i/>
              </w:rPr>
              <w:t xml:space="preserve">Критичный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соответствующего этапа ЖЦ см. «Жизненный цикл ИТ-решения»&gt;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Выбирается одно из значений: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Новое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Изменено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Исключено</w:t>
            </w:r>
            <w:r>
              <w:rPr>
                <w:i/>
              </w:rPr>
              <w:t xml:space="preserve">&gt;</w:t>
            </w:r>
            <w:r/>
          </w:p>
        </w:tc>
      </w:tr>
      <w:tr>
        <w:tblPrEx/>
        <w:trPr/>
        <w:tc>
          <w:tcPr>
            <w:gridSpan w:val="7"/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Требования к безопасности мобильных решений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&lt;В данной группе описываются детальные требования к мобильным решениям во взаимосвязи с утвержденной архитектурой ИТ-решения.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Необходимо учитывать требования ИБ, размещенные в базе знаний&gt;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Код с</w:t>
            </w:r>
            <w:r>
              <w:rPr>
                <w:i/>
              </w:rPr>
              <w:t xml:space="preserve"> префиксом НФТ-ИБ-&gt;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&lt;Краткое наименование требования&gt;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&lt;Подробное описание требования&gt;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&lt;Номер /наименование (при наличии итераций)&gt;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Выбор критерия: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 </w:t>
            </w:r>
            <w:r>
              <w:rPr>
                <w:i/>
              </w:rPr>
              <w:t xml:space="preserve">Отсекающий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 </w:t>
            </w:r>
            <w:r>
              <w:rPr>
                <w:i/>
              </w:rPr>
              <w:t xml:space="preserve">Критичный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соответствующего этапа ЖЦ см. «Жизненный цикл ИТ-решения»&gt;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Выбирается одно из значений: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Новое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Изменено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Исключено</w:t>
            </w:r>
            <w:r>
              <w:rPr>
                <w:i/>
              </w:rPr>
              <w:t xml:space="preserve">&gt;</w:t>
            </w:r>
            <w:r/>
          </w:p>
        </w:tc>
      </w:tr>
      <w:tr>
        <w:tblPrEx/>
        <w:trPr/>
        <w:tc>
          <w:tcPr>
            <w:gridSpan w:val="7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Другой тип требований по обеспечению информационной безопасности в зависимости от специфики проекта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Код с</w:t>
            </w:r>
            <w:r>
              <w:rPr>
                <w:i/>
              </w:rPr>
              <w:t xml:space="preserve"> префиксом НФТ-ИБ-&gt;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&lt;Краткое наименование требования&gt;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&lt;Подробное описание требования&gt;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&lt;Номер /наименование (при наличии итераций)&gt;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Выбор критерия: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 </w:t>
            </w:r>
            <w:r>
              <w:rPr>
                <w:i/>
              </w:rPr>
              <w:t xml:space="preserve">Отсекающий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 </w:t>
            </w:r>
            <w:r>
              <w:rPr>
                <w:i/>
              </w:rPr>
              <w:t xml:space="preserve">Критичный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соответствующего этапа ЖЦ см. «Жизненный цикл ИТ-решения»&gt;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Выбирается одно из значений: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Новое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Изменено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Исключено</w:t>
            </w:r>
            <w:r>
              <w:rPr>
                <w:i/>
              </w:rPr>
              <w:t xml:space="preserve">&gt;</w:t>
            </w:r>
            <w:r/>
          </w:p>
        </w:tc>
      </w:tr>
    </w:tbl>
    <w:p>
      <w:pPr>
        <w:pStyle w:val="1034"/>
      </w:pPr>
      <w:r/>
      <w:bookmarkStart w:id="98" w:name="scroll-bookmark-66"/>
      <w:r/>
      <w:bookmarkStart w:id="99" w:name="_Toc256000032"/>
      <w:r>
        <w:t xml:space="preserve">8.3  Атрибуты качества [Выбор] [Определение]</w:t>
      </w:r>
      <w:bookmarkEnd w:id="99"/>
      <w:r/>
      <w:bookmarkEnd w:id="98"/>
      <w:r/>
      <w:r/>
    </w:p>
    <w:p>
      <w:pPr>
        <w:pStyle w:val="1062"/>
        <w:keepNext/>
      </w:pPr>
      <w:r>
        <w:t xml:space="preserve">Таблица </w:t>
      </w:r>
      <w:r>
        <w:fldChar w:fldCharType="begin"/>
      </w:r>
      <w:r>
        <w:instrText xml:space="preserve">SEQ Таблица \* ARABIC</w:instrText>
      </w:r>
      <w:r>
        <w:fldChar w:fldCharType="separate"/>
      </w:r>
      <w:r>
        <w:t xml:space="preserve">26</w:t>
      </w:r>
      <w:r>
        <w:fldChar w:fldCharType="end"/>
      </w:r>
      <w:r>
        <w:t xml:space="preserve"> Атрибуты качества</w:t>
      </w:r>
      <w:r/>
    </w:p>
    <w:tbl>
      <w:tblPr>
        <w:tblStyle w:val="1220"/>
        <w:tblW w:w="5000" w:type="pct"/>
        <w:tblLook w:val="0000" w:firstRow="0" w:lastRow="0" w:firstColumn="0" w:lastColumn="0" w:noHBand="0" w:noVBand="0"/>
      </w:tblPr>
      <w:tblGrid>
        <w:gridCol w:w="1129"/>
        <w:gridCol w:w="2070"/>
        <w:gridCol w:w="2339"/>
        <w:gridCol w:w="1571"/>
        <w:gridCol w:w="1274"/>
        <w:gridCol w:w="1390"/>
        <w:gridCol w:w="1442"/>
        <w:gridCol w:w="1858"/>
        <w:gridCol w:w="1204"/>
      </w:tblGrid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bookmarkStart w:id="100" w:name="scroll-bookmark-67"/>
            <w:r>
              <w:rPr>
                <w:b/>
              </w:rPr>
              <w:t xml:space="preserve">Код</w:t>
            </w:r>
            <w:bookmarkEnd w:id="100"/>
            <w:r/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Наименование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Описание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Вышестоящие требования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Связанные требование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Критичность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Итерация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Код ЖЦ ИТ-решения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Статус для этапов ЖЦ </w:t>
            </w:r>
            <w:r>
              <w:rPr>
                <w:b/>
              </w:rPr>
              <w:t xml:space="preserve">ИТ-решения</w:t>
            </w:r>
            <w:r/>
          </w:p>
        </w:tc>
      </w:tr>
      <w:tr>
        <w:tblPrEx/>
        <w:trPr/>
        <w:tc>
          <w:tcPr>
            <w:gridSpan w:val="9"/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Требования к производительности 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&lt;Описание требований приводится в терминах количества одновременно работающих пользователей, обслуживаемых транзакций, времени реа</w:t>
            </w:r>
            <w:r>
              <w:rPr>
                <w:i/>
              </w:rPr>
              <w:t xml:space="preserve">кции и продолжительности вычислений в зависимости от нагрузки, а также скорости и пропускной способности каналов связи. Если параметры нагрузки не указаны, то подразумевается типовая нагрузка, указанная в разделе Единого документа требований к ИТ-решению  </w:t>
            </w:r>
            <w:hyperlink w:tooltip="#scroll-bookmark-68" w:anchor="scroll-bookmark-68" w:history="1">
              <w:r>
                <w:rPr>
                  <w:rStyle w:val="1189"/>
                  <w:i/>
                </w:rPr>
                <w:t xml:space="preserve">Предполагаемая нагрузка на систему </w:t>
              </w:r>
            </w:hyperlink>
            <w:r>
              <w:rPr>
                <w:i/>
              </w:rPr>
              <w:t xml:space="preserve"> 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 префиксом «НФТ-Пр»&gt;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&lt;Краткая формулировка наименования / сути атрибута&gt;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&lt;Развернутая формулировка. Рекомендуемый шаблон: [Система/Компонент] [Должен] [Критерий качества] [Метрика/Ограничение] [Условие (если есть)]&gt;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вышестоящей НФХ (если она добавляется или изменяется) или ТЗС&gt;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связанного ФТ, НФТ, ТИ&gt;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Выбор критерия: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 </w:t>
            </w:r>
            <w:r>
              <w:rPr>
                <w:i/>
              </w:rPr>
              <w:t xml:space="preserve">Отсекающий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 </w:t>
            </w:r>
            <w:r>
              <w:rPr>
                <w:i/>
              </w:rPr>
              <w:t xml:space="preserve">Критичный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 </w:t>
            </w:r>
            <w:r>
              <w:rPr>
                <w:i/>
              </w:rPr>
              <w:t xml:space="preserve">Важный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 </w:t>
            </w:r>
            <w:r>
              <w:rPr>
                <w:i/>
              </w:rPr>
              <w:t xml:space="preserve">Прочее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&lt;Номер / наименование (при наличии итераций)&gt;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соответствующего этапа ЖЦ см. «Жизненный цикл ИТ-решения»</w:t>
            </w:r>
            <w:r>
              <w:rPr>
                <w:i/>
              </w:rPr>
              <w:t xml:space="preserve">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Выбирается одно из значений: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Новое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Изменено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Исключено</w:t>
            </w:r>
            <w:r>
              <w:rPr>
                <w:i/>
              </w:rPr>
              <w:t xml:space="preserve">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НФТ-Пр-2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ПРИМЕР</w:t>
            </w:r>
            <w:r>
              <w:rPr>
                <w:i/>
              </w:rPr>
              <w:t xml:space="preserve">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Общее количество пользователей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&lt;ИТ-решение должно обеспечивать одновременную работу 25 пользователей.&gt;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ТЗС-1</w:t>
            </w:r>
            <w:r>
              <w:rPr>
                <w:i/>
              </w:rPr>
              <w:t xml:space="preserve">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ФТ-3.1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Важный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1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Проект-1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Новое</w:t>
            </w:r>
            <w:r>
              <w:rPr>
                <w:i/>
              </w:rPr>
              <w:t xml:space="preserve">&gt;</w:t>
            </w:r>
            <w:r/>
          </w:p>
        </w:tc>
      </w:tr>
      <w:tr>
        <w:tblPrEx/>
        <w:trPr/>
        <w:tc>
          <w:tcPr>
            <w:gridSpan w:val="9"/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Требования к масштабируемости 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&lt;Описание требований формулируется к расширению системы (увеличение количества пользователей, количества объемов данных на период от года до пяти&gt;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 префиксом «НФТ-Мсш»&gt;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&lt;Краткая формулировка наименования / сути атрибута&gt;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&lt;Развернутая формулировка, соответствующая шаблону: [Система/Компонент] [Должен] [Критерий качества] [Метрика/Ограничение] [Условие (если есть)]&gt;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вышестоящей НФХ (если она добавляется или изменяется) или ТЗС&gt;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 Код связанного ФТ, НФТ, ТИ&gt;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Выбор критерия: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 </w:t>
            </w:r>
            <w:r>
              <w:rPr>
                <w:i/>
              </w:rPr>
              <w:t xml:space="preserve">Отсекающий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 </w:t>
            </w:r>
            <w:r>
              <w:rPr>
                <w:i/>
              </w:rPr>
              <w:t xml:space="preserve">Критичный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 </w:t>
            </w:r>
            <w:r>
              <w:rPr>
                <w:i/>
              </w:rPr>
              <w:t xml:space="preserve">Важный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 </w:t>
            </w:r>
            <w:r>
              <w:rPr>
                <w:i/>
              </w:rPr>
              <w:t xml:space="preserve">Прочее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&lt;Номер / наименование (при наличии итераций)&gt;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соответствующего этапа ЖЦ см. «Жизненный цикл ИТ-решения»</w:t>
            </w:r>
            <w:r>
              <w:rPr>
                <w:i/>
              </w:rPr>
              <w:t xml:space="preserve">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Выбирается одно из значений: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Новое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Изменено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Исключено</w:t>
            </w:r>
            <w:r>
              <w:rPr>
                <w:i/>
              </w:rPr>
              <w:t xml:space="preserve">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НФТ-Мсш-1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&lt;ПРИМЕР&gt;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&lt;Масштабируемость при увеличении количества пользователей&gt;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&lt;ИТ-решение должно обеспечивать возможность горизонтального и вертикального масштабирования вычислительных ресурсов при увеличении ожидаемой нагрузки до 150 пользователей, при этом значения времени отклика интерфейса не должны увеличиваться.&gt;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ТЗС-2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ФТ-4.1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Важный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1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Проект-1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Новое</w:t>
            </w:r>
            <w:r>
              <w:rPr>
                <w:i/>
              </w:rPr>
              <w:t xml:space="preserve">&gt;</w:t>
            </w:r>
            <w:r/>
          </w:p>
        </w:tc>
      </w:tr>
      <w:tr>
        <w:tblPrEx/>
        <w:trPr/>
        <w:tc>
          <w:tcPr>
            <w:gridSpan w:val="9"/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Требования к доступности и надежности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&lt;Описание требований формулируется к времени непрерывной работы ИТ-решения и к возможностям сохранять работосп</w:t>
            </w:r>
            <w:r>
              <w:rPr>
                <w:i/>
              </w:rPr>
              <w:t xml:space="preserve">особность и обеспечивать восстановление. Определяются в зависимости от параметра критичности ИС (поддерживающая/важная/критичная) в соответствии с М-15.03.01-03 «Требования к ранжированию ИТАТ-продуктов по критичности показателей непрерывной деятельности»&gt;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&lt;При необходимости, в данной группе могут быть указаны: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Требования к отказоустойчивости и ката</w:t>
            </w:r>
            <w:r>
              <w:rPr>
                <w:i/>
              </w:rPr>
              <w:t xml:space="preserve">строфоустойчивости, которые определяется исходя из бизнес-требований. В описании указывается необходимость применения решений по высокой доступности по следующим показателям: HA (High availability) DR (Disaster recovery), RCO (Recovery Capacity Objective);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Требования к режимам функционирования системы: требования к системе в нормальном и аварийном режимах функционирования. Определяются возможности системы в нормальном и аварийных режимах функционирования</w:t>
            </w:r>
            <w:r>
              <w:rPr>
                <w:i/>
              </w:rPr>
              <w:t xml:space="preserve">. Указываются требования, по обеспечению нормального режима функционирования, а также мероприятия по обеспечению перехода в нормальный режим.&gt;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&lt;Код с префиксом «НФТ-Дст»&gt;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&lt;Краткая формулировка наименования / сути атрибута&gt;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&lt;Развернутая формулировка, соответствующая шаблону: [Система/Компонент] [Должен] [Критерий качества] [Метрика/Ограничение] [Условие (если есть)]&gt;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вышестоящей НФХ (если она добавляется или изменяется) или ТЗС&gt;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 Код связанного ФТ, НФТ, ТИ&gt;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Выбор критерия: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 </w:t>
            </w:r>
            <w:r>
              <w:rPr>
                <w:i/>
              </w:rPr>
              <w:t xml:space="preserve">Отсекающий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 </w:t>
            </w:r>
            <w:r>
              <w:rPr>
                <w:i/>
              </w:rPr>
              <w:t xml:space="preserve">Критичный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 </w:t>
            </w:r>
            <w:r>
              <w:rPr>
                <w:i/>
              </w:rPr>
              <w:t xml:space="preserve">Важный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 </w:t>
            </w:r>
            <w:r>
              <w:rPr>
                <w:i/>
              </w:rPr>
              <w:t xml:space="preserve">Прочее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&lt;Номер / наименование (при наличии итераций)&gt;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соответствующего этапа ЖЦ см. «Жизненный цикл ИТ-решения»</w:t>
            </w:r>
            <w:r>
              <w:rPr>
                <w:i/>
              </w:rPr>
              <w:t xml:space="preserve">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Выбирается одно из значений: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Новое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Изменено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Исключено</w:t>
            </w:r>
            <w:r>
              <w:rPr>
                <w:i/>
              </w:rPr>
              <w:t xml:space="preserve">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НФТ-Дст-1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&lt;ПРИМЕР&gt;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&lt;Базовая надежность и доступность&gt;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&lt;ИТ-решение должно соответствовать параметрам надежности и доступности в соответствии с уровнем критичности: важный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RTO не более 50 часов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RPO не более 25 часов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Доступность, в год не 365 дней&gt;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ТЗС-5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ФТ-5.1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Важный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1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Проект-1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Новое</w:t>
            </w:r>
            <w:r>
              <w:rPr>
                <w:i/>
              </w:rPr>
              <w:t xml:space="preserve">&gt;</w:t>
            </w:r>
            <w:r/>
          </w:p>
        </w:tc>
      </w:tr>
      <w:tr>
        <w:tblPrEx/>
        <w:trPr/>
        <w:tc>
          <w:tcPr>
            <w:gridSpan w:val="9"/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Требования к совместимости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&lt;Описание требований формулируется к совместимости между предыдущими версиями системы, перечнем версий внешних систем и разрабатываемой информационной системой&gt;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 префиксом «НФТ-Свм»&gt;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&lt;Краткая формулировка наименования / сути атрибута&gt;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&lt;Развернутая формулировка, соответствующая шаблону: [Система/Компонент] [Должен] [Критерий качества] [Метрика/Ограничение] [Условие (если есть)]&gt;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вышестоящей НФХ (если она добавляется или изменяется) или ТЗС&gt;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связанного ФТ, НФТ, ТИ&gt;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Выбор критерия: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 </w:t>
            </w:r>
            <w:r>
              <w:rPr>
                <w:i/>
              </w:rPr>
              <w:t xml:space="preserve">Отсекающий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 </w:t>
            </w:r>
            <w:r>
              <w:rPr>
                <w:i/>
              </w:rPr>
              <w:t xml:space="preserve">Критичный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 </w:t>
            </w:r>
            <w:r>
              <w:rPr>
                <w:i/>
              </w:rPr>
              <w:t xml:space="preserve">Важный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 </w:t>
            </w:r>
            <w:r>
              <w:rPr>
                <w:i/>
              </w:rPr>
              <w:t xml:space="preserve">Прочее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&lt;Номер / наименование (при наличии итераций)&gt;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соответствующего этапа ЖЦ см. «Жизненный цикл ИТ-решения»</w:t>
            </w:r>
            <w:r>
              <w:rPr>
                <w:i/>
              </w:rPr>
              <w:t xml:space="preserve">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Выбирается одно из значений: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Новое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Изменено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Исключено</w:t>
            </w:r>
            <w:r>
              <w:rPr>
                <w:i/>
              </w:rPr>
              <w:t xml:space="preserve">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&lt;НФТ-Свм-1&gt;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&lt;Совместимость с оборудованием&gt;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&lt;Все поставляемое программное обеспечение (ПО) должно быть совместимо с поставляемым оборудованием в части поддерживаемых операционных систем, драйверов, версий прошивок и интерфейсов взаимодействия.&gt;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&lt;БТ-2&gt;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&lt;ФТ-5.1&gt;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Важный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1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Проект-1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Новое</w:t>
            </w:r>
            <w:r>
              <w:rPr>
                <w:i/>
              </w:rPr>
              <w:t xml:space="preserve">&gt;</w:t>
            </w:r>
            <w:r/>
          </w:p>
        </w:tc>
      </w:tr>
      <w:tr>
        <w:tblPrEx/>
        <w:trPr/>
        <w:tc>
          <w:tcPr>
            <w:gridSpan w:val="9"/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&lt;Другой тип атрибута качества ИТ-решения в зависимости от специфики проекта&gt;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 префиксом «НФТ-</w:t>
            </w:r>
            <w:r>
              <w:rPr>
                <w:i/>
              </w:rPr>
              <w:t xml:space="preserve">xxx</w:t>
            </w:r>
            <w:r>
              <w:rPr>
                <w:i/>
              </w:rPr>
              <w:t xml:space="preserve"> 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&lt;Краткая формулировка наименования / сути атрибута&gt;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&lt;Подробное описание требования&gt;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вышестоящей НФХ (если она добавляется или изменяется) или ТЗС&gt;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связанного ФТ, НФТ, ТИ&gt;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Выбор критерия: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 </w:t>
            </w:r>
            <w:r>
              <w:rPr>
                <w:i/>
              </w:rPr>
              <w:t xml:space="preserve">Отсекающий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 </w:t>
            </w:r>
            <w:r>
              <w:rPr>
                <w:i/>
              </w:rPr>
              <w:t xml:space="preserve">Критичный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 </w:t>
            </w:r>
            <w:r>
              <w:rPr>
                <w:i/>
              </w:rPr>
              <w:t xml:space="preserve">Важный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 </w:t>
            </w:r>
            <w:r>
              <w:rPr>
                <w:i/>
              </w:rPr>
              <w:t xml:space="preserve">Прочее</w:t>
            </w:r>
            <w:r>
              <w:rPr>
                <w:i/>
              </w:rPr>
              <w:t xml:space="preserve">&gt;</w:t>
            </w:r>
            <w:r/>
          </w:p>
        </w:tc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&lt;Номер / наименование (при наличии итераций)&gt;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&lt;Код соответствующего этапа ЖЦ см. «Жизненный цикл ИТ-решения»</w:t>
            </w:r>
            <w:r>
              <w:rPr>
                <w:i/>
              </w:rPr>
              <w:t xml:space="preserve">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&lt;</w:t>
            </w:r>
            <w:r>
              <w:rPr>
                <w:i/>
              </w:rPr>
              <w:t xml:space="preserve">Выбирается одно из значений: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Новое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Изменено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t xml:space="preserve">·         </w:t>
            </w:r>
            <w:r>
              <w:rPr>
                <w:i/>
              </w:rPr>
              <w:t xml:space="preserve">Исключено</w:t>
            </w:r>
            <w:r>
              <w:rPr>
                <w:i/>
              </w:rPr>
              <w:t xml:space="preserve">&gt;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/>
          </w:p>
        </w:tc>
      </w:tr>
    </w:tbl>
    <w:p>
      <w:pPr>
        <w:pStyle w:val="1032"/>
      </w:pPr>
      <w:r/>
      <w:bookmarkStart w:id="133" w:name="scroll-bookmark-90"/>
      <w:r/>
      <w:bookmarkStart w:id="134" w:name="_Toc256000044"/>
      <w:r>
        <w:t xml:space="preserve">9.   Приложения</w:t>
      </w:r>
      <w:bookmarkEnd w:id="134"/>
      <w:r/>
      <w:bookmarkEnd w:id="133"/>
      <w:r/>
      <w:r/>
    </w:p>
    <w:p>
      <w:pPr>
        <w:pStyle w:val="1034"/>
      </w:pPr>
      <w:r/>
      <w:r>
        <w:t xml:space="preserve">ПРИЛОЖЕНИЕ 1. КМД/ЛМД/ФМД</w:t>
      </w:r>
      <w:r/>
      <w:r/>
    </w:p>
    <w:p>
      <w:r/>
      <w:r/>
    </w:p>
    <w:p>
      <w:pPr>
        <w:pStyle w:val="1034"/>
      </w:pPr>
      <w:r/>
      <w:bookmarkStart w:id="149" w:name="scroll-bookmark-101"/>
      <w:r/>
      <w:bookmarkStart w:id="150" w:name="_Toc256000049"/>
      <w:r>
        <w:t xml:space="preserve">ПРИЛОЖЕНИЕ 2. Формат USE CASE</w:t>
      </w:r>
      <w:bookmarkEnd w:id="150"/>
      <w:r/>
      <w:bookmarkEnd w:id="149"/>
      <w:r/>
      <w:r/>
    </w:p>
    <w:p>
      <w:r>
        <w:t xml:space="preserve">Пользовательские сценарии</w:t>
      </w:r>
      <w:r/>
    </w:p>
    <w:p>
      <w:r>
        <w:rPr>
          <w:i/>
        </w:rPr>
        <w:t xml:space="preserve">&lt;Приложение не используется для заполнения, возможно к удалению. </w:t>
      </w:r>
      <w:r>
        <w:rPr>
          <w:i/>
        </w:rPr>
        <w:t xml:space="preserve">В нижеприведенном формате может быть описан процесс взаимодействия пользователей с ИТ-решением в разделе 4.3.</w:t>
      </w:r>
      <w:r/>
    </w:p>
    <w:p>
      <w:r>
        <w:rPr>
          <w:i/>
        </w:rPr>
        <w:t xml:space="preserve">Пользовательские сценарии описывают взаимодействие пользователей (</w:t>
      </w:r>
      <w:r>
        <w:rPr>
          <w:i/>
        </w:rPr>
        <w:t xml:space="preserve">акторов</w:t>
      </w:r>
      <w:r>
        <w:rPr>
          <w:i/>
        </w:rPr>
        <w:t xml:space="preserve">) с ИТ-решением для достижения конкретных целей</w:t>
      </w:r>
      <w:r>
        <w:t xml:space="preserve">. </w:t>
      </w:r>
      <w:r>
        <w:rPr>
          <w:i/>
        </w:rPr>
        <w:t xml:space="preserve">Если </w:t>
      </w:r>
      <w:r>
        <w:rPr>
          <w:i/>
        </w:rPr>
        <w:t xml:space="preserve">актором</w:t>
      </w:r>
      <w:r>
        <w:rPr>
          <w:i/>
        </w:rPr>
        <w:t xml:space="preserve"> является сервис, то описывается взаимодействие сервисов&gt;</w:t>
      </w:r>
      <w:r/>
    </w:p>
    <w:tbl>
      <w:tblPr>
        <w:tblStyle w:val="1220"/>
        <w:tblW w:w="5000" w:type="pct"/>
        <w:tblLook w:val="0000" w:firstRow="0" w:lastRow="0" w:firstColumn="0" w:lastColumn="0" w:noHBand="0" w:noVBand="0"/>
      </w:tblPr>
      <w:tblGrid>
        <w:gridCol w:w="3278"/>
        <w:gridCol w:w="10989"/>
      </w:tblGrid>
      <w:tr>
        <w:tblPrEx/>
        <w:trPr/>
        <w:tc>
          <w:tcPr>
            <w:gridSpan w:val="2"/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Описание пользовательского сценария (</w:t>
            </w:r>
            <w:r>
              <w:rPr>
                <w:b/>
              </w:rPr>
              <w:t xml:space="preserve">use</w:t>
            </w:r>
            <w:r>
              <w:rPr>
                <w:b/>
              </w:rPr>
              <w:t xml:space="preserve">-</w:t>
            </w:r>
            <w:r>
              <w:rPr>
                <w:b/>
              </w:rPr>
              <w:t xml:space="preserve">case</w:t>
            </w:r>
            <w:r>
              <w:rPr>
                <w:b/>
              </w:rPr>
              <w:t xml:space="preserve">)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Может быть описано несколько </w:t>
            </w:r>
            <w:r>
              <w:rPr>
                <w:i/>
              </w:rPr>
              <w:t xml:space="preserve">use</w:t>
            </w:r>
            <w:r>
              <w:rPr>
                <w:i/>
              </w:rPr>
              <w:t xml:space="preserve">-</w:t>
            </w:r>
            <w:r>
              <w:rPr>
                <w:i/>
              </w:rPr>
              <w:t xml:space="preserve">case</w:t>
            </w:r>
            <w:r>
              <w:rPr>
                <w:i/>
              </w:rPr>
              <w:t xml:space="preserve">, при соблюдении следующих условий:</w:t>
            </w:r>
            <w:r/>
          </w:p>
          <w:p>
            <w:pPr>
              <w:numPr>
                <w:ilvl w:val="0"/>
                <w:numId w:val="13"/>
              </w:numPr>
              <w:ind w:left="720" w:right="0" w:hanging="36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Каждый </w:t>
            </w:r>
            <w:r>
              <w:rPr>
                <w:i/>
              </w:rPr>
              <w:t xml:space="preserve">use</w:t>
            </w:r>
            <w:r>
              <w:rPr>
                <w:i/>
              </w:rPr>
              <w:t xml:space="preserve">-</w:t>
            </w:r>
            <w:r>
              <w:rPr>
                <w:i/>
              </w:rPr>
              <w:t xml:space="preserve">case</w:t>
            </w:r>
            <w:r>
              <w:rPr>
                <w:i/>
              </w:rPr>
              <w:t xml:space="preserve"> описан в отдельной таблице</w:t>
            </w:r>
            <w:r/>
          </w:p>
          <w:p>
            <w:pPr>
              <w:numPr>
                <w:ilvl w:val="0"/>
                <w:numId w:val="13"/>
              </w:numPr>
              <w:ind w:left="720" w:right="0" w:hanging="36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Use</w:t>
            </w:r>
            <w:r>
              <w:rPr>
                <w:i/>
              </w:rPr>
              <w:t xml:space="preserve">-</w:t>
            </w:r>
            <w:r>
              <w:rPr>
                <w:i/>
              </w:rPr>
              <w:t xml:space="preserve">case</w:t>
            </w:r>
            <w:r>
              <w:rPr>
                <w:i/>
              </w:rPr>
              <w:t xml:space="preserve"> относятся к одному и тому же требованию (ссылка на которое закреплена в п.1)</w:t>
            </w:r>
            <w:r/>
          </w:p>
          <w:p>
            <w:pPr>
              <w:numPr>
                <w:ilvl w:val="0"/>
                <w:numId w:val="13"/>
              </w:numPr>
              <w:ind w:left="720" w:right="0" w:hanging="36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Изменения должны быть выпущены в рамках одного релиза (если затронуты несколько релизов, необходимо разделить описание на несколько связанных use-case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Участники (функциональные роли)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Здесь указываются пользователи, описанного ниже сценария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Пользователь системы = П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Сервис = С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Предусловия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Здесь описываются условия, которые должны быть истинными, до начала выполнения сценария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Пользователь должен быть авторизован.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Пользователь применил фильтры и группировку в списке </w:t>
            </w:r>
            <w:r>
              <w:rPr>
                <w:i/>
              </w:rPr>
              <w:t xml:space="preserve">SKU</w:t>
            </w:r>
            <w:r>
              <w:rPr>
                <w:i/>
              </w:rPr>
              <w:t xml:space="preserve"> на вкладке "Цены" в блоке "Отчёты".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Базовый сценарий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Здесь описывается основная последовательность шагов, которая приводит у успешному выполнению сценария, включая действия пользователя и реакцию </w:t>
            </w:r>
            <w:r>
              <w:rPr>
                <w:i/>
              </w:rPr>
              <w:t xml:space="preserve">Ит-решения на них</w:t>
            </w:r>
            <w:r/>
          </w:p>
          <w:p>
            <w:pPr>
              <w:numPr>
                <w:ilvl w:val="0"/>
                <w:numId w:val="14"/>
              </w:numPr>
              <w:ind w:left="720" w:right="0" w:hanging="36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П открывает вкладку "Цены".</w:t>
            </w:r>
            <w:r/>
          </w:p>
          <w:p>
            <w:pPr>
              <w:numPr>
                <w:ilvl w:val="0"/>
                <w:numId w:val="14"/>
              </w:numPr>
              <w:ind w:left="720" w:right="0" w:hanging="36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П переходит в блок "Отчёты".</w:t>
            </w:r>
            <w:r/>
          </w:p>
          <w:p>
            <w:pPr>
              <w:numPr>
                <w:ilvl w:val="0"/>
                <w:numId w:val="14"/>
              </w:numPr>
              <w:ind w:left="720" w:right="0" w:hanging="36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П видит список ранее сохранённых конфигураций списка </w:t>
            </w:r>
            <w:r>
              <w:rPr>
                <w:i/>
              </w:rPr>
              <w:t xml:space="preserve">SKU</w:t>
            </w:r>
            <w:r>
              <w:rPr>
                <w:i/>
              </w:rPr>
              <w:t xml:space="preserve"> (если были сохранены у пользователя).</w:t>
            </w:r>
            <w:r/>
          </w:p>
          <w:p>
            <w:pPr>
              <w:numPr>
                <w:ilvl w:val="0"/>
                <w:numId w:val="14"/>
              </w:numPr>
              <w:ind w:left="720" w:right="0" w:hanging="36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П видит настройку отображения для списка </w:t>
            </w:r>
            <w:r>
              <w:rPr>
                <w:i/>
              </w:rPr>
              <w:t xml:space="preserve">SKU</w:t>
            </w:r>
            <w:r>
              <w:rPr>
                <w:i/>
              </w:rPr>
              <w:t xml:space="preserve">.</w:t>
            </w:r>
            <w:r/>
          </w:p>
          <w:p>
            <w:pPr>
              <w:numPr>
                <w:ilvl w:val="0"/>
                <w:numId w:val="14"/>
              </w:numPr>
              <w:ind w:left="720" w:right="0" w:hanging="36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П выбирает атрибуты ассортимента для отображения.</w:t>
            </w:r>
            <w:r/>
          </w:p>
          <w:p>
            <w:pPr>
              <w:numPr>
                <w:ilvl w:val="0"/>
                <w:numId w:val="14"/>
              </w:numPr>
              <w:ind w:left="720" w:right="0" w:hanging="36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П выбирает атрибуты, по которым будет произведена группировка списка.</w:t>
            </w:r>
            <w:r/>
          </w:p>
          <w:p>
            <w:pPr>
              <w:numPr>
                <w:ilvl w:val="0"/>
                <w:numId w:val="14"/>
              </w:numPr>
              <w:ind w:left="720" w:right="0" w:hanging="36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П вводит наименование конфигурации для сохранения.</w:t>
            </w:r>
            <w:r/>
          </w:p>
          <w:p>
            <w:pPr>
              <w:numPr>
                <w:ilvl w:val="0"/>
                <w:numId w:val="14"/>
              </w:numPr>
              <w:ind w:left="720" w:right="0" w:hanging="36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П нажимает "Сохранить".</w:t>
            </w:r>
            <w:r/>
          </w:p>
          <w:p>
            <w:pPr>
              <w:numPr>
                <w:ilvl w:val="0"/>
                <w:numId w:val="14"/>
              </w:numPr>
              <w:ind w:left="720" w:right="0" w:hanging="36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С проверяет введенные данные и в случае их корректности сохраняет конфигурацию в справочнике</w:t>
            </w:r>
            <w:r/>
          </w:p>
          <w:p>
            <w:pPr>
              <w:numPr>
                <w:ilvl w:val="0"/>
                <w:numId w:val="14"/>
              </w:numPr>
              <w:ind w:left="720" w:right="0" w:hanging="36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П видит только что сохранённую конфигурацию в списке с введённым им наименованием.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Исключительный сценарий 1 – &lt;краткое описание исключения&gt;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Здесь описываются все отклонения от базового сценария (может быть несколько</w:t>
            </w:r>
            <w:r>
              <w:rPr>
                <w:i/>
              </w:rPr>
              <w:t xml:space="preserve"> </w:t>
            </w:r>
            <w:r>
              <w:rPr>
                <w:i/>
              </w:rPr>
              <w:t xml:space="preserve"> сценариев)</w:t>
            </w:r>
            <w:r/>
          </w:p>
          <w:p>
            <w:pPr>
              <w:numPr>
                <w:ilvl w:val="0"/>
                <w:numId w:val="15"/>
              </w:numPr>
              <w:ind w:left="720" w:right="0" w:hanging="36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П открывает вкладку "Цены".</w:t>
            </w:r>
            <w:r/>
          </w:p>
          <w:p>
            <w:pPr>
              <w:numPr>
                <w:ilvl w:val="0"/>
                <w:numId w:val="15"/>
              </w:numPr>
              <w:ind w:left="720" w:right="0" w:hanging="36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П переходит в блок "Отчёты".</w:t>
            </w:r>
            <w:r/>
          </w:p>
          <w:p>
            <w:pPr>
              <w:numPr>
                <w:ilvl w:val="0"/>
                <w:numId w:val="15"/>
              </w:numPr>
              <w:ind w:left="720" w:right="0" w:hanging="36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П видит список ранее сохранённых конфигураций списка </w:t>
            </w:r>
            <w:r>
              <w:rPr>
                <w:i/>
              </w:rPr>
              <w:t xml:space="preserve">SKU</w:t>
            </w:r>
            <w:r>
              <w:rPr>
                <w:i/>
              </w:rPr>
              <w:t xml:space="preserve"> (если были сохранены у пользователя).</w:t>
            </w:r>
            <w:r/>
          </w:p>
          <w:p>
            <w:pPr>
              <w:numPr>
                <w:ilvl w:val="0"/>
                <w:numId w:val="15"/>
              </w:numPr>
              <w:ind w:left="720" w:right="0" w:hanging="36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П видит настройку отображения для списка </w:t>
            </w:r>
            <w:r>
              <w:rPr>
                <w:i/>
              </w:rPr>
              <w:t xml:space="preserve">SKU</w:t>
            </w:r>
            <w:r>
              <w:rPr>
                <w:i/>
              </w:rPr>
              <w:t xml:space="preserve">.</w:t>
            </w:r>
            <w:r/>
          </w:p>
          <w:p>
            <w:pPr>
              <w:numPr>
                <w:ilvl w:val="0"/>
                <w:numId w:val="15"/>
              </w:numPr>
              <w:ind w:left="720" w:right="0" w:hanging="36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П выбирает атрибуты ассортимента для отображения.</w:t>
            </w:r>
            <w:r/>
          </w:p>
          <w:p>
            <w:pPr>
              <w:numPr>
                <w:ilvl w:val="0"/>
                <w:numId w:val="15"/>
              </w:numPr>
              <w:ind w:left="720" w:right="0" w:hanging="36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П выбирает атрибуты, по которым будет произведена группировка списка.</w:t>
            </w:r>
            <w:r/>
          </w:p>
          <w:p>
            <w:pPr>
              <w:numPr>
                <w:ilvl w:val="0"/>
                <w:numId w:val="15"/>
              </w:numPr>
              <w:ind w:left="720" w:right="0" w:hanging="36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П нажимает "Сохранить".</w:t>
            </w:r>
            <w:r/>
          </w:p>
          <w:p>
            <w:pPr>
              <w:numPr>
                <w:ilvl w:val="0"/>
                <w:numId w:val="15"/>
              </w:numPr>
              <w:ind w:left="720" w:right="0" w:hanging="36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П видит уведомление: "Введите наименование конфигурации."</w:t>
            </w:r>
            <w:r/>
          </w:p>
        </w:tc>
      </w:tr>
      <w:tr>
        <w:tblPrEx/>
        <w:trPr/>
        <w:tc>
          <w:tcPr>
            <w:textDirection w:val="lrTb"/>
            <w:noWrap w:val="false"/>
          </w:tcPr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b/>
              </w:rPr>
              <w:t xml:space="preserve">Постусловие</w:t>
            </w:r>
            <w:r/>
          </w:p>
        </w:tc>
        <w:tc>
          <w:tcPr>
            <w:textDirection w:val="lrTb"/>
            <w:noWrap w:val="false"/>
          </w:tcPr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Здесь описываются условия, которые должны быть истинными, после завершения сценария.</w:t>
            </w:r>
            <w:r/>
          </w:p>
          <w:p>
            <w:p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Если при выполнении исключительного сценария постусловия отличаются от базового сценария - необходимо указать все варианты постусловий, с привязкой к вариантам прохождения сценария, который приводит к этим постусловиям.</w:t>
            </w:r>
            <w:r/>
          </w:p>
          <w:p>
            <w:pPr>
              <w:numPr>
                <w:ilvl w:val="0"/>
                <w:numId w:val="0"/>
              </w:numPr>
              <w:ind w:left="0" w:right="0" w:firstLine="0"/>
              <w:jc w:val="left"/>
              <w:spacing w:before="0" w:beforeAutospacing="0" w:after="120" w:afterAutospacing="0" w:line="276" w:lineRule="auto"/>
              <w:outlineLvl w:val="9"/>
            </w:pPr>
            <w:r>
              <w:rPr>
                <w:i/>
              </w:rPr>
              <w:t xml:space="preserve"> </w:t>
            </w:r>
            <w:r>
              <w:rPr>
                <w:i/>
              </w:rPr>
              <w:t xml:space="preserve">П переходит в блок "Отчёты"</w:t>
            </w:r>
            <w:r>
              <w:rPr>
                <w:i/>
              </w:rPr>
              <w:t xml:space="preserve"> </w:t>
            </w:r>
            <w:r>
              <w:rPr>
                <w:i/>
              </w:rPr>
              <w:t xml:space="preserve"> и видит</w:t>
            </w:r>
            <w:r>
              <w:rPr>
                <w:i/>
              </w:rPr>
              <w:t xml:space="preserve"> </w:t>
            </w:r>
            <w:r>
              <w:rPr>
                <w:i/>
              </w:rPr>
              <w:t xml:space="preserve"> список сохраненных конфигураций (если для него предоставлены права на просмотр списка конфигураций)</w:t>
            </w:r>
            <w:r/>
          </w:p>
        </w:tc>
      </w:tr>
    </w:tbl>
    <w:p>
      <w:r/>
      <w:r/>
    </w:p>
    <w:p>
      <w:r/>
      <w:r/>
    </w:p>
    <w:sectPr>
      <w:headerReference w:type="default" r:id="rId15"/>
      <w:headerReference w:type="first" r:id="rId16"/>
      <w:footerReference w:type="default" r:id="rId23"/>
      <w:footerReference w:type="first" r:id="rId24"/>
      <w:footnotePr/>
      <w:endnotePr/>
      <w:type w:val="nextPage"/>
      <w:pgSz w:w="16838" w:h="11906" w:orient="landscape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60"/>
      <w:jc w:val="left"/>
      <w:tabs>
        <w:tab w:val="clear" w:pos="7143" w:leader="none"/>
        <w:tab w:val="left" w:pos="7226" w:leader="none"/>
        <w:tab w:val="clear" w:pos="14287" w:leader="none"/>
      </w:tabs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60"/>
      <w:jc w:val="right"/>
      <w:tabs>
        <w:tab w:val="clear" w:pos="7143" w:leader="none"/>
        <w:tab w:val="left" w:pos="7226" w:leader="none"/>
        <w:tab w:val="clear" w:pos="14287" w:leader="none"/>
      </w:tabs>
    </w:pPr>
    <w:r/>
    <w:hyperlink r:id="rId1" w:tooltip="https://kb.gazprom-neft.local/pages/viewpage.action?pageId=692881566" w:history="1">
      <w:r>
        <w:rPr>
          <w:rStyle w:val="1189"/>
          <w:rFonts w:ascii="Arial" w:hAnsi="Arial" w:eastAsia="Arial" w:cs="Arial"/>
          <w:sz w:val="20"/>
          <w:szCs w:val="20"/>
          <w:lang w:val="ru-RU"/>
        </w:rPr>
        <w:t xml:space="preserve">https://kb.gazprom-neft.local/pages/viewpage.action?pageId=692881566</w:t>
      </w:r>
    </w:hyperlink>
    <w:r>
      <w:rPr>
        <w:rFonts w:ascii="Arial" w:hAnsi="Arial" w:eastAsia="Arial" w:cs="Arial"/>
        <w:sz w:val="20"/>
        <w:szCs w:val="20"/>
        <w:lang w:val="ru-RU"/>
      </w:rPr>
      <w:t xml:space="preserve"> (версия в КТЗ: </w:t>
    </w:r>
    <w:r>
      <w:rPr>
        <w:rFonts w:ascii="Arial" w:hAnsi="Arial" w:eastAsia="Arial" w:cs="Arial"/>
        <w:sz w:val="20"/>
        <w:szCs w:val="20"/>
        <w:lang w:val="ru-RU"/>
      </w:rPr>
      <w:t xml:space="preserve">36</w:t>
    </w:r>
    <w:r>
      <w:rPr>
        <w:rFonts w:ascii="Arial" w:hAnsi="Arial" w:eastAsia="Arial" w:cs="Arial"/>
        <w:sz w:val="20"/>
        <w:szCs w:val="20"/>
        <w:lang w:val="ru-RU"/>
      </w:rPr>
      <w:t xml:space="preserve">)</w:t>
      <w:tab/>
    </w:r>
    <w:r>
      <w:fldChar w:fldCharType="begin"/>
    </w:r>
    <w:r>
      <w:instrText xml:space="preserve">PAGE \* MERGEFORMAT</w:instrText>
    </w:r>
    <w:r>
      <w:fldChar w:fldCharType="separate"/>
    </w:r>
    <w:r>
      <w:rPr>
        <w:rFonts w:ascii="Arial" w:hAnsi="Arial" w:eastAsia="Arial" w:cs="Arial"/>
        <w:sz w:val="20"/>
        <w:szCs w:val="20"/>
        <w:lang w:val="ru-RU"/>
      </w:rPr>
      <w:t xml:space="preserve">1</w:t>
    </w:r>
    <w:r>
      <w:rPr>
        <w:rFonts w:ascii="Arial" w:hAnsi="Arial" w:eastAsia="Arial" w:cs="Arial"/>
        <w:sz w:val="20"/>
        <w:szCs w:val="20"/>
        <w:lang w:val="ru-RU"/>
      </w:rPr>
      <w:fldChar w:fldCharType="end"/>
    </w:r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60"/>
      <w:jc w:val="left"/>
      <w:tabs>
        <w:tab w:val="clear" w:pos="7143" w:leader="none"/>
        <w:tab w:val="left" w:pos="7226" w:leader="none"/>
        <w:tab w:val="clear" w:pos="14287" w:leader="none"/>
      </w:tabs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60"/>
      <w:jc w:val="right"/>
      <w:tabs>
        <w:tab w:val="clear" w:pos="7143" w:leader="none"/>
        <w:tab w:val="left" w:pos="7226" w:leader="none"/>
        <w:tab w:val="clear" w:pos="14287" w:leader="none"/>
      </w:tabs>
    </w:pPr>
    <w:r/>
    <w:hyperlink r:id="rId1" w:tooltip="https://kb.gazprom-neft.local/pages/viewpage.action?pageId=692881566" w:history="1">
      <w:r>
        <w:rPr>
          <w:rStyle w:val="1189"/>
          <w:rFonts w:ascii="Arial" w:hAnsi="Arial" w:eastAsia="Arial" w:cs="Arial"/>
          <w:sz w:val="20"/>
          <w:szCs w:val="20"/>
          <w:lang w:val="ru-RU"/>
        </w:rPr>
        <w:t xml:space="preserve">https://kb.gazprom-neft.local/pages/viewpage.action?pageId=692881566</w:t>
      </w:r>
    </w:hyperlink>
    <w:r>
      <w:rPr>
        <w:rFonts w:ascii="Arial" w:hAnsi="Arial" w:eastAsia="Arial" w:cs="Arial"/>
        <w:sz w:val="20"/>
        <w:szCs w:val="20"/>
        <w:lang w:val="ru-RU"/>
      </w:rPr>
      <w:t xml:space="preserve"> (версия в КТЗ: </w:t>
    </w:r>
    <w:r>
      <w:rPr>
        <w:rFonts w:ascii="Arial" w:hAnsi="Arial" w:eastAsia="Arial" w:cs="Arial"/>
        <w:sz w:val="20"/>
        <w:szCs w:val="20"/>
        <w:lang w:val="ru-RU"/>
      </w:rPr>
      <w:t xml:space="preserve">36</w:t>
    </w:r>
    <w:r>
      <w:rPr>
        <w:rFonts w:ascii="Arial" w:hAnsi="Arial" w:eastAsia="Arial" w:cs="Arial"/>
        <w:sz w:val="20"/>
        <w:szCs w:val="20"/>
        <w:lang w:val="ru-RU"/>
      </w:rPr>
      <w:t xml:space="preserve">)</w:t>
      <w:tab/>
    </w:r>
    <w:r>
      <w:fldChar w:fldCharType="begin"/>
    </w:r>
    <w:r>
      <w:instrText xml:space="preserve">PAGE \* MERGEFORMAT</w:instrText>
    </w:r>
    <w:r>
      <w:fldChar w:fldCharType="separate"/>
    </w:r>
    <w:r>
      <w:rPr>
        <w:rFonts w:ascii="Arial" w:hAnsi="Arial" w:eastAsia="Arial" w:cs="Arial"/>
        <w:sz w:val="20"/>
        <w:szCs w:val="20"/>
        <w:lang w:val="ru-RU"/>
      </w:rPr>
      <w:t xml:space="preserve">1</w:t>
    </w:r>
    <w:r>
      <w:rPr>
        <w:rFonts w:ascii="Arial" w:hAnsi="Arial" w:eastAsia="Arial" w:cs="Arial"/>
        <w:sz w:val="20"/>
        <w:szCs w:val="20"/>
        <w:lang w:val="ru-RU"/>
      </w:rPr>
      <w:fldChar w:fldCharType="end"/>
    </w:r>
    <w:r/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60"/>
      <w:jc w:val="left"/>
      <w:tabs>
        <w:tab w:val="clear" w:pos="7143" w:leader="none"/>
        <w:tab w:val="left" w:pos="7226" w:leader="none"/>
        <w:tab w:val="clear" w:pos="14287" w:leader="none"/>
      </w:tabs>
    </w:pPr>
    <w:r/>
    <w:r/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60"/>
      <w:jc w:val="right"/>
      <w:tabs>
        <w:tab w:val="clear" w:pos="7143" w:leader="none"/>
        <w:tab w:val="left" w:pos="7226" w:leader="none"/>
        <w:tab w:val="clear" w:pos="14287" w:leader="none"/>
      </w:tabs>
    </w:pPr>
    <w:r/>
    <w:hyperlink r:id="rId1" w:tooltip="https://kb.gazprom-neft.local/pages/viewpage.action?pageId=692881566" w:history="1">
      <w:r>
        <w:rPr>
          <w:rStyle w:val="1189"/>
          <w:rFonts w:ascii="Arial" w:hAnsi="Arial" w:eastAsia="Arial" w:cs="Arial"/>
          <w:sz w:val="20"/>
          <w:szCs w:val="20"/>
          <w:lang w:val="ru-RU"/>
        </w:rPr>
        <w:t xml:space="preserve">https://kb.gazprom-neft.local/pages/viewpage.action?pageId=692881566</w:t>
      </w:r>
    </w:hyperlink>
    <w:r>
      <w:rPr>
        <w:rFonts w:ascii="Arial" w:hAnsi="Arial" w:eastAsia="Arial" w:cs="Arial"/>
        <w:sz w:val="20"/>
        <w:szCs w:val="20"/>
        <w:lang w:val="ru-RU"/>
      </w:rPr>
      <w:t xml:space="preserve"> (версия в КТЗ: </w:t>
    </w:r>
    <w:r>
      <w:rPr>
        <w:rFonts w:ascii="Arial" w:hAnsi="Arial" w:eastAsia="Arial" w:cs="Arial"/>
        <w:sz w:val="20"/>
        <w:szCs w:val="20"/>
        <w:lang w:val="ru-RU"/>
      </w:rPr>
      <w:t xml:space="preserve">36</w:t>
    </w:r>
    <w:r>
      <w:rPr>
        <w:rFonts w:ascii="Arial" w:hAnsi="Arial" w:eastAsia="Arial" w:cs="Arial"/>
        <w:sz w:val="20"/>
        <w:szCs w:val="20"/>
        <w:lang w:val="ru-RU"/>
      </w:rPr>
      <w:t xml:space="preserve">)</w:t>
      <w:tab/>
    </w:r>
    <w:r>
      <w:fldChar w:fldCharType="begin"/>
    </w:r>
    <w:r>
      <w:instrText xml:space="preserve">PAGE \* MERGEFORMAT</w:instrText>
    </w:r>
    <w:r>
      <w:fldChar w:fldCharType="separate"/>
    </w:r>
    <w:r>
      <w:rPr>
        <w:rFonts w:ascii="Arial" w:hAnsi="Arial" w:eastAsia="Arial" w:cs="Arial"/>
        <w:sz w:val="20"/>
        <w:szCs w:val="20"/>
        <w:lang w:val="ru-RU"/>
      </w:rPr>
      <w:t xml:space="preserve">1</w:t>
    </w:r>
    <w:r>
      <w:rPr>
        <w:rFonts w:ascii="Arial" w:hAnsi="Arial" w:eastAsia="Arial" w:cs="Arial"/>
        <w:sz w:val="20"/>
        <w:szCs w:val="20"/>
        <w:lang w:val="ru-RU"/>
      </w:rPr>
      <w:fldChar w:fldCharType="end"/>
    </w:r>
    <w:r/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60"/>
      <w:jc w:val="left"/>
      <w:tabs>
        <w:tab w:val="clear" w:pos="7143" w:leader="none"/>
        <w:tab w:val="left" w:pos="7226" w:leader="none"/>
        <w:tab w:val="clear" w:pos="14287" w:leader="none"/>
      </w:tabs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8"/>
      <w:jc w:val="center"/>
      <w:rPr>
        <w:sz w:val="20"/>
        <w:szCs w:val="20"/>
      </w:rPr>
    </w:pPr>
    <w:r>
      <w:rPr>
        <w:sz w:val="20"/>
        <w:szCs w:val="20"/>
      </w:rPr>
      <w:t xml:space="preserve"> - </w:t>
    </w:r>
    <w:r>
      <w:rPr>
        <w:sz w:val="20"/>
        <w:szCs w:val="20"/>
      </w:rPr>
      <w:t xml:space="preserve"> - ЕДТ - версия </w:t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8"/>
      <w:jc w:val="center"/>
      <w:spacing w:after="119" w:afterAutospacing="0"/>
      <w:rPr>
        <w:sz w:val="20"/>
        <w:szCs w:val="20"/>
      </w:rPr>
    </w:pPr>
    <w:r>
      <w:rPr>
        <w:sz w:val="20"/>
        <w:szCs w:val="20"/>
      </w:rPr>
      <w:t xml:space="preserve"> - </w:t>
    </w:r>
    <w:r>
      <w:rPr>
        <w:sz w:val="20"/>
        <w:szCs w:val="20"/>
      </w:rPr>
      <w:t xml:space="preserve"> - ЕДТ - версия </w:t>
    </w:r>
    <w:r>
      <w:rPr>
        <w:sz w:val="20"/>
        <w:szCs w:val="20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8"/>
      <w:jc w:val="center"/>
      <w:rPr>
        <w:sz w:val="20"/>
        <w:szCs w:val="20"/>
      </w:rPr>
    </w:pPr>
    <w:r>
      <w:rPr>
        <w:sz w:val="20"/>
        <w:szCs w:val="20"/>
      </w:rPr>
      <w:t xml:space="preserve"> - </w:t>
    </w:r>
    <w:r>
      <w:rPr>
        <w:sz w:val="20"/>
        <w:szCs w:val="20"/>
      </w:rPr>
      <w:t xml:space="preserve"> - ЕДТ - версия </w:t>
    </w:r>
    <w:r>
      <w:rPr>
        <w:sz w:val="20"/>
        <w:szCs w:val="20"/>
      </w:rPr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8"/>
      <w:jc w:val="center"/>
      <w:spacing w:after="119" w:afterAutospacing="0"/>
      <w:rPr>
        <w:sz w:val="20"/>
        <w:szCs w:val="20"/>
      </w:rPr>
    </w:pPr>
    <w:r>
      <w:rPr>
        <w:sz w:val="20"/>
        <w:szCs w:val="20"/>
      </w:rPr>
      <w:t xml:space="preserve"> - </w:t>
    </w:r>
    <w:r>
      <w:rPr>
        <w:sz w:val="20"/>
        <w:szCs w:val="20"/>
      </w:rPr>
      <w:t xml:space="preserve"> - ЕДТ - версия </w:t>
    </w:r>
    <w:r>
      <w:rPr>
        <w:sz w:val="20"/>
        <w:szCs w:val="20"/>
      </w:rPr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8"/>
      <w:jc w:val="center"/>
      <w:rPr>
        <w:sz w:val="20"/>
        <w:szCs w:val="20"/>
      </w:rPr>
    </w:pPr>
    <w:r>
      <w:rPr>
        <w:sz w:val="20"/>
        <w:szCs w:val="20"/>
      </w:rPr>
      <w:t xml:space="preserve"> - </w:t>
    </w:r>
    <w:r>
      <w:rPr>
        <w:sz w:val="20"/>
        <w:szCs w:val="20"/>
      </w:rPr>
      <w:t xml:space="preserve"> - ЕДТ - версия </w:t>
    </w:r>
    <w:r>
      <w:rPr>
        <w:sz w:val="20"/>
        <w:szCs w:val="20"/>
      </w:rPr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8"/>
      <w:jc w:val="center"/>
      <w:spacing w:after="119" w:afterAutospacing="0"/>
      <w:rPr>
        <w:sz w:val="20"/>
        <w:szCs w:val="20"/>
      </w:rPr>
    </w:pPr>
    <w:r>
      <w:rPr>
        <w:sz w:val="20"/>
        <w:szCs w:val="20"/>
      </w:rPr>
      <w:t xml:space="preserve"> - </w:t>
    </w:r>
    <w:r>
      <w:rPr>
        <w:sz w:val="20"/>
        <w:szCs w:val="20"/>
      </w:rPr>
      <w:t xml:space="preserve"> - ЕДТ - версия </w:t>
    </w:r>
    <w:r>
      <w:rPr>
        <w:sz w:val="20"/>
        <w:szCs w:val="20"/>
      </w:rPr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8"/>
      <w:jc w:val="center"/>
      <w:rPr>
        <w:sz w:val="20"/>
        <w:szCs w:val="20"/>
      </w:rPr>
    </w:pPr>
    <w:r>
      <w:rPr>
        <w:sz w:val="20"/>
        <w:szCs w:val="20"/>
      </w:rPr>
      <w:t xml:space="preserve"> - </w:t>
    </w:r>
    <w:r>
      <w:rPr>
        <w:sz w:val="20"/>
        <w:szCs w:val="20"/>
      </w:rPr>
      <w:t xml:space="preserve"> - ЕДТ - версия </w:t>
    </w:r>
    <w:r>
      <w:rPr>
        <w:sz w:val="20"/>
        <w:szCs w:val="20"/>
      </w:rPr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8"/>
      <w:jc w:val="center"/>
      <w:spacing w:after="119" w:afterAutospacing="0"/>
      <w:rPr>
        <w:sz w:val="20"/>
        <w:szCs w:val="20"/>
      </w:rPr>
    </w:pPr>
    <w:r>
      <w:rPr>
        <w:sz w:val="20"/>
        <w:szCs w:val="20"/>
      </w:rPr>
      <w:t xml:space="preserve"> - </w:t>
    </w:r>
    <w:r>
      <w:rPr>
        <w:sz w:val="20"/>
        <w:szCs w:val="20"/>
      </w:rPr>
      <w:t xml:space="preserve"> - ЕДТ - версия </w:t>
    </w:r>
    <w:r>
      <w:rPr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 w:ascii="Arial" w:hAnsi="Arial" w:cs="Arial"/>
        <w:i w:val="0"/>
        <w:iCs w:val="0"/>
        <w:color w:val="auto"/>
        <w:sz w:val="20"/>
        <w:szCs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suff w:val="tab"/>
      <w:lvlText w:val="%1.%2."/>
      <w:lvlJc w:val="left"/>
      <w:pPr>
        <w:ind w:left="1146" w:hanging="720"/>
      </w:pPr>
      <w:rPr>
        <w:rFonts w:hint="default"/>
        <w:color w:val="000000" w:themeColor="text1"/>
        <w:u w:val="none"/>
      </w:rPr>
    </w:lvl>
    <w:lvl w:ilvl="2">
      <w:start w:val="1"/>
      <w:numFmt w:val="decimal"/>
      <w:isLgl/>
      <w:suff w:val="tab"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226" w:hanging="1800"/>
      </w:pPr>
      <w:rPr>
        <w:rFonts w:hint="default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028" w:default="1">
    <w:name w:val="Normal"/>
    <w:qFormat/>
  </w:style>
  <w:style w:type="character" w:styleId="1029" w:default="1">
    <w:name w:val="Default Paragraph Font"/>
    <w:uiPriority w:val="1"/>
    <w:semiHidden/>
    <w:unhideWhenUsed/>
  </w:style>
  <w:style w:type="table" w:styleId="103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031" w:default="1">
    <w:name w:val="No List"/>
    <w:uiPriority w:val="99"/>
    <w:semiHidden/>
    <w:unhideWhenUsed/>
  </w:style>
  <w:style w:type="paragraph" w:styleId="1032" w:customStyle="1">
    <w:name w:val="Heading 1"/>
    <w:basedOn w:val="1028"/>
    <w:next w:val="1028"/>
    <w:link w:val="103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033" w:customStyle="1">
    <w:name w:val="Heading 1 Char"/>
    <w:link w:val="1032"/>
    <w:uiPriority w:val="9"/>
    <w:rPr>
      <w:rFonts w:ascii="Arial" w:hAnsi="Arial" w:eastAsia="Arial" w:cs="Arial"/>
      <w:sz w:val="40"/>
      <w:szCs w:val="40"/>
    </w:rPr>
  </w:style>
  <w:style w:type="paragraph" w:styleId="1034" w:customStyle="1">
    <w:name w:val="Heading 2"/>
    <w:basedOn w:val="1028"/>
    <w:next w:val="1028"/>
    <w:link w:val="103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035" w:customStyle="1">
    <w:name w:val="Heading 2 Char"/>
    <w:link w:val="1034"/>
    <w:uiPriority w:val="9"/>
    <w:rPr>
      <w:rFonts w:ascii="Arial" w:hAnsi="Arial" w:eastAsia="Arial" w:cs="Arial"/>
      <w:sz w:val="34"/>
    </w:rPr>
  </w:style>
  <w:style w:type="paragraph" w:styleId="1036" w:customStyle="1">
    <w:name w:val="Heading 3"/>
    <w:basedOn w:val="1028"/>
    <w:next w:val="1028"/>
    <w:link w:val="103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037" w:customStyle="1">
    <w:name w:val="Heading 3 Char"/>
    <w:link w:val="1036"/>
    <w:uiPriority w:val="9"/>
    <w:rPr>
      <w:rFonts w:ascii="Arial" w:hAnsi="Arial" w:eastAsia="Arial" w:cs="Arial"/>
      <w:sz w:val="30"/>
      <w:szCs w:val="30"/>
    </w:rPr>
  </w:style>
  <w:style w:type="paragraph" w:styleId="1038" w:customStyle="1">
    <w:name w:val="Heading 4"/>
    <w:basedOn w:val="1028"/>
    <w:next w:val="1028"/>
    <w:link w:val="103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039" w:customStyle="1">
    <w:name w:val="Heading 4 Char"/>
    <w:link w:val="1038"/>
    <w:uiPriority w:val="9"/>
    <w:rPr>
      <w:rFonts w:ascii="Arial" w:hAnsi="Arial" w:eastAsia="Arial" w:cs="Arial"/>
      <w:b/>
      <w:bCs/>
      <w:sz w:val="26"/>
      <w:szCs w:val="26"/>
    </w:rPr>
  </w:style>
  <w:style w:type="paragraph" w:styleId="1040" w:customStyle="1">
    <w:name w:val="Heading 5"/>
    <w:basedOn w:val="1028"/>
    <w:next w:val="1028"/>
    <w:link w:val="104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1041" w:customStyle="1">
    <w:name w:val="Heading 5 Char"/>
    <w:link w:val="1040"/>
    <w:uiPriority w:val="9"/>
    <w:rPr>
      <w:rFonts w:ascii="Arial" w:hAnsi="Arial" w:eastAsia="Arial" w:cs="Arial"/>
      <w:b/>
      <w:bCs/>
      <w:sz w:val="24"/>
      <w:szCs w:val="24"/>
    </w:rPr>
  </w:style>
  <w:style w:type="paragraph" w:styleId="1042" w:customStyle="1">
    <w:name w:val="Heading 6"/>
    <w:basedOn w:val="1028"/>
    <w:next w:val="1028"/>
    <w:link w:val="104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1043" w:customStyle="1">
    <w:name w:val="Heading 6 Char"/>
    <w:link w:val="1042"/>
    <w:uiPriority w:val="9"/>
    <w:rPr>
      <w:rFonts w:ascii="Arial" w:hAnsi="Arial" w:eastAsia="Arial" w:cs="Arial"/>
      <w:b/>
      <w:bCs/>
      <w:sz w:val="22"/>
      <w:szCs w:val="22"/>
    </w:rPr>
  </w:style>
  <w:style w:type="paragraph" w:styleId="1044" w:customStyle="1">
    <w:name w:val="Heading 7"/>
    <w:basedOn w:val="1028"/>
    <w:next w:val="1028"/>
    <w:link w:val="104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1045" w:customStyle="1">
    <w:name w:val="Heading 7 Char"/>
    <w:link w:val="104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1046" w:customStyle="1">
    <w:name w:val="Heading 8"/>
    <w:basedOn w:val="1028"/>
    <w:next w:val="1028"/>
    <w:link w:val="104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1047" w:customStyle="1">
    <w:name w:val="Heading 8 Char"/>
    <w:link w:val="1046"/>
    <w:uiPriority w:val="9"/>
    <w:rPr>
      <w:rFonts w:ascii="Arial" w:hAnsi="Arial" w:eastAsia="Arial" w:cs="Arial"/>
      <w:i/>
      <w:iCs/>
      <w:sz w:val="22"/>
      <w:szCs w:val="22"/>
    </w:rPr>
  </w:style>
  <w:style w:type="paragraph" w:styleId="1048" w:customStyle="1">
    <w:name w:val="Heading 9"/>
    <w:basedOn w:val="1028"/>
    <w:next w:val="1028"/>
    <w:link w:val="104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049" w:customStyle="1">
    <w:name w:val="Heading 9 Char"/>
    <w:link w:val="1048"/>
    <w:uiPriority w:val="9"/>
    <w:rPr>
      <w:rFonts w:ascii="Arial" w:hAnsi="Arial" w:eastAsia="Arial" w:cs="Arial"/>
      <w:i/>
      <w:iCs/>
      <w:sz w:val="21"/>
      <w:szCs w:val="21"/>
    </w:rPr>
  </w:style>
  <w:style w:type="paragraph" w:styleId="1050">
    <w:name w:val="Title"/>
    <w:basedOn w:val="1028"/>
    <w:next w:val="1028"/>
    <w:link w:val="105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1051" w:customStyle="1">
    <w:name w:val="Title Char"/>
    <w:link w:val="1050"/>
    <w:uiPriority w:val="10"/>
    <w:rPr>
      <w:sz w:val="48"/>
      <w:szCs w:val="48"/>
    </w:rPr>
  </w:style>
  <w:style w:type="paragraph" w:styleId="1052">
    <w:name w:val="Subtitle"/>
    <w:basedOn w:val="1028"/>
    <w:next w:val="1028"/>
    <w:link w:val="1053"/>
    <w:uiPriority w:val="11"/>
    <w:qFormat/>
    <w:pPr>
      <w:spacing w:before="200" w:after="200"/>
    </w:pPr>
    <w:rPr>
      <w:sz w:val="24"/>
      <w:szCs w:val="24"/>
    </w:rPr>
  </w:style>
  <w:style w:type="character" w:styleId="1053" w:customStyle="1">
    <w:name w:val="Subtitle Char"/>
    <w:link w:val="1052"/>
    <w:uiPriority w:val="11"/>
    <w:rPr>
      <w:sz w:val="24"/>
      <w:szCs w:val="24"/>
    </w:rPr>
  </w:style>
  <w:style w:type="paragraph" w:styleId="1054">
    <w:name w:val="Quote"/>
    <w:basedOn w:val="1028"/>
    <w:next w:val="1028"/>
    <w:link w:val="1055"/>
    <w:uiPriority w:val="29"/>
    <w:qFormat/>
    <w:pPr>
      <w:ind w:left="720" w:right="720"/>
    </w:pPr>
    <w:rPr>
      <w:i/>
    </w:rPr>
  </w:style>
  <w:style w:type="character" w:styleId="1055" w:customStyle="1">
    <w:name w:val="Quote Char"/>
    <w:link w:val="1054"/>
    <w:uiPriority w:val="29"/>
    <w:rPr>
      <w:i/>
    </w:rPr>
  </w:style>
  <w:style w:type="paragraph" w:styleId="1056">
    <w:name w:val="Intense Quote"/>
    <w:basedOn w:val="1028"/>
    <w:next w:val="1028"/>
    <w:link w:val="105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057" w:customStyle="1">
    <w:name w:val="Intense Quote Char"/>
    <w:link w:val="1056"/>
    <w:uiPriority w:val="30"/>
    <w:rPr>
      <w:i/>
    </w:rPr>
  </w:style>
  <w:style w:type="paragraph" w:styleId="1058" w:customStyle="1">
    <w:name w:val="Header"/>
    <w:basedOn w:val="1028"/>
    <w:link w:val="105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059" w:customStyle="1">
    <w:name w:val="Header Char"/>
    <w:link w:val="1058"/>
    <w:uiPriority w:val="99"/>
  </w:style>
  <w:style w:type="paragraph" w:styleId="1060" w:customStyle="1">
    <w:name w:val="Footer"/>
    <w:basedOn w:val="1028"/>
    <w:link w:val="106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1061" w:customStyle="1">
    <w:name w:val="Footer Char"/>
    <w:link w:val="1060"/>
    <w:uiPriority w:val="99"/>
  </w:style>
  <w:style w:type="paragraph" w:styleId="1062" w:customStyle="1">
    <w:name w:val="Caption"/>
    <w:basedOn w:val="1028"/>
    <w:next w:val="1028"/>
    <w:link w:val="106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1063" w:customStyle="1">
    <w:name w:val="Caption Char"/>
    <w:link w:val="1062"/>
    <w:uiPriority w:val="35"/>
    <w:rPr>
      <w:b/>
      <w:bCs/>
      <w:color w:val="5b9bd5" w:themeColor="accent1"/>
      <w:sz w:val="18"/>
      <w:szCs w:val="18"/>
    </w:rPr>
  </w:style>
  <w:style w:type="table" w:styleId="1064" w:customStyle="1">
    <w:name w:val="Table Grid Light"/>
    <w:basedOn w:val="103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1065">
    <w:name w:val="Plain Table 1"/>
    <w:basedOn w:val="103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066">
    <w:name w:val="Plain Table 2"/>
    <w:basedOn w:val="103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sz="4" w:space="0"/>
        <w:bottom w:val="single" w:color="000000" w:themeColor="text1" w:sz="4" w:space="0"/>
        <w:right w:val="non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067">
    <w:name w:val="Plain Table 3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068">
    <w:name w:val="Plain Table 4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9">
    <w:name w:val="Plain Table 5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070">
    <w:name w:val="Grid Table 1 Light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71" w:customStyle="1">
    <w:name w:val="Grid Table 1 Light - Accent 1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72" w:customStyle="1">
    <w:name w:val="Grid Table 1 Light - Accent 2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73" w:customStyle="1">
    <w:name w:val="Grid Table 1 Light - Accent 3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74" w:customStyle="1">
    <w:name w:val="Grid Table 1 Light - Accent 4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75" w:customStyle="1">
    <w:name w:val="Grid Table 1 Light - Accent 5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76" w:customStyle="1">
    <w:name w:val="Grid Table 1 Light - Accent 6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77">
    <w:name w:val="Grid Table 2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8" w:customStyle="1">
    <w:name w:val="Grid Table 2 - Accent 1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9" w:customStyle="1">
    <w:name w:val="Grid Table 2 - Accent 2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0" w:customStyle="1">
    <w:name w:val="Grid Table 2 - Accent 3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1" w:customStyle="1">
    <w:name w:val="Grid Table 2 - Accent 4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2" w:customStyle="1">
    <w:name w:val="Grid Table 2 - Accent 5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3" w:customStyle="1">
    <w:name w:val="Grid Table 2 - Accent 6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4">
    <w:name w:val="Grid Table 3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5" w:customStyle="1">
    <w:name w:val="Grid Table 3 - Accent 1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6" w:customStyle="1">
    <w:name w:val="Grid Table 3 - Accent 2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7" w:customStyle="1">
    <w:name w:val="Grid Table 3 - Accent 3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8" w:customStyle="1">
    <w:name w:val="Grid Table 3 - Accent 4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9" w:customStyle="1">
    <w:name w:val="Grid Table 3 - Accent 5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0" w:customStyle="1">
    <w:name w:val="Grid Table 3 - Accent 6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1">
    <w:name w:val="Grid Table 4"/>
    <w:basedOn w:val="10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092" w:customStyle="1">
    <w:name w:val="Grid Table 4 - Accent 1"/>
    <w:basedOn w:val="10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093" w:customStyle="1">
    <w:name w:val="Grid Table 4 - Accent 2"/>
    <w:basedOn w:val="10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094" w:customStyle="1">
    <w:name w:val="Grid Table 4 - Accent 3"/>
    <w:basedOn w:val="10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095" w:customStyle="1">
    <w:name w:val="Grid Table 4 - Accent 4"/>
    <w:basedOn w:val="10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096" w:customStyle="1">
    <w:name w:val="Grid Table 4 - Accent 5"/>
    <w:basedOn w:val="10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097" w:customStyle="1">
    <w:name w:val="Grid Table 4 - Accent 6"/>
    <w:basedOn w:val="10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098">
    <w:name w:val="Grid Table 5 Dark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099" w:customStyle="1">
    <w:name w:val="Grid Table 5 Dark- Accent 1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1100" w:customStyle="1">
    <w:name w:val="Grid Table 5 Dark - Accent 2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1101" w:customStyle="1">
    <w:name w:val="Grid Table 5 Dark - Accent 3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1102" w:customStyle="1">
    <w:name w:val="Grid Table 5 Dark- Accent 4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1103" w:customStyle="1">
    <w:name w:val="Grid Table 5 Dark - Accent 5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1104" w:customStyle="1">
    <w:name w:val="Grid Table 5 Dark - Accent 6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1105">
    <w:name w:val="Grid Table 6 Colorful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1106" w:customStyle="1">
    <w:name w:val="Grid Table 6 Colorful - Accent 1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1107" w:customStyle="1">
    <w:name w:val="Grid Table 6 Colorful - Accent 2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1108" w:customStyle="1">
    <w:name w:val="Grid Table 6 Colorful - Accent 3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1109" w:customStyle="1">
    <w:name w:val="Grid Table 6 Colorful - Accent 4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1110" w:customStyle="1">
    <w:name w:val="Grid Table 6 Colorful - Accent 5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244175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44175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244175" w:themeColor="accent5" w:themeShade="95"/>
        <w:sz w:val="22"/>
      </w:rPr>
    </w:tblStylePr>
  </w:style>
  <w:style w:type="table" w:styleId="1111" w:customStyle="1">
    <w:name w:val="Grid Table 6 Colorful - Accent 6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244175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244175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244175" w:themeColor="accent5" w:themeShade="95"/>
        <w:sz w:val="22"/>
      </w:rPr>
    </w:tblStylePr>
  </w:style>
  <w:style w:type="table" w:styleId="1112">
    <w:name w:val="Grid Table 7 Colorful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3" w:customStyle="1">
    <w:name w:val="Grid Table 7 Colorful - Accent 1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4" w:customStyle="1">
    <w:name w:val="Grid Table 7 Colorful - Accent 2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5" w:customStyle="1">
    <w:name w:val="Grid Table 7 Colorful - Accent 3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6" w:customStyle="1">
    <w:name w:val="Grid Table 7 Colorful - Accent 4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7" w:customStyle="1">
    <w:name w:val="Grid Table 7 Colorful - Accent 5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8" w:customStyle="1">
    <w:name w:val="Grid Table 7 Colorful - Accent 6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9">
    <w:name w:val="List Table 1 Light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0" w:customStyle="1">
    <w:name w:val="List Table 1 Light - Accent 1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1" w:customStyle="1">
    <w:name w:val="List Table 1 Light - Accent 2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2" w:customStyle="1">
    <w:name w:val="List Table 1 Light - Accent 3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3" w:customStyle="1">
    <w:name w:val="List Table 1 Light - Accent 4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4" w:customStyle="1">
    <w:name w:val="List Table 1 Light - Accent 5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5" w:customStyle="1">
    <w:name w:val="List Table 1 Light - Accent 6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6">
    <w:name w:val="List Table 2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7" w:customStyle="1">
    <w:name w:val="List Table 2 - Accent 1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28" w:customStyle="1">
    <w:name w:val="List Table 2 - Accent 2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29" w:customStyle="1">
    <w:name w:val="List Table 2 - Accent 3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30" w:customStyle="1">
    <w:name w:val="List Table 2 - Accent 4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31" w:customStyle="1">
    <w:name w:val="List Table 2 - Accent 5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32" w:customStyle="1">
    <w:name w:val="List Table 2 - Accent 6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33">
    <w:name w:val="List Table 3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34" w:customStyle="1">
    <w:name w:val="List Table 3 - Accent 1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35" w:customStyle="1">
    <w:name w:val="List Table 3 - Accent 2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36" w:customStyle="1">
    <w:name w:val="List Table 3 - Accent 3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37" w:customStyle="1">
    <w:name w:val="List Table 3 - Accent 4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38" w:customStyle="1">
    <w:name w:val="List Table 3 - Accent 5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39" w:customStyle="1">
    <w:name w:val="List Table 3 - Accent 6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40">
    <w:name w:val="List Table 4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41" w:customStyle="1">
    <w:name w:val="List Table 4 - Accent 1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42" w:customStyle="1">
    <w:name w:val="List Table 4 - Accent 2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43" w:customStyle="1">
    <w:name w:val="List Table 4 - Accent 3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44" w:customStyle="1">
    <w:name w:val="List Table 4 - Accent 4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45" w:customStyle="1">
    <w:name w:val="List Table 4 - Accent 5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46" w:customStyle="1">
    <w:name w:val="List Table 4 - Accent 6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47">
    <w:name w:val="List Table 5 Dark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148" w:customStyle="1">
    <w:name w:val="List Table 5 Dark - Accent 1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149" w:customStyle="1">
    <w:name w:val="List Table 5 Dark - Accent 2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150" w:customStyle="1">
    <w:name w:val="List Table 5 Dark - Accent 3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151" w:customStyle="1">
    <w:name w:val="List Table 5 Dark - Accent 4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152" w:customStyle="1">
    <w:name w:val="List Table 5 Dark - Accent 5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153" w:customStyle="1">
    <w:name w:val="List Table 5 Dark - Accent 6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154">
    <w:name w:val="List Table 6 Colorful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155" w:customStyle="1">
    <w:name w:val="List Table 6 Colorful - Accent 1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245b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b8d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156" w:customStyle="1">
    <w:name w:val="List Table 6 Colorful - Accent 2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157" w:customStyle="1">
    <w:name w:val="List Table 6 Colorful - Accent 3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158" w:customStyle="1">
    <w:name w:val="List Table 6 Colorful - Accent 4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159" w:customStyle="1">
    <w:name w:val="List Table 6 Colorful - Accent 5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160" w:customStyle="1">
    <w:name w:val="List Table 6 Colorful - Accent 6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161">
    <w:name w:val="List Table 7 Colorful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162" w:customStyle="1">
    <w:name w:val="List Table 7 Colorful - Accent 1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163" w:customStyle="1">
    <w:name w:val="List Table 7 Colorful - Accent 2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164" w:customStyle="1">
    <w:name w:val="List Table 7 Colorful - Accent 3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165" w:customStyle="1">
    <w:name w:val="List Table 7 Colorful - Accent 4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166" w:customStyle="1">
    <w:name w:val="List Table 7 Colorful - Accent 5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167" w:customStyle="1">
    <w:name w:val="List Table 7 Colorful - Accent 6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168" w:customStyle="1">
    <w:name w:val="Lined - Accent"/>
    <w:basedOn w:val="10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169" w:customStyle="1">
    <w:name w:val="Lined - Accent 1"/>
    <w:basedOn w:val="10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170" w:customStyle="1">
    <w:name w:val="Lined - Accent 2"/>
    <w:basedOn w:val="10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171" w:customStyle="1">
    <w:name w:val="Lined - Accent 3"/>
    <w:basedOn w:val="10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172" w:customStyle="1">
    <w:name w:val="Lined - Accent 4"/>
    <w:basedOn w:val="10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173" w:customStyle="1">
    <w:name w:val="Lined - Accent 5"/>
    <w:basedOn w:val="10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174" w:customStyle="1">
    <w:name w:val="Lined - Accent 6"/>
    <w:basedOn w:val="10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175" w:customStyle="1">
    <w:name w:val="Bordered &amp; Lined - Accent"/>
    <w:basedOn w:val="10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176" w:customStyle="1">
    <w:name w:val="Bordered &amp; Lined - Accent 1"/>
    <w:basedOn w:val="10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177" w:customStyle="1">
    <w:name w:val="Bordered &amp; Lined - Accent 2"/>
    <w:basedOn w:val="10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178" w:customStyle="1">
    <w:name w:val="Bordered &amp; Lined - Accent 3"/>
    <w:basedOn w:val="10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179" w:customStyle="1">
    <w:name w:val="Bordered &amp; Lined - Accent 4"/>
    <w:basedOn w:val="10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180" w:customStyle="1">
    <w:name w:val="Bordered &amp; Lined - Accent 5"/>
    <w:basedOn w:val="10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181" w:customStyle="1">
    <w:name w:val="Bordered &amp; Lined - Accent 6"/>
    <w:basedOn w:val="10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182" w:customStyle="1">
    <w:name w:val="Bordered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183" w:customStyle="1">
    <w:name w:val="Bordered - Accent 1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184" w:customStyle="1">
    <w:name w:val="Bordered - Accent 2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185" w:customStyle="1">
    <w:name w:val="Bordered - Accent 3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186" w:customStyle="1">
    <w:name w:val="Bordered - Accent 4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187" w:customStyle="1">
    <w:name w:val="Bordered - Accent 5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188" w:customStyle="1">
    <w:name w:val="Bordered - Accent 6"/>
    <w:basedOn w:val="10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189">
    <w:name w:val="Hyperlink"/>
    <w:uiPriority w:val="99"/>
    <w:unhideWhenUsed/>
    <w:rPr>
      <w:color w:val="0563c1" w:themeColor="hyperlink"/>
      <w:u w:val="single"/>
    </w:rPr>
  </w:style>
  <w:style w:type="paragraph" w:styleId="1190">
    <w:name w:val="footnote text"/>
    <w:basedOn w:val="1028"/>
    <w:link w:val="1191"/>
    <w:uiPriority w:val="99"/>
    <w:semiHidden/>
    <w:unhideWhenUsed/>
    <w:pPr>
      <w:spacing w:after="40" w:line="240" w:lineRule="auto"/>
    </w:pPr>
    <w:rPr>
      <w:sz w:val="18"/>
    </w:rPr>
  </w:style>
  <w:style w:type="character" w:styleId="1191" w:customStyle="1">
    <w:name w:val="Footnote Text Char"/>
    <w:link w:val="1190"/>
    <w:uiPriority w:val="99"/>
    <w:rPr>
      <w:sz w:val="18"/>
    </w:rPr>
  </w:style>
  <w:style w:type="character" w:styleId="1192">
    <w:name w:val="footnote reference"/>
    <w:uiPriority w:val="99"/>
    <w:unhideWhenUsed/>
    <w:rPr>
      <w:vertAlign w:val="superscript"/>
    </w:rPr>
  </w:style>
  <w:style w:type="paragraph" w:styleId="1193">
    <w:name w:val="endnote text"/>
    <w:basedOn w:val="1028"/>
    <w:link w:val="1194"/>
    <w:uiPriority w:val="99"/>
    <w:semiHidden/>
    <w:unhideWhenUsed/>
    <w:pPr>
      <w:spacing w:after="0" w:line="240" w:lineRule="auto"/>
    </w:pPr>
    <w:rPr>
      <w:sz w:val="20"/>
    </w:rPr>
  </w:style>
  <w:style w:type="character" w:styleId="1194" w:customStyle="1">
    <w:name w:val="Endnote Text Char"/>
    <w:link w:val="1193"/>
    <w:uiPriority w:val="99"/>
    <w:rPr>
      <w:sz w:val="20"/>
    </w:rPr>
  </w:style>
  <w:style w:type="character" w:styleId="1195">
    <w:name w:val="endnote reference"/>
    <w:uiPriority w:val="99"/>
    <w:semiHidden/>
    <w:unhideWhenUsed/>
    <w:rPr>
      <w:vertAlign w:val="superscript"/>
    </w:rPr>
  </w:style>
  <w:style w:type="paragraph" w:styleId="1196">
    <w:name w:val="toc 1"/>
    <w:basedOn w:val="1028"/>
    <w:next w:val="1028"/>
    <w:uiPriority w:val="39"/>
    <w:unhideWhenUsed/>
    <w:pPr>
      <w:ind w:left="0" w:right="0" w:firstLine="0"/>
      <w:spacing w:after="57"/>
    </w:pPr>
  </w:style>
  <w:style w:type="paragraph" w:styleId="1197">
    <w:name w:val="toc 2"/>
    <w:basedOn w:val="1028"/>
    <w:next w:val="1028"/>
    <w:uiPriority w:val="39"/>
    <w:unhideWhenUsed/>
    <w:pPr>
      <w:ind w:left="283" w:right="0" w:firstLine="0"/>
      <w:spacing w:after="57"/>
    </w:pPr>
  </w:style>
  <w:style w:type="paragraph" w:styleId="1198">
    <w:name w:val="toc 3"/>
    <w:basedOn w:val="1028"/>
    <w:next w:val="1028"/>
    <w:uiPriority w:val="39"/>
    <w:unhideWhenUsed/>
    <w:pPr>
      <w:ind w:left="567" w:right="0" w:firstLine="0"/>
      <w:spacing w:after="57"/>
    </w:pPr>
  </w:style>
  <w:style w:type="paragraph" w:styleId="1199">
    <w:name w:val="toc 4"/>
    <w:basedOn w:val="1028"/>
    <w:next w:val="1028"/>
    <w:uiPriority w:val="39"/>
    <w:unhideWhenUsed/>
    <w:pPr>
      <w:ind w:left="850" w:right="0" w:firstLine="0"/>
      <w:spacing w:after="57"/>
    </w:pPr>
  </w:style>
  <w:style w:type="paragraph" w:styleId="1200">
    <w:name w:val="toc 5"/>
    <w:basedOn w:val="1028"/>
    <w:next w:val="1028"/>
    <w:uiPriority w:val="39"/>
    <w:unhideWhenUsed/>
    <w:pPr>
      <w:ind w:left="1134" w:right="0" w:firstLine="0"/>
      <w:spacing w:after="57"/>
    </w:pPr>
  </w:style>
  <w:style w:type="paragraph" w:styleId="1201">
    <w:name w:val="toc 6"/>
    <w:basedOn w:val="1028"/>
    <w:next w:val="1028"/>
    <w:uiPriority w:val="39"/>
    <w:unhideWhenUsed/>
    <w:pPr>
      <w:ind w:left="1417" w:right="0" w:firstLine="0"/>
      <w:spacing w:after="57"/>
    </w:pPr>
  </w:style>
  <w:style w:type="paragraph" w:styleId="1202">
    <w:name w:val="toc 7"/>
    <w:basedOn w:val="1028"/>
    <w:next w:val="1028"/>
    <w:uiPriority w:val="39"/>
    <w:unhideWhenUsed/>
    <w:pPr>
      <w:ind w:left="1701" w:right="0" w:firstLine="0"/>
      <w:spacing w:after="57"/>
    </w:pPr>
  </w:style>
  <w:style w:type="paragraph" w:styleId="1203">
    <w:name w:val="toc 8"/>
    <w:basedOn w:val="1028"/>
    <w:next w:val="1028"/>
    <w:uiPriority w:val="39"/>
    <w:unhideWhenUsed/>
    <w:pPr>
      <w:ind w:left="1984" w:right="0" w:firstLine="0"/>
      <w:spacing w:after="57"/>
    </w:pPr>
  </w:style>
  <w:style w:type="paragraph" w:styleId="1204">
    <w:name w:val="toc 9"/>
    <w:basedOn w:val="1028"/>
    <w:next w:val="1028"/>
    <w:uiPriority w:val="39"/>
    <w:unhideWhenUsed/>
    <w:pPr>
      <w:ind w:left="2268" w:right="0" w:firstLine="0"/>
      <w:spacing w:after="57"/>
    </w:pPr>
  </w:style>
  <w:style w:type="paragraph" w:styleId="1205">
    <w:name w:val="TOC Heading"/>
    <w:uiPriority w:val="39"/>
    <w:unhideWhenUsed/>
  </w:style>
  <w:style w:type="paragraph" w:styleId="1206">
    <w:name w:val="table of figures"/>
    <w:basedOn w:val="1028"/>
    <w:next w:val="1028"/>
    <w:uiPriority w:val="99"/>
    <w:unhideWhenUsed/>
    <w:pPr>
      <w:spacing w:after="0" w:afterAutospacing="0"/>
    </w:pPr>
  </w:style>
  <w:style w:type="paragraph" w:styleId="1207">
    <w:name w:val="No Spacing"/>
    <w:basedOn w:val="1028"/>
    <w:uiPriority w:val="1"/>
    <w:qFormat/>
    <w:pPr>
      <w:spacing w:after="0" w:line="240" w:lineRule="auto"/>
    </w:pPr>
  </w:style>
  <w:style w:type="paragraph" w:styleId="1208">
    <w:name w:val="List Paragraph"/>
    <w:basedOn w:val="1028"/>
    <w:uiPriority w:val="34"/>
    <w:qFormat/>
    <w:pPr>
      <w:contextualSpacing/>
      <w:ind w:left="720"/>
    </w:pPr>
  </w:style>
  <w:style w:type="paragraph" w:styleId="1209" w:customStyle="1">
    <w:name w:val="ph_titlepage_document"/>
    <w:pPr>
      <w:contextualSpacing w:val="0"/>
      <w:ind w:left="0" w:right="0" w:firstLine="0"/>
      <w:jc w:val="center"/>
      <w:keepLines w:val="0"/>
      <w:keepNext w:val="0"/>
      <w:pageBreakBefore w:val="0"/>
      <w:spacing w:before="240" w:beforeAutospacing="0" w:after="120" w:afterAutospacing="0" w:line="360" w:lineRule="auto"/>
      <w:shd w:val="nil"/>
      <w:widowControl/>
      <w:tabs>
        <w:tab w:val="left" w:pos="1800" w:leader="none"/>
      </w:tabs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Arial" w:hAnsi="Arial" w:eastAsia="Times New Roman" w:cs="Arial"/>
      <w:b w:val="0"/>
      <w:bCs w:val="0"/>
      <w:i w:val="0"/>
      <w:iCs w:val="0"/>
      <w:caps w:val="0"/>
      <w:smallCaps w:val="0"/>
      <w:strike w:val="0"/>
      <w:vanish w:val="0"/>
      <w:color w:val="ffffff"/>
      <w:spacing w:val="0"/>
      <w:position w:val="0"/>
      <w:sz w:val="48"/>
      <w:szCs w:val="5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1210" w:customStyle="1">
    <w:name w:val="ГПН_Заголовок_1_Не_включенный_в_оглавление"/>
    <w:qFormat/>
    <w:pPr>
      <w:numPr>
        <w:ilvl w:val="0"/>
        <w:numId w:val="0"/>
      </w:numPr>
      <w:contextualSpacing w:val="0"/>
      <w:ind w:left="0" w:right="0" w:firstLine="0"/>
      <w:jc w:val="both"/>
      <w:keepLines/>
      <w:keepNext/>
      <w:pageBreakBefore/>
      <w:spacing w:before="0" w:beforeAutospacing="0" w:after="240" w:afterAutospacing="0" w:line="36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outlineLvl w:val="0"/>
      <w:suppressLineNumbers w:val="0"/>
    </w:pPr>
    <w:rPr>
      <w:rFonts w:ascii="Arial" w:hAnsi="Arial" w:eastAsia="Times New Roman" w:cs="Times New Roman"/>
      <w:b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36"/>
      <w:szCs w:val="28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1211" w:customStyle="1">
    <w:name w:val="ГПН_Абзац_Обычный"/>
    <w:qFormat/>
    <w:pPr>
      <w:contextualSpacing w:val="0"/>
      <w:ind w:left="0" w:right="0" w:firstLine="0"/>
      <w:jc w:val="both"/>
      <w:keepLines w:val="0"/>
      <w:keepNext w:val="0"/>
      <w:pageBreakBefore w:val="0"/>
      <w:spacing w:before="120" w:beforeAutospacing="0" w:after="120" w:afterAutospacing="0" w:line="288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Arial" w:hAnsi="Arial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1212" w:customStyle="1">
    <w:name w:val="s00 Текст"/>
    <w:qFormat/>
    <w:pPr>
      <w:contextualSpacing w:val="0"/>
      <w:ind w:left="0" w:right="0" w:firstLine="340"/>
      <w:jc w:val="both"/>
      <w:keepLines w:val="0"/>
      <w:keepNext/>
      <w:pageBreakBefore w:val="0"/>
      <w:spacing w:before="60" w:beforeAutospacing="0" w:after="12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Arial" w:hAnsi="Arial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table" w:styleId="1213">
    <w:name w:val="Table Grid"/>
    <w:basedOn w:val="1030"/>
    <w:uiPriority w:val="59"/>
    <w:pPr>
      <w:spacing w:after="0"/>
    </w:pPr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table" w:styleId="1214" w:customStyle="1">
    <w:name w:val="Scroll Section Column"/>
    <w:basedOn w:val="1030"/>
    <w:uiPriority w:val="99"/>
    <w:pPr>
      <w:spacing w:after="0"/>
    </w:pPr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table" w:styleId="1215" w:customStyle="1">
    <w:name w:val="Scroll Tip"/>
    <w:basedOn w:val="1030"/>
    <w:uiPriority w:val="99"/>
    <w:qFormat/>
    <w:pPr>
      <w:ind w:left="173" w:right="259"/>
      <w:spacing w:after="0"/>
    </w:pPr>
    <w:tblPr>
      <w:tblInd w:w="0" w:type="dxa"/>
      <w:tblBorders>
        <w:top w:val="single" w:color="9CC4A2" w:sz="4" w:space="0"/>
        <w:left w:val="single" w:color="9CC4A2" w:sz="4" w:space="0"/>
        <w:bottom w:val="single" w:color="9CC4A2" w:sz="4" w:space="0"/>
        <w:right w:val="single" w:color="9CC4A2" w:sz="4" w:space="0"/>
      </w:tblBorders>
      <w:tblCellMar>
        <w:left w:w="58" w:type="dxa"/>
        <w:top w:w="173" w:type="dxa"/>
        <w:right w:w="58" w:type="dxa"/>
        <w:bottom w:w="259" w:type="dxa"/>
      </w:tblCellMar>
    </w:tblPr>
    <w:tcPr>
      <w:shd w:val="clear" w:color="auto" w:fill="defae0"/>
    </w:tcPr>
  </w:style>
  <w:style w:type="table" w:styleId="1216" w:customStyle="1">
    <w:name w:val="Scroll Warning"/>
    <w:basedOn w:val="1030"/>
    <w:uiPriority w:val="99"/>
    <w:qFormat/>
    <w:pPr>
      <w:ind w:left="173" w:right="259"/>
      <w:spacing w:after="0"/>
    </w:pPr>
    <w:tblPr>
      <w:tblInd w:w="0" w:type="dxa"/>
      <w:tblBorders>
        <w:top w:val="single" w:color="E29898" w:sz="4" w:space="0"/>
        <w:left w:val="single" w:color="E29898" w:sz="4" w:space="0"/>
        <w:bottom w:val="single" w:color="E29898" w:sz="4" w:space="0"/>
        <w:right w:val="single" w:color="E29898" w:sz="4" w:space="0"/>
      </w:tblBorders>
      <w:tblCellMar>
        <w:left w:w="58" w:type="dxa"/>
        <w:top w:w="173" w:type="dxa"/>
        <w:right w:w="58" w:type="dxa"/>
        <w:bottom w:w="259" w:type="dxa"/>
      </w:tblCellMar>
    </w:tblPr>
    <w:tcPr>
      <w:shd w:val="clear" w:color="auto" w:fill="ffe7e7"/>
    </w:tcPr>
  </w:style>
  <w:style w:type="table" w:styleId="1217" w:customStyle="1">
    <w:name w:val="Scroll Code"/>
    <w:basedOn w:val="1030"/>
    <w:uiPriority w:val="99"/>
    <w:qFormat/>
    <w:pPr>
      <w:ind w:left="173" w:right="259"/>
      <w:spacing w:after="0"/>
    </w:pPr>
    <w:rPr>
      <w:rFonts w:ascii="Courier New" w:hAnsi="Courier New"/>
      <w:sz w:val="18"/>
    </w:rPr>
    <w:tblPr>
      <w:tblCellSpacing w:w="0" w:type="dxa"/>
      <w:tblInd w:w="0" w:type="dxa"/>
      <w:tblBorders>
        <w:top w:val="single" w:color="6199C9" w:sz="4" w:space="0"/>
        <w:left w:val="single" w:color="6199C9" w:sz="4" w:space="0"/>
        <w:bottom w:val="single" w:color="6199C9" w:sz="4" w:space="0"/>
        <w:right w:val="single" w:color="6199C9" w:sz="4" w:space="0"/>
      </w:tblBorders>
      <w:tblCellMar>
        <w:left w:w="58" w:type="dxa"/>
        <w:top w:w="173" w:type="dxa"/>
        <w:right w:w="58" w:type="dxa"/>
        <w:bottom w:w="259" w:type="dxa"/>
      </w:tblCellMar>
    </w:tblPr>
    <w:trPr>
      <w:tblCellSpacing w:w="0" w:type="dxa"/>
    </w:trPr>
  </w:style>
  <w:style w:type="table" w:styleId="1218" w:customStyle="1">
    <w:name w:val="Scroll Info"/>
    <w:basedOn w:val="1030"/>
    <w:uiPriority w:val="99"/>
    <w:qFormat/>
    <w:pPr>
      <w:ind w:left="173" w:right="259"/>
      <w:spacing w:after="0"/>
    </w:pPr>
    <w:tblPr>
      <w:tblInd w:w="0" w:type="dxa"/>
      <w:tblBorders>
        <w:top w:val="single" w:color="9CA6D2" w:sz="4" w:space="0"/>
        <w:left w:val="single" w:color="9CA6D2" w:sz="4" w:space="0"/>
        <w:bottom w:val="single" w:color="9CA6D2" w:sz="4" w:space="0"/>
        <w:right w:val="single" w:color="9CA6D2" w:sz="4" w:space="0"/>
      </w:tblBorders>
      <w:tblCellMar>
        <w:left w:w="58" w:type="dxa"/>
        <w:top w:w="173" w:type="dxa"/>
        <w:right w:w="58" w:type="dxa"/>
        <w:bottom w:w="259" w:type="dxa"/>
      </w:tblCellMar>
    </w:tblPr>
    <w:tcPr>
      <w:shd w:val="clear" w:color="auto" w:fill="dfeffd"/>
    </w:tcPr>
  </w:style>
  <w:style w:type="table" w:styleId="1219" w:customStyle="1">
    <w:name w:val="Scroll Note Cloud"/>
    <w:basedOn w:val="1030"/>
    <w:uiPriority w:val="99"/>
    <w:pPr>
      <w:ind w:left="176" w:right="261"/>
      <w:spacing w:after="0"/>
    </w:pPr>
    <w:tblPr>
      <w:tblCellMar>
        <w:left w:w="58" w:type="dxa"/>
        <w:top w:w="173" w:type="dxa"/>
        <w:right w:w="58" w:type="dxa"/>
        <w:bottom w:w="259" w:type="dxa"/>
      </w:tblCellMar>
    </w:tblPr>
    <w:tcPr>
      <w:shd w:val="clear" w:color="auto" w:fill="eae6ff"/>
    </w:tcPr>
  </w:style>
  <w:style w:type="table" w:styleId="1220" w:customStyle="1">
    <w:name w:val="Scroll Table Normal"/>
    <w:basedOn w:val="1030"/>
    <w:uiPriority w:val="99"/>
    <w:qFormat/>
    <w:pPr>
      <w:spacing w:after="120"/>
    </w:pPr>
    <w:tblPr>
      <w:tblInd w:w="0" w:type="dxa"/>
      <w:tblBorders>
        <w:top w:val="single" w:color="DDDDDD" w:sz="4" w:space="0"/>
        <w:left w:val="single" w:color="DDDDDD" w:sz="4" w:space="0"/>
        <w:bottom w:val="single" w:color="DDDDDD" w:sz="4" w:space="0"/>
        <w:right w:val="single" w:color="DDDDDD" w:sz="4" w:space="0"/>
        <w:insideH w:val="single" w:color="DDDDDD" w:sz="4" w:space="0"/>
        <w:insideV w:val="single" w:color="DDDDDD" w:sz="4" w:space="0"/>
      </w:tblBorders>
      <w:tblCellMar>
        <w:left w:w="30" w:type="dxa"/>
        <w:top w:w="30" w:type="dxa"/>
        <w:right w:w="30" w:type="dxa"/>
        <w:bottom w:w="20" w:type="dxa"/>
      </w:tblCellMar>
    </w:tblPr>
    <w:tblStylePr w:type="firstCol">
      <w:rPr>
        <w:b/>
        <w:color w:val="003263"/>
      </w:rPr>
      <w:tcPr>
        <w:shd w:val="clear" w:color="auto" w:fill="f0f0f0"/>
      </w:tcPr>
    </w:tblStylePr>
    <w:tblStylePr w:type="firstRow">
      <w:rPr>
        <w:b/>
        <w:color w:val="000000"/>
      </w:rPr>
      <w:trPr>
        <w:tblHeader/>
      </w:trPr>
      <w:tcPr>
        <w:shd w:val="clear" w:color="auto" w:fill="f0f0f0"/>
        <w:tc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</w:tcBorders>
      </w:tcPr>
    </w:tblStylePr>
    <w:tblStylePr w:type="nwCell">
      <w:rPr>
        <w:b/>
        <w:color w:val="000000"/>
      </w:rPr>
    </w:tblStylePr>
  </w:style>
  <w:style w:type="table" w:styleId="1221" w:customStyle="1">
    <w:name w:val="Scroll Panel"/>
    <w:basedOn w:val="1030"/>
    <w:uiPriority w:val="99"/>
    <w:qFormat/>
    <w:pPr>
      <w:ind w:left="173" w:right="259"/>
      <w:spacing w:after="0"/>
    </w:pPr>
    <w:tblPr>
      <w:tblInd w:w="0" w:type="dxa"/>
      <w:tblBorders>
        <w:top w:val="single" w:color="BBBBBB" w:sz="4" w:space="0"/>
        <w:left w:val="single" w:color="BBBBBB" w:sz="4" w:space="0"/>
        <w:bottom w:val="single" w:color="BBBBBB" w:sz="4" w:space="0"/>
        <w:right w:val="single" w:color="BBBBBB" w:sz="4" w:space="0"/>
      </w:tblBorders>
      <w:tblCellMar>
        <w:left w:w="58" w:type="dxa"/>
        <w:top w:w="173" w:type="dxa"/>
        <w:right w:w="58" w:type="dxa"/>
        <w:bottom w:w="259" w:type="dxa"/>
      </w:tblCellMar>
    </w:tblPr>
    <w:tcPr>
      <w:shd w:val="clear" w:color="auto" w:fill="f0f0f0"/>
    </w:tcPr>
  </w:style>
  <w:style w:type="table" w:styleId="1222" w:customStyle="1">
    <w:name w:val="Scroll Note"/>
    <w:basedOn w:val="1030"/>
    <w:uiPriority w:val="99"/>
    <w:qFormat/>
    <w:pPr>
      <w:ind w:left="173" w:right="259"/>
      <w:spacing w:after="0"/>
    </w:pPr>
    <w:tblPr>
      <w:tblInd w:w="0" w:type="dxa"/>
      <w:tblBorders>
        <w:top w:val="single" w:color="F9DF99" w:sz="4" w:space="0"/>
        <w:left w:val="single" w:color="F9DF99" w:sz="4" w:space="0"/>
        <w:bottom w:val="single" w:color="F9DF99" w:sz="4" w:space="0"/>
        <w:right w:val="single" w:color="F9DF99" w:sz="4" w:space="0"/>
      </w:tblBorders>
      <w:tblCellMar>
        <w:left w:w="58" w:type="dxa"/>
        <w:top w:w="173" w:type="dxa"/>
        <w:right w:w="58" w:type="dxa"/>
        <w:bottom w:w="259" w:type="dxa"/>
      </w:tblCellMar>
    </w:tblPr>
    <w:tcPr>
      <w:shd w:val="clear" w:color="auto" w:fill="ffffe0"/>
    </w:tcPr>
  </w:style>
  <w:style w:type="table" w:styleId="1223" w:customStyle="1">
    <w:name w:val="Scroll Quote"/>
    <w:basedOn w:val="1030"/>
    <w:uiPriority w:val="99"/>
    <w:qFormat/>
    <w:pPr>
      <w:ind w:left="173" w:right="259"/>
      <w:spacing w:after="0"/>
    </w:pPr>
    <w:rPr>
      <w:i/>
    </w:rPr>
    <w:tblPr>
      <w:tblInd w:w="0" w:type="dxa"/>
      <w:tblCellMar>
        <w:left w:w="58" w:type="dxa"/>
        <w:top w:w="0" w:type="dxa"/>
        <w:right w:w="58" w:type="dxa"/>
        <w:bottom w:w="0" w:type="dxa"/>
      </w:tblCellMar>
    </w:tblPr>
    <w:tblStylePr w:type="firstCol">
      <w:tcPr>
        <w:tcBorders>
          <w:left w:val="single" w:color="6199C9" w:sz="4" w:space="0"/>
        </w:tcBorders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header" Target="header7.xml" /><Relationship Id="rId16" Type="http://schemas.openxmlformats.org/officeDocument/2006/relationships/header" Target="header8.xml" /><Relationship Id="rId17" Type="http://schemas.openxmlformats.org/officeDocument/2006/relationships/footer" Target="footer1.xml" /><Relationship Id="rId18" Type="http://schemas.openxmlformats.org/officeDocument/2006/relationships/footer" Target="footer2.xml" /><Relationship Id="rId19" Type="http://schemas.openxmlformats.org/officeDocument/2006/relationships/footer" Target="footer3.xml" /><Relationship Id="rId20" Type="http://schemas.openxmlformats.org/officeDocument/2006/relationships/footer" Target="footer4.xml" /><Relationship Id="rId21" Type="http://schemas.openxmlformats.org/officeDocument/2006/relationships/footer" Target="footer5.xml" /><Relationship Id="rId22" Type="http://schemas.openxmlformats.org/officeDocument/2006/relationships/footer" Target="footer6.xml" /><Relationship Id="rId23" Type="http://schemas.openxmlformats.org/officeDocument/2006/relationships/footer" Target="footer7.xml" /><Relationship Id="rId24" Type="http://schemas.openxmlformats.org/officeDocument/2006/relationships/footer" Target="footer8.xml" /><Relationship Id="rId25" Type="http://schemas.openxmlformats.org/officeDocument/2006/relationships/image" Target="media/image1.png"/><Relationship Id="rId26" Type="http://schemas.openxmlformats.org/officeDocument/2006/relationships/image" Target="media/image2.png"/><Relationship Id="rId27" Type="http://schemas.openxmlformats.org/officeDocument/2006/relationships/image" Target="media/image3.png"/><Relationship Id="rId28" Type="http://schemas.openxmlformats.org/officeDocument/2006/relationships/image" Target="media/image4.png"/><Relationship Id="rId29" Type="http://schemas.openxmlformats.org/officeDocument/2006/relationships/image" Target="media/image5.png"/><Relationship Id="rId30" Type="http://schemas.openxmlformats.org/officeDocument/2006/relationships/image" Target="media/image6.png"/><Relationship Id="rId31" Type="http://schemas.openxmlformats.org/officeDocument/2006/relationships/image" Target="media/image7.png"/><Relationship Id="rId32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https://kb.gazprom-neft.local/pages/viewpage.action?pageId=692881566" TargetMode="External"/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Relationship Id="rId1" Type="http://schemas.openxmlformats.org/officeDocument/2006/relationships/hyperlink" Target="https://kb.gazprom-neft.local/pages/viewpage.action?pageId=692881566" TargetMode="External"/></Relationships>
</file>

<file path=word/_rels/footer6.xml.rels><?xml version="1.0" encoding="UTF-8" standalone="yes"?><Relationships xmlns="http://schemas.openxmlformats.org/package/2006/relationships"></Relationships>
</file>

<file path=word/_rels/footer7.xml.rels><?xml version="1.0" encoding="UTF-8" standalone="yes"?><Relationships xmlns="http://schemas.openxmlformats.org/package/2006/relationships"><Relationship Id="rId1" Type="http://schemas.openxmlformats.org/officeDocument/2006/relationships/hyperlink" Target="https://kb.gazprom-neft.local/pages/viewpage.action?pageId=692881566" TargetMode="External"/></Relationships>
</file>

<file path=word/_rels/footer8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_rels/header7.xml.rels><?xml version="1.0" encoding="UTF-8" standalone="yes"?><Relationships xmlns="http://schemas.openxmlformats.org/package/2006/relationships"></Relationships>
</file>

<file path=word/_rels/header8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navalikhin.pi</cp:lastModifiedBy>
  <cp:revision>9</cp:revision>
  <dcterms:modified xsi:type="dcterms:W3CDTF">2026-07-31T07:37:15Z</dcterms:modified>
</cp:coreProperties>
</file>