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A5F"/>
          <w:sz w:val="50"/>
          <w:szCs w:val="50"/>
        </w:rPr>
        <w:t xml:space="preserve">Análisis de PaintScout y Bolster</w:t>
      </w:r>
    </w:p>
    <w:p>
      <w:pPr>
        <w:spacing w:after="260" w:before="180"/>
        <w:jc w:val="center"/>
      </w:pPr>
      <w:r>
        <w:rPr>
          <w:color w:val="404040"/>
          <w:sz w:val="26"/>
          <w:szCs w:val="26"/>
        </w:rPr>
        <w:t xml:space="preserve">Cómo se venden, qué ofrecen y qué procesos puede adoptar Roly Home Services para ganar eficiencia</w:t>
      </w:r>
    </w:p>
    <w:p>
      <w:pPr>
        <w:pBdr>
          <w:bottom w:val="single" w:color="E8722A" w:sz="26" w:space="4"/>
        </w:pBdr>
        <w:spacing w:after="220"/>
        <w:jc w:val="center"/>
      </w:pPr>
      <w:r>
        <w:t xml:space="preserve"/>
      </w:r>
    </w:p>
    <w:p>
      <w:pPr>
        <w:spacing w:after="40" w:before="200"/>
        <w:jc w:val="center"/>
      </w:pPr>
      <w:r>
        <w:rPr>
          <w:b/>
          <w:bCs/>
          <w:sz w:val="22"/>
          <w:szCs w:val="22"/>
        </w:rPr>
        <w:t xml:space="preserve">Preparado para: </w:t>
      </w:r>
      <w:r>
        <w:rPr>
          <w:sz w:val="22"/>
          <w:szCs w:val="22"/>
        </w:rPr>
        <w:t xml:space="preserve">Roly Home Services (Tucker / Atlanta, GA)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Preparado por: </w:t>
      </w:r>
      <w:r>
        <w:rPr>
          <w:sz w:val="22"/>
          <w:szCs w:val="22"/>
        </w:rPr>
        <w:t xml:space="preserve">admediasolution</w:t>
      </w:r>
    </w:p>
    <w:p>
      <w:pPr>
        <w:jc w:val="center"/>
      </w:pPr>
      <w:r>
        <w:rPr>
          <w:b/>
          <w:bCs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13 de junio de 2026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140"/>
      </w:pPr>
      <w:r>
        <w:rPr>
          <w:sz w:val="22"/>
          <w:szCs w:val="22"/>
        </w:rPr>
        <w:t xml:space="preserve">PaintScout y Bolster resuelven el mismo problema que hoy frena a Roly: no la captación del lead, sino todo lo que viene después —estimación, propuesta, aprobación, agenda, cobro y seguimiento—, que hoy es 100% manual. El formulario del sitio ni siquiera envía el lead a un sistema (lo registra en la consola del navegador y muestra un “te enviamos un SMS” que no se manda).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PaintScout — </w:t>
      </w:r>
      <w:r>
        <w:rPr>
          <w:b w:val="false"/>
          <w:bCs w:val="false"/>
          <w:sz w:val="22"/>
          <w:szCs w:val="22"/>
        </w:rPr>
        <w:t xml:space="preserve">el especialista en pintura: presupuestar en ~5 min, propuestas con marca y e-firma, CRM y seguimiento. Precio accesible y transparente (~US$100–180/mes), con prueba gratis. Se vende product-led.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Bolster (ex-CostCertified, respaldo Y Combinator) — </w:t>
      </w:r>
      <w:r>
        <w:rPr>
          <w:b w:val="false"/>
          <w:bCs w:val="false"/>
          <w:sz w:val="22"/>
          <w:szCs w:val="22"/>
        </w:rPr>
        <w:t xml:space="preserve">plataforma integral de construcción con precios en vivo (AutoCost), propuestas interactivas que suben el ticket y pagos/financiación embebidos. Más cara (US$249–599/mes + comisión de pagos) y con precio detrás de demo. Apunta a tickets grandes.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Recomendación: </w:t>
      </w:r>
      <w:r>
        <w:rPr>
          <w:b w:val="false"/>
          <w:bCs w:val="false"/>
          <w:sz w:val="22"/>
          <w:szCs w:val="22"/>
        </w:rPr>
        <w:t xml:space="preserve">Roly ya paga GoHighLevel, que cubre ~80% del tramo post-lead. El movimiento de mayor retorno es activar GHL a fondo (no comprar una segunda herramienta); sumar PaintScout solo si la estimación se vuelve un dolor real; y no contratar Bolster por ahora. Independiente de eso, conviene adoptar los métodos de ambos: estimación estandarizada, propuestas good/better/best con e-firma, agenda online, depósito/financiación y una landing de anuncios de un solo objetivo.</w:t>
      </w:r>
    </w:p>
    <w:p>
      <w:pPr>
        <w:pStyle w:val="Heading1"/>
      </w:pPr>
      <w:r>
        <w:t xml:space="preserve">1. Las dos plataformas en detalle</w:t>
      </w:r>
    </w:p>
    <w:p>
      <w:pPr>
        <w:pBdr>
          <w:left w:val="single" w:color="E8722A" w:sz="18" w:space="10"/>
        </w:pBdr>
        <w:shd w:fill="F2F6FA" w:val="clear"/>
        <w:spacing w:after="180" w:before="120"/>
        <w:ind w:left="180"/>
      </w:pPr>
      <w:r>
        <w:rPr>
          <w:i/>
          <w:iCs/>
          <w:sz w:val="21"/>
          <w:szCs w:val="21"/>
        </w:rPr>
        <w:t xml:space="preserve">Nota: son competidores distintos, no la misma empresa. Bolster era antes CostCertified. (Circula una afirmación de que “PaintScout fue adquirida/renombrada a Bolster”: es falsa.)</w:t>
      </w:r>
    </w:p>
    <w:p>
      <w:pPr>
        <w:pStyle w:val="Heading2"/>
      </w:pPr>
      <w:r>
        <w:t xml:space="preserve">1.1  PaintScout — el especialista en pintura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Qué es: </w:t>
      </w:r>
      <w:r>
        <w:rPr>
          <w:b w:val="false"/>
          <w:bCs w:val="false"/>
          <w:sz w:val="22"/>
          <w:szCs w:val="22"/>
        </w:rPr>
        <w:t xml:space="preserve">software de estimación + venta específico para pintores, con un módulo liviano de operaciones.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Cliente objetivo: </w:t>
      </w:r>
      <w:r>
        <w:rPr>
          <w:b w:val="false"/>
          <w:bCs w:val="false"/>
          <w:sz w:val="22"/>
          <w:szCs w:val="22"/>
        </w:rPr>
        <w:t xml:space="preserve">empresas de pintura de cualquier tamaño que quieren presupuestar rápido, verse profesionales y cerrar más trabajos.</w:t>
      </w:r>
    </w:p>
    <w:p>
      <w:pPr>
        <w:spacing w:after="140"/>
      </w:pPr>
      <w:r>
        <w:rPr>
          <w:sz w:val="22"/>
          <w:szCs w:val="22"/>
        </w:rPr>
        <w:t xml:space="preserve">Funciones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rates (sq ft/hora configurables) → presupuesto en ~5 min; cálculo de pintura por medidas; line items; plantillas; opciones good/better/best; importación de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Propuestas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Presentaciones con marca (logo/colores), desglose ambiente por ambiente, e-firma, aprobación online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CRM y seguimiento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drag-and-drop, email/SMS automáticos, chat con el cliente, leaderboards de ventas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Operaciones (add-on)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Agenda/calendario, gestión de trabajos y tareas de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 integrados + financiación al consumidor vía Wisetack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Integraciones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QuickBooks, CompanyCam, Zapier, HubSpot, Pipedrive, Monday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Móvil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completa (teléfono/tablet/desktop), presupuestar en obra</w:t>
            </w:r>
          </w:p>
        </w:tc>
      </w:tr>
    </w:tbl>
    <w:p>
      <w:pPr>
        <w:spacing w:after="160" w:before="120"/>
      </w:pPr>
      <w:r>
        <w:rPr>
          <w:b/>
          <w:bCs/>
          <w:sz w:val="21"/>
          <w:szCs w:val="21"/>
        </w:rPr>
        <w:t xml:space="preserve">Límite reconocido (fuentes independientes): </w:t>
      </w:r>
      <w:r>
        <w:rPr>
          <w:sz w:val="21"/>
          <w:szCs w:val="21"/>
        </w:rPr>
        <w:t xml:space="preserve">es sobre todo estimación + venta; la operación pesada (scheduling, crew, costeo) suele complementarse con una herramienta como Jobber.</w:t>
      </w:r>
    </w:p>
    <w:p>
      <w:pPr>
        <w:pStyle w:val="Heading2"/>
      </w:pPr>
      <w:r>
        <w:t xml:space="preserve">1.2  Bolster (ex-CostCertified) — la plataforma integral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Qué es: </w:t>
      </w:r>
      <w:r>
        <w:rPr>
          <w:b w:val="false"/>
          <w:bCs w:val="false"/>
          <w:sz w:val="22"/>
          <w:szCs w:val="22"/>
        </w:rPr>
        <w:t xml:space="preserve">“Construction Intelligence Software” de punta a punta (estimación → propuesta → cobro). La pintura es 1 de ~10 rubros, con landing dedicada.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Cliente objetivo: </w:t>
      </w:r>
      <w:r>
        <w:rPr>
          <w:b w:val="false"/>
          <w:bCs w:val="false"/>
          <w:sz w:val="22"/>
          <w:szCs w:val="22"/>
        </w:rPr>
        <w:t xml:space="preserve">remodeladores, custom builders, contratistas generales y verticales (pintura, decks, cercos, pisos, techos…). Apunta a tickets más grandes.</w:t>
      </w:r>
    </w:p>
    <w:p>
      <w:pPr>
        <w:spacing w:after="140"/>
      </w:pPr>
      <w:r>
        <w:rPr>
          <w:sz w:val="22"/>
          <w:szCs w:val="22"/>
        </w:rPr>
        <w:t xml:space="preserve">Funciones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Estimación / takeoff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AutoCost (100M+ ítems con precio real por región y stock local); takeoff con medición on-screen guiada por IA; assemblies con reglas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Propuestas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Interactivas: el dueño de casa elige upgrades/terminaciones y ve el precio actualizarse en vivo; renders + planos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Gestión de proyecto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Scheduling autogenerado desde el estimado, lista de materiales/presupuesto, revisiones y change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del cliente + mensajería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Pagos / financiero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payments incluidos, business accounts; Capital (financiación) y corporate cards (coming soon)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Otros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 pipeline, integraciones, móvil</w:t>
            </w:r>
          </w:p>
        </w:tc>
      </w:tr>
    </w:tbl>
    <w:p>
      <w:pPr>
        <w:spacing w:after="160" w:before="120"/>
      </w:pPr>
      <w:r>
        <w:rPr>
          <w:b/>
          <w:bCs/>
          <w:sz w:val="21"/>
          <w:szCs w:val="21"/>
        </w:rPr>
        <w:t xml:space="preserve">Diferenciador: </w:t>
      </w:r>
      <w:r>
        <w:rPr>
          <w:sz w:val="21"/>
          <w:szCs w:val="21"/>
        </w:rPr>
        <w:t xml:space="preserve">datos de precio en vivo (AutoCost) + propuesta interactiva que sube el ticket + pagos embebidos como parte del modelo de negocio.</w:t>
      </w:r>
    </w:p>
    <w:p>
      <w:pPr>
        <w:pStyle w:val="Heading1"/>
      </w:pPr>
      <w:r>
        <w:t xml:space="preserve">2. Cómo se venden (go-to-market)</w:t>
      </w:r>
    </w:p>
    <w:p>
      <w:pPr>
        <w:spacing w:after="140"/>
      </w:pPr>
      <w:r>
        <w:rPr>
          <w:sz w:val="22"/>
          <w:szCs w:val="22"/>
        </w:rPr>
        <w:t xml:space="preserve">Patrón común a las dos: anuncio en Meta/Instagram → landing de un solo objetivo → 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PaintScout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Bolster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Headline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“The Software for Painting Contractors” / “Scale your painting business with confidence”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“The Best Painting Estimating Software for Accurate and Fast Bids” / “Win bigger jobs, more often”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Oferta / CTA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Doble vía: “Book a Demo” + “Start a Trial” (14 días, sin tarjeta)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“Get started for free” / “Book a demo” + lead magnet: propuesta de muestra por email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Modelo de venta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Product-led: precio transparente, prueba gratis, onboarding incluido + paquetes de setup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Sales-led: precio detrás de la demo, monetiza los pagos (%), coaching en onboarding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Precio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~US$99/mes (anual) / US$119 (mensual), 1 usuario · Operations +US$79–99/mes · +US$20/usuario · setup US$999–1.999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Essentials/Pro/Premium US$249–417/mes (anual) o US$399–599 (mensual, 3 meses intro) · + comisión de pagos 2,99–3,99% tarjeta / 1% ACH · soporte opcional US$1.999/año · +US$49/usuario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Prueba social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US$4B vendidos, +23% win rate, 5 min/estimado, 4.9★ Google; figuras del rubro (Nick Slavik, Painting Business Pro, PCA)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“Miles de millones” en proyectos, +15% trabajos más grandes / +20% más seguido; badges Y Combinator, Forbes, Capterra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Formulario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Nombre, móvil, empresa, email de trabajo, “source”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(para recibir la propuesta de muestra)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Lecciones de venta para destilar (aplican a Roly):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Landing de un solo objetivo por campaña, no el sitio entero.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Un lead magnet de baja fricción que capture el contacto antes de pedir la compra/visita.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Cifras duras y cuantificadas (no adjetivos).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Prueba social nominal y creíble (nombres, ratings reales).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Doble CTA: una acción de alta fricción (reservar) y otra de baja (obtener el lead magnet).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Promesa de velocidad de respuesta respaldada por automatización real.</w:t>
      </w:r>
    </w:p>
    <w:p>
      <w:pPr>
        <w:pStyle w:val="Heading1"/>
      </w:pPr>
      <w:r>
        <w:t xml:space="preserve">3. ¿Comprar o construir? (recomendación)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Punto de partida: </w:t>
      </w:r>
      <w:r>
        <w:rPr>
          <w:b w:val="false"/>
          <w:bCs w:val="false"/>
          <w:sz w:val="22"/>
          <w:szCs w:val="22"/>
        </w:rPr>
        <w:t xml:space="preserve">Roly ya paga GoHighLevel, que cubre ~80% del tramo post-lead — CRM/pipelines, SMS/email automáticos, calendarios de reserva, propuestas con e-firma, facturas/depósitos, pagos (Stripe/NMI) y pedidos de reseña. Lo que GHL no hace bien es la matemática de estimación específica de pintura (sq ft → galones → horas → precio), que es justo el núcleo de PaintScout.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sz w:val="22"/>
          <w:szCs w:val="22"/>
        </w:rPr>
        <w:t xml:space="preserve">PRIMERO — activar GHL a fondo. </w:t>
      </w:r>
      <w:r>
        <w:rPr>
          <w:b w:val="false"/>
          <w:bCs w:val="false"/>
          <w:sz w:val="22"/>
          <w:szCs w:val="22"/>
        </w:rPr>
        <w:t xml:space="preserve">Mayor retorno, sin herramienta nueva: webhook, pipelines, auto-respuesta en menos de 5 minutos, calendario de reserva, propuestas con e-firma, facturación con depósito y solicitud automática de reseñas. Resuelve el cuello de botella manual con lo que ya se paga.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sz w:val="22"/>
          <w:szCs w:val="22"/>
        </w:rPr>
        <w:t xml:space="preserve">DESPUÉS, si la estimación es un dolor real — sumar PaintScout (~US$100–180/mes). </w:t>
      </w:r>
      <w:r>
        <w:rPr>
          <w:b w:val="false"/>
          <w:bCs w:val="false"/>
          <w:sz w:val="22"/>
          <w:szCs w:val="22"/>
        </w:rPr>
        <w:t xml:space="preserve">Por el motor de estimación de pintura, propuestas good/better/best con marca y financiación Wisetack. Se integra vía QuickBooks/Zapier, así que puede alimentar a GHL.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sz w:val="22"/>
          <w:szCs w:val="22"/>
        </w:rPr>
        <w:t xml:space="preserve">NO contratar Bolster por ahora. </w:t>
      </w:r>
      <w:r>
        <w:rPr>
          <w:b w:val="false"/>
          <w:bCs w:val="false"/>
          <w:sz w:val="22"/>
          <w:szCs w:val="22"/>
        </w:rPr>
        <w:t xml:space="preserve">Demasiado caro/pesado, con precio detrás de demo y orientado a tickets grandes. Reconsiderar solo si Roly escala a renovaciones grandes y quiere AutoCost + financiación embebida.</w:t>
      </w:r>
    </w:p>
    <w:p>
      <w:pPr>
        <w:pBdr>
          <w:left w:val="single" w:color="E8722A" w:sz="18" w:space="10"/>
        </w:pBdr>
        <w:shd w:fill="F2F6FA" w:val="clear"/>
        <w:spacing w:after="180" w:before="120"/>
        <w:ind w:left="180"/>
      </w:pPr>
      <w:r>
        <w:rPr>
          <w:i/>
          <w:iCs/>
          <w:sz w:val="21"/>
          <w:szCs w:val="21"/>
        </w:rPr>
        <w:t xml:space="preserve">Independiente de comprar o no, adoptar los métodos: estimación por production rates, propuestas tabuladas good/better/best, e-firma, depósito online, auto-respuesta instantánea, oferta de financiación y landing de ads de un solo objetivo.</w:t>
      </w:r>
    </w:p>
    <w:p>
      <w:pPr>
        <w:pStyle w:val="Heading1"/>
      </w:pPr>
      <w:r>
        <w:t xml:space="preserve">4. Roadmap para replicar los procesos en el sitio + GHL</w:t>
      </w:r>
    </w:p>
    <w:p>
      <w:pPr>
        <w:spacing w:after="140"/>
      </w:pPr>
      <w:r>
        <w:rPr>
          <w:sz w:val="22"/>
          <w:szCs w:val="22"/>
        </w:rPr>
        <w:t xml:space="preserve">Priorizado, reutilizando lo que Roly ya tiene en el código (el formulario multi-paso, los tags de GHL ya calculados y el Color Lab):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2700"/>
        <w:gridCol w:w="2400"/>
        <w:gridCol w:w="18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 concreta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se reutiliza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Lead que realmente entra + auto-respuesta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Conectar el envío del formulario al webhook de GHL; disparar SMS/email reales; quitar la promesa de SMS falsa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submitLeadForm() y leadData (tags GHL ya calculados) en app.js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URL del webhook de GHL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Estimación estandarizada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Definir un rate card (US$/sq ft o sq ft/hora) por servicio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Tipos de proyecto del Paso 1 del formulario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Tarifas reales del cliente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Propuesta good/better/best + e-firma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Plantilla de propuesta en GHL con 3 niveles y firma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Datos del lead + descripción/paleta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 GHL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Agenda online (velocidad al lead)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Reemplazar “te llamamos” por reserva self-service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CTAs “Schedule Your Free Estimate”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Calendario GHL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Depósito/pago + financiación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Cobro de seña online + oferta de financiación (Wisetack/GHL) en la propuesta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Flujo de propuesta 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Cuenta de pagos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Cerrar el loop del Color Lab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 “Get an Estimate with This Palette” termine en una propuesta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CTA del Color Lab + prefill + tag Color-Lab-Palette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P0 + P2</w:t>
            </w:r>
          </w:p>
        </w:tc>
      </w:tr>
    </w:tbl>
    <w:p>
      <w:pPr>
        <w:pBdr>
          <w:left w:val="single" w:color="E8722A" w:sz="18" w:space="10"/>
        </w:pBdr>
        <w:shd w:fill="F2F6FA" w:val="clear"/>
        <w:spacing w:after="180" w:before="120"/>
        <w:ind w:left="180"/>
      </w:pPr>
      <w:r>
        <w:rPr>
          <w:i/>
          <w:iCs/>
          <w:sz w:val="21"/>
          <w:szCs w:val="21"/>
        </w:rPr>
        <w:t xml:space="preserve">El Color Lab es un activo único: ningún competidor le ofrece al dueño de casa “diseñá tu paleta → recibí tu propuesta”. Vale la pena destacarlo como gancho de marketing.</w:t>
      </w:r>
    </w:p>
    <w:p>
      <w:pPr>
        <w:pStyle w:val="Heading1"/>
      </w:pPr>
      <w:r>
        <w:t xml:space="preserve">5. Mejoras al embudo de anuncios</w:t>
      </w:r>
    </w:p>
    <w:p>
      <w:pPr>
        <w:spacing w:after="140"/>
      </w:pPr>
      <w:r>
        <w:rPr>
          <w:sz w:val="22"/>
          <w:szCs w:val="22"/>
        </w:rPr>
        <w:t xml:space="preserve">Tomando lo mejor de ambas landings, para las campañas de Meta de Roly: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Landing dedicada de un solo objetivo por campaña (no mandar al sitio completo).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Lead magnet de baja fricción: </w:t>
      </w:r>
      <w:r>
        <w:rPr>
          <w:b w:val="false"/>
          <w:bCs w:val="false"/>
          <w:sz w:val="22"/>
          <w:szCs w:val="22"/>
        </w:rPr>
        <w:t xml:space="preserve">“Paleta de color gratis + estimado aproximado al instante” o “Consulta de color gratis” (equivalente a la sample proposal de Bolster) — y Roly ya tiene el Color Lab para alimentarlo.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Cifras reales y duras: </w:t>
      </w:r>
      <w:r>
        <w:rPr>
          <w:b w:val="false"/>
          <w:bCs w:val="false"/>
          <w:sz w:val="22"/>
          <w:szCs w:val="22"/>
        </w:rPr>
        <w:t xml:space="preserve">años en el rubro, casas pintadas, garantía, rating de Google.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Prueba social nominal y local: </w:t>
      </w:r>
      <w:r>
        <w:rPr>
          <w:b w:val="false"/>
          <w:bCs w:val="false"/>
          <w:sz w:val="22"/>
          <w:szCs w:val="22"/>
        </w:rPr>
        <w:t xml:space="preserve">reseñas reales de Google con nombre y foto. (Pendiente: los 3 testimonios actuales del sitio están sin verificar — confirmar antes de usarlos en ads.)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Doble CTA: </w:t>
      </w:r>
      <w:r>
        <w:rPr>
          <w:b w:val="false"/>
          <w:bCs w:val="false"/>
          <w:sz w:val="22"/>
          <w:szCs w:val="22"/>
        </w:rPr>
        <w:t xml:space="preserve">acción de alta fricción (reservar estimado) + baja fricción (obtener el lead magnet).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Promesa de respuesta rápida </w:t>
      </w:r>
      <w:r>
        <w:rPr>
          <w:b w:val="false"/>
          <w:bCs w:val="false"/>
          <w:sz w:val="22"/>
          <w:szCs w:val="22"/>
        </w:rPr>
        <w:t xml:space="preserve">(“te respondemos en minutos”) respaldada por la automatización P0 — nunca prometer lo que no se cumple.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Reversión de riesgo: </w:t>
      </w:r>
      <w:r>
        <w:rPr>
          <w:b w:val="false"/>
          <w:bCs w:val="false"/>
          <w:sz w:val="22"/>
          <w:szCs w:val="22"/>
        </w:rPr>
        <w:t xml:space="preserve">garantía de satisfacción / garantía del trabajo.</w:t>
      </w:r>
    </w:p>
    <w:p>
      <w:pPr>
        <w:pStyle w:val="Heading1"/>
      </w:pPr>
      <w:r>
        <w:t xml:space="preserve">6. Próximos pasos sugeridos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Validar la recomendación comprar-vs-construir con el cliente (activar GHL primero).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Conseguir la URL del webhook de GHL para habilitar P0 (lead real + auto-respuesta) — es el arreglo de mayor impacto y menor esfuerzo.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Definir el rate card con Roly (tarifas por servicio) para estandarizar la estimación.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Decidir el lead magnet del embudo de ads (paleta gratis / consulta de color) y montar la landing de un solo objetivo.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(Opcional) Prueba gratis de PaintScout de 14 días para evaluar el motor de estimación sin compromiso.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PaintScout: </w:t>
      </w:r>
      <w:r>
        <w:rPr>
          <w:b w:val="false"/>
          <w:bCs w:val="false"/>
          <w:sz w:val="22"/>
          <w:szCs w:val="22"/>
        </w:rPr>
        <w:t xml:space="preserve">landing de anuncio (paintscout.com/mp/land), sitio (paintscout.com), /pricing, /painting-estimates.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Bolster: </w:t>
      </w:r>
      <w:r>
        <w:rPr>
          <w:b w:val="false"/>
          <w:bCs w:val="false"/>
          <w:sz w:val="22"/>
          <w:szCs w:val="22"/>
        </w:rPr>
        <w:t xml:space="preserve">landing de pintura (bolsterbuilt.com/painting), sitio (bolsterbuilt.com), /pricing, /estimates, /reviews, /compare.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Terceros: </w:t>
      </w:r>
      <w:r>
        <w:rPr>
          <w:b w:val="false"/>
          <w:bCs w:val="false"/>
          <w:sz w:val="22"/>
          <w:szCs w:val="22"/>
        </w:rPr>
        <w:t xml:space="preserve">Capterra y GetApp (perfiles de PaintScout y Bolster), Software Finder (Bolster), Tooled Up Pro (guía independiente de software para pintores), Software Advice (perfil ex-CostCertified).</w:t>
      </w:r>
    </w:p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Precios y métricas vigentes a junio de 2026; verificar en cada plataforma antes de decidir.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color w:val="808080"/>
        <w:sz w:val="16"/>
        <w:szCs w:val="16"/>
      </w:rPr>
      <w:t xml:space="preserve">Roly Home Services</w:t>
    </w:r>
    <w:r>
      <w:rPr>
        <w:color w:val="808080"/>
        <w:sz w:val="16"/>
        <w:szCs w:val="16"/>
      </w:rPr>
      <w:t xml:space="preserve">	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08080"/>
        <w:sz w:val="16"/>
        <w:szCs w:val="16"/>
      </w:rPr>
      <w:t xml:space="preserve">Análisis PaintScout vs. Bolster — admediasolution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EE8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4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PaintScout y Bolster — Roly Home Services</dc:title>
  <dc:creator>admediasolution</dc:creator>
  <cp:lastModifiedBy>Un-named</cp:lastModifiedBy>
  <cp:revision>1</cp:revision>
  <dcterms:created xsi:type="dcterms:W3CDTF">2026-06-13T20:50:33.876Z</dcterms:created>
  <dcterms:modified xsi:type="dcterms:W3CDTF">2026-06-13T20:50:33.876Z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