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ARCHITECTURE OPTIONS &amp; STYLES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444444"/>
          <w:sz w:val="26"/>
          <w:szCs w:val="26"/>
        </w:rPr>
        <w:t xml:space="preserve">Meridian Health Network — Case Study 3, Pipeline Step 4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Prepared for: Marshal Tafadzwa Takavinga</w:t>
      </w:r>
    </w:p>
    <w:p>
      <w:p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August 2026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step bundles two separate decisions that are easy to conflate: (1) migration strategy — how each current-state component moves, using the industry-standard “6 R's” framework — and (2) target architecture style — what pattern the system evolves toward, per Section 6 of the reference guide. No cloud platform is chosen yet; that's Steps 6–11. The output here is a reasoned option space and a leaning, recorded as ADRs, that Step 5's logical design will be built from.</w:t>
      </w:r>
    </w:p>
    <w:p>
      <w:pPr>
        <w:pStyle w:val="Heading1"/>
        <w:spacing w:after="160" w:before="360"/>
      </w:pPr>
      <w:r>
        <w:t xml:space="preserve">1. Migration Strategy — The Six R's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600"/>
        <w:gridCol w:w="2260"/>
      </w:tblGrid>
      <w:tr>
        <w:trPr>
          <w:tblHeader/>
        </w:trPr>
        <w:tc>
          <w:tcPr>
            <w:tcW w:type="dxa" w:w="1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Strategy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Definition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 When</w:t>
            </w:r>
          </w:p>
        </w:tc>
        <w:tc>
          <w:tcPr>
            <w:tcW w:type="dxa" w:w="22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Avoid When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Rehost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Lift-and-shift, no code change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 pressure; low app complexity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 design's real risk carries forward unchanged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Replatform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Lift-and-shift + targeted swaps (e.g. managed DB)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Can't change the app, but can change what it runs on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Platform swap changes app behavior the vendor won't support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Repurchase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Replace with SaaS/COTS alternative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 is generic enough that a market alternative is better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Switching cost outweighs the benefit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Refactor / Re-architect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Rebuild using cloud-native patterns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You own the code and the design is the actual bottleneck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You don't own the source, or rebuild risk outweighs the problem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Retain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Leave as-is, for now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real, time-bound reason exists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It's the actual source of the risk being addressed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Retire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Decommission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Nothing depends on it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load-bearing</w:t>
            </w:r>
          </w:p>
        </w:tc>
      </w:tr>
    </w:tbl>
    <w:p>
      <w:pPr>
        <w:pStyle w:val="Heading2"/>
        <w:spacing w:after="120" w:before="280"/>
      </w:pPr>
      <w:r>
        <w:t xml:space="preserve">1.1 Applied to Meridian's Current-State Inventory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26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Strategy</w:t>
            </w:r>
          </w:p>
        </w:tc>
        <w:tc>
          <w:tcPr>
            <w:tcW w:type="dxa" w:w="52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CareLink PM (app + DB)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Replatform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Vendor product, no source access — Refactor is off the table. Fixes the unsupported-DB and single-site risks driving the deadline.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MeridianConnect Portal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Refactor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Owned in-house; Strangler Fig candidate — rebuild API-first in front of CareLink PM.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Telehealth (3rd-party bolt-on)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Repurchase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Vendor-integration problem, not worth custom-building — replace with a better-integrated vendor.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LinkEngine (HL7 interface engine)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Refactor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Already message-based — strong fit for a managed, event-driven integration service with replay.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On-prem Active Directory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Replatform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Extend into hybrid identity rather than rebuild — lower risk, MFA layers on top.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Veeam + tape backup/DR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Replatform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job, cloud-native immutable + geo-separate storage — resolves the Step 3 RTO/RPO requirement.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Hub-and-spoke MPLS network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Retire (phased)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Weakens once systems aren't all behind one HQ firewall — multi-year phase-out, not day one.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Notably absent: a full Repurchase of CareLink PM itself (switching PM/EHR vendors). A real option, but a multi-year, org-wide change-management project orthogonal to the compliance/DR deadline — deferred explicitly in ADR-001, not silently dropped.</w:t>
      </w:r>
    </w:p>
    <w:p>
      <w:pPr>
        <w:pStyle w:val="Heading1"/>
        <w:spacing w:after="160" w:before="360"/>
      </w:pPr>
      <w:r>
        <w:t xml:space="preserve">2. Target Architecture Style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06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Style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Verdict</w:t>
            </w:r>
          </w:p>
        </w:tc>
        <w:tc>
          <w:tcPr>
            <w:tcW w:type="dxa" w:w="5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microservices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Avoid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16-person infra team, no Kubernetes operating experience — trades one complexity for a distributed-ops complexity the team isn't staffed for.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Modular monolith / bounded services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Use, selectively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 new owned components only (portal, telehealth integration, notifications) — not a service-per-feature explosion.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HL7 workload is already message-based; buys replay and decoupling the current point-to-point feeds lack.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Serverless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for bursty pieces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Self-scheduling API calls, reminders, telehealth orchestration. Avoid for the core stateful, latency-sensitive clinical DB.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Zero Trust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 — as an overlay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Directly answers the March 2026 incident: implicit trust behind the VPN was the actual failure, not a missing product.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Shared-services / platform engineering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Answers the “4–6 months per acquired clinic” driver — onboarding becomes provisioning against a golden path.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Hub-and-spoke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Carries forward, reshaped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Familiar mental model; shape reused as cloud networking topology, implementation changes.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mesh / Lakehouse / CQRS / Event sourcing / Cell-based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 of scope</w:t>
            </w:r>
          </w:p>
        </w:tc>
        <w:tc>
          <w:tcPr>
            <w:tcW w:type="dxa" w:w="5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requirement from Step 3 pulls these in — belongs to a future data/AI case study, not this one.</w:t>
            </w:r>
          </w:p>
        </w:tc>
      </w:tr>
    </w:tbl>
    <w:p>
      <w:pPr>
        <w:pStyle w:val="Heading1"/>
        <w:spacing w:after="160" w:before="360"/>
      </w:pPr>
      <w:r>
        <w:t xml:space="preserve">3. Direction This Leaves for Step 5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Replatform the CareLink PM core to meet the compliance deadline, and wrap the parts Meridian actually owns — portal, telehealth, integration — in a Strangler Fig of small, event-driven, API-first services sitting behind a Zero Trust identity/network layer, provisioned through a shared-services landing zone. Step 5 turns this into an actual vendor-neutral logical diagram.</w:t>
      </w:r>
    </w:p>
    <w:p>
      <w:pPr>
        <w:pStyle w:val="Heading1"/>
        <w:spacing w:after="160" w:before="360"/>
      </w:pPr>
      <w:r>
        <w:t xml:space="preserve">4. Architecture Decision Records</w:t>
      </w:r>
    </w:p>
    <w:p>
      <w:pPr>
        <w:pStyle w:val="Heading3"/>
        <w:spacing w:after="100" w:before="220"/>
      </w:pPr>
      <w:r>
        <w:t xml:space="preserve">ADR-001: Migration strategy for the CareLink PM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Context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Meridian must move off a single-site, out-of-support on-premises platform inside a compliance-driven timeline (cyber-insurance renewal conditions: MFA, encryption, immutable/offsite backup, tested DR). CareLink PM is a third-party vendor product — Meridian does not own or have access to its source code.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Options considered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Rehost as-is; Replatform (swap the unsupported database, minimal app change); Repurchase (replace CareLink PM entirely); Refactor/re-architect; Retain on-premises.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Decision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Replatform the CareLink PM application and database core.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Rationale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Refactor isn't viable — no source access. Repurchase is legitimate long-term but is a multi-year, org-wide project that doesn't fit the compliance timeline. Rehost alone doesn't resolve the unsupported-database risk. Replatforming directly resolves the RTO/RPO, encryption, and unsupported-software risks on a realistic timeline.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Trade-off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Doesn't reduce long-term CareLink PM vendor dependency or modernize the thick-client/Citrix delivery model — deliberately deferred, flagged as a future ADR.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Status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Proposed</w:t>
      </w:r>
    </w:p>
    <w:p>
      <w:pPr>
        <w:pStyle w:val="Heading3"/>
        <w:spacing w:after="100" w:before="220"/>
      </w:pPr>
      <w:r>
        <w:t xml:space="preserve">ADR-002: Target architecture style for the components Meridian owns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Context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portal, telehealth integration, and HL7 interface engine are within Meridian's control to redesign, each with a named pain point: portal latency, disjointed telehealth login, and brittle point-to-point HL7 feeds with no centralized audit.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Options considered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Leave as rehosted bolt-ons; full microservices decomposition; a small number of bounded, event-driven services introduced incrementally (Strangler Fig) with Zero Trust as a cross-cutting overlay; a single rewritten monolith.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Decision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Strangler Fig — incrementally replace the three bolt-ons with bounded, event-driven, API-first services, introduced one at a time behind the still-in-place CareLink PM core, with Zero Trust applied throughout.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Rationale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Full microservices doesn't match team size/operating maturity. A big-bang rewrite of all three concentrates risk where the business can least tolerate it. Event-driven fits the already message-based HL7 workload directly, and Zero Trust answers the actual root cause of the March 2026 incident.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Trade-off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Introduces eventual consistency and message-ordering considerations CareLink PM's synchronous calls didn't have, and requires event-broker operational skills the team doesn't currently hold — a real training/staffing cost.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Status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Proposed</w:t>
      </w:r>
    </w:p>
    <w:p>
      <w:pPr>
        <w:pStyle w:val="Heading1"/>
        <w:spacing w:after="160" w:before="360"/>
      </w:pPr>
      <w:r>
        <w:t xml:space="preserve">5. Diagrams to Reproduce</w:t>
      </w:r>
    </w:p>
    <w:p>
      <w:pPr>
        <w:pStyle w:val="Heading2"/>
        <w:spacing w:after="120" w:before="280"/>
      </w:pPr>
      <w:r>
        <w:t xml:space="preserve">5.1 Migration Strategy Map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CURRENT STATE COMPONENT           6-R STRATEGY        WHY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-------------------------------------------------------------------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CareLink PM (app + DB)         -&gt;  REPLATFORM    Vendor app, no source; swap infra/DB only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MeridianConnect Portal         -&gt;  REFACTOR      Ours to redesign; Strangler Fig candidate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Telehealth (3rd-party bolt-on) -&gt;  REPURCHASE    Replace with better-integrated vendor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LinkEngine (HL7 interface)     -&gt;  REFACTOR      Replace with managed event-driven integration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On-prem Active Directory       -&gt;  REPLATFORM    Hybrid identity, extend not rebuild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Veeam + tape backup/DR         -&gt;  REPLATFORM    Cloud-native backup + secondary region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Hub-and-spoke MPLS network     -&gt;  RETIRE(phased) SD-WAN / direct internet breakout, multi-year</w:t>
      </w:r>
    </w:p>
    <w:p>
      <w:pPr>
        <w:pStyle w:val="Heading2"/>
        <w:spacing w:after="120" w:before="280"/>
      </w:pPr>
      <w:r>
        <w:t xml:space="preserve">5.2 Target Style Sketch (precursor to Step 5's logical design)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ZERO TRUST OVERLAY (Identity -&gt; Device -&gt; App -&gt; Data -&gt; Network)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Patients / Providers 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|             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+------v-------+   event-driven +--v-------------------+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|  API Gateway  |&lt;--------------&gt;|  Integration Bus      |----&gt; LabCorp / Quest / PACS / Surescripts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+------+--------+   (pub/sub)    +------------------------+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+------+------------------------------------+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|                     |        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+--v---------+   +-------v------+       +-------v---------+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Portal      |   | Telehealth   |       | CareLink PM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(rebuilt,   |   | (repurchased,|       | (replatformed,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 API-first) |   |  API-native) |       |  system of record)|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+-------------+   +--------------+       +-------------------+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Shared-services / landing-zone platform underneath all of the above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(self-service provisioning for new/acquired clinics -- golden path, not bespoke VPN engineering)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Practice suggestion: redraw both in draw.io using generic shapes first (no vendor icons yet — that comes once a platform is chosen in Steps 6–11). The point of this step is the reasoning and the shape, not the vendor.</w:t>
      </w:r>
    </w:p>
    <w:p>
      <w:pPr>
        <w:pStyle w:val="Heading1"/>
        <w:spacing w:after="160" w:before="360"/>
      </w:pPr>
      <w:r>
        <w:t xml:space="preserve">6. References for Further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AWS Prescriptive Guidance — “6 Strategies for Migrating Applications to the Cloud” (the 6 R's), aws.amazon.com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Microsoft Cloud Adoption Framework — Migrate methodology, learn.microsoft.com/azure/cloud-adoption-framework/migrate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Google Cloud — “Migrating to Google Cloud” architecture guides, cloud.google.com/architecture/migrations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Martin Fowler, “StranglerFigApplication,” martinfowler.com/bliki/StranglerFigApplication.html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Hohpe &amp; Woolf, Enterprise Integration Patterns — enterpriseintegrationpatterns.com (the reference for event-driven/messaging patterns used in Section 12 of your guide)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NIST SP 800-207, Zero Trust Architecture — the formal definition behind the Zero Trust row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Your reference guide: Section 6 (Architecture Styles), Section 8 (ADRs), Section 12 (Patterns), Section 14 (Security), Section 17 (Platform Engineering)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2026-08-16T21:32:01.658Z</dcterms:created>
  <dcterms:modified xsi:type="dcterms:W3CDTF">2026-08-16T21:32:01.675Z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