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color w:val="5C6570"/>
          <w:sz w:val="22"/>
        </w:rPr>
        <w:t>Juno Open Health Tools</w:t>
      </w:r>
    </w:p>
    <w:p>
      <w:pPr>
        <w:keepNext/>
        <w:spacing w:after="120"/>
        <w:jc w:val="center"/>
      </w:pPr>
      <w:r>
        <w:rPr>
          <w:rFonts w:ascii="Calibri" w:hAnsi="Calibri"/>
          <w:b/>
          <w:color w:val="1B2634"/>
          <w:sz w:val="48"/>
        </w:rPr>
        <w:t>What gets lost before the appointment?</w:t>
      </w:r>
    </w:p>
    <w:p>
      <w:pPr>
        <w:spacing w:after="240"/>
        <w:jc w:val="center"/>
      </w:pPr>
      <w:r>
        <w:rPr>
          <w:rFonts w:ascii="Calibri" w:hAnsi="Calibri"/>
          <w:i/>
          <w:color w:val="5C6570"/>
          <w:sz w:val="26"/>
        </w:rPr>
        <w:t>A co-authored data brief on communication barriers and low-burden preparation for people with ME/CFS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rHeight w:hRule="atLeast"/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Proposed by: </w:t>
            </w:r>
            <w:r>
              <w:rPr>
                <w:rFonts w:ascii="Calibri" w:hAnsi="Calibri"/>
                <w:color w:val="1B2634"/>
                <w:sz w:val="19"/>
              </w:rPr>
              <w:t>Juno / Juno Open Health Tools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Proposed collaborator: </w:t>
            </w:r>
            <w:r>
              <w:rPr>
                <w:rFonts w:ascii="Calibri" w:hAnsi="Calibri"/>
                <w:color w:val="1B2634"/>
                <w:sz w:val="19"/>
              </w:rPr>
              <w:t>Action for M.E. and the PRIME research involvement community</w:t>
            </w:r>
          </w:p>
        </w:tc>
      </w:tr>
      <w:tr>
        <w:trPr>
          <w:cantSplit/>
          <w:trHeight w:hRule="atLeast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Status: </w:t>
            </w:r>
            <w:r>
              <w:rPr>
                <w:rFonts w:ascii="Calibri" w:hAnsi="Calibri"/>
                <w:color w:val="1B2634"/>
                <w:sz w:val="19"/>
              </w:rPr>
              <w:t>Scoping proposal - no data collection has begun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Suggested first step: </w:t>
            </w:r>
            <w:r>
              <w:rPr>
                <w:rFonts w:ascii="Calibri" w:hAnsi="Calibri"/>
                <w:color w:val="1B2634"/>
                <w:sz w:val="19"/>
              </w:rPr>
              <w:t>A 30-minute fit and governance conversation</w:t>
            </w:r>
          </w:p>
        </w:tc>
      </w:tr>
    </w:tbl>
    <w:p>
      <w:pPr>
        <w:spacing w:before="200" w:after="200" w:line="300" w:lineRule="auto"/>
        <w:shd w:fill="F4F6F9"/>
        <w:ind w:left="180" w:right="180"/>
      </w:pPr>
      <w:r>
        <w:rPr>
          <w:rFonts w:ascii="Calibri" w:hAnsi="Calibri"/>
          <w:b/>
          <w:color w:val="1F4D78"/>
          <w:sz w:val="22"/>
        </w:rPr>
        <w:t xml:space="preserve">The proposal. </w:t>
      </w:r>
      <w:r>
        <w:rPr>
          <w:rFonts w:ascii="Calibri" w:hAnsi="Calibri"/>
          <w:color w:val="1B2634"/>
          <w:sz w:val="22"/>
        </w:rPr>
        <w:t>Co-produce a short, public data brief on what people with ME/CFS find hardest to communicate in time-limited appointments, which preparation methods are genuinely usable, and what patients want clinicians to understand before the conversation begins.</w:t>
      </w:r>
    </w:p>
    <w:p>
      <w:pPr>
        <w:pStyle w:val="Heading1"/>
        <w:keepNext/>
      </w:pPr>
      <w:r>
        <w:t>Why this is worth testing</w:t>
      </w:r>
    </w:p>
    <w:p>
      <w:pPr>
        <w:spacing w:after="120" w:line="300" w:lineRule="auto"/>
      </w:pPr>
      <w:r>
        <w:rPr>
          <w:rFonts w:ascii="Calibri" w:hAnsi="Calibri"/>
          <w:i w:val="0"/>
          <w:color w:val="1B2634"/>
          <w:sz w:val="22"/>
        </w:rPr>
        <w:t>Fluctuating symptoms, post-exertional worsening, cognitive load and a changing baseline can be difficult to compress into a few minutes. The result is not simply an information problem: people may leave without having explained the change that mattered most or asked the question they came to ask.</w:t>
      </w:r>
    </w:p>
    <w:p>
      <w:pPr>
        <w:spacing w:after="120" w:line="300" w:lineRule="auto"/>
      </w:pPr>
      <w:r>
        <w:rPr>
          <w:rFonts w:ascii="Calibri" w:hAnsi="Calibri"/>
          <w:i w:val="0"/>
          <w:color w:val="1B2634"/>
          <w:sz w:val="22"/>
        </w:rPr>
        <w:t>Action for M.E. places lived experience at the centre of its services and research partnerships. Juno has built an openly licensed, non-diagnostic appointment-preparation method from lived experience of chronic illness. A tightly scoped collaboration could turn those complementary strengths into useful evidence and practical resources without positioning either organisation as a clinical authority.</w:t>
      </w:r>
    </w:p>
    <w:p>
      <w:pPr>
        <w:pStyle w:val="Heading1"/>
        <w:keepNext/>
      </w:pPr>
      <w:r>
        <w:t>Proposed research question</w:t>
      </w:r>
    </w:p>
    <w:p>
      <w:pPr>
        <w:spacing w:after="120" w:line="300" w:lineRule="auto"/>
      </w:pPr>
      <w:r>
        <w:rPr>
          <w:rFonts w:ascii="Calibri" w:hAnsi="Calibri"/>
          <w:i/>
          <w:color w:val="1B2634"/>
          <w:sz w:val="22"/>
        </w:rPr>
        <w:t>What information do people with ME/CFS most struggle to communicate before and during appointments, which low-burden preparation supports help them express changes and priorities more clearly, and what do they want clinicians to ask or acknowledge?</w:t>
      </w:r>
    </w:p>
    <w:p>
      <w:pPr>
        <w:spacing w:after="100" w:line="300" w:lineRule="auto"/>
      </w:pPr>
      <w:r>
        <w:rPr>
          <w:rFonts w:ascii="Calibri" w:hAnsi="Calibri"/>
          <w:b/>
          <w:color w:val="1F4D78"/>
          <w:sz w:val="22"/>
        </w:rPr>
        <w:t xml:space="preserve">Communication. </w:t>
      </w:r>
      <w:r>
        <w:rPr>
          <w:rFonts w:ascii="Calibri" w:hAnsi="Calibri"/>
          <w:color w:val="1B2634"/>
          <w:sz w:val="22"/>
        </w:rPr>
        <w:t>Which experiences are hardest to describe, prioritise or put on a short timeline?</w:t>
      </w:r>
    </w:p>
    <w:p>
      <w:pPr>
        <w:spacing w:after="100" w:line="300" w:lineRule="auto"/>
      </w:pPr>
      <w:r>
        <w:rPr>
          <w:rFonts w:ascii="Calibri" w:hAnsi="Calibri"/>
          <w:b/>
          <w:color w:val="1F4D78"/>
          <w:sz w:val="22"/>
        </w:rPr>
        <w:t xml:space="preserve">Usability. </w:t>
      </w:r>
      <w:r>
        <w:rPr>
          <w:rFonts w:ascii="Calibri" w:hAnsi="Calibri"/>
          <w:color w:val="1B2634"/>
          <w:sz w:val="22"/>
        </w:rPr>
        <w:t>Which preparation formats remain manageable with fatigue, pain, sensory sensitivity or cognitive dysfunction?</w:t>
      </w:r>
    </w:p>
    <w:p>
      <w:pPr>
        <w:spacing w:after="100" w:line="300" w:lineRule="auto"/>
      </w:pPr>
      <w:r>
        <w:rPr>
          <w:rFonts w:ascii="Calibri" w:hAnsi="Calibri"/>
          <w:b/>
          <w:color w:val="1F4D78"/>
          <w:sz w:val="22"/>
        </w:rPr>
        <w:t xml:space="preserve">Equity. </w:t>
      </w:r>
      <w:r>
        <w:rPr>
          <w:rFonts w:ascii="Calibri" w:hAnsi="Calibri"/>
          <w:color w:val="1B2634"/>
          <w:sz w:val="22"/>
        </w:rPr>
        <w:t>What adjustments are needed for people with severe ME, carers and people whose access needs are often excluded from standard digital tools?</w:t>
      </w:r>
    </w:p>
    <w:p>
      <w:r>
        <w:br w:type="page"/>
      </w:r>
    </w:p>
    <w:p>
      <w:pPr>
        <w:pStyle w:val="Heading1"/>
        <w:keepNext/>
      </w:pPr>
      <w:r>
        <w:t>A small, governance-first study</w:t>
      </w:r>
    </w:p>
    <w:p>
      <w:pPr>
        <w:spacing w:after="120" w:line="300" w:lineRule="auto"/>
      </w:pPr>
      <w:r>
        <w:rPr>
          <w:rFonts w:ascii="Calibri" w:hAnsi="Calibri"/>
          <w:i w:val="0"/>
          <w:color w:val="1B2634"/>
          <w:sz w:val="22"/>
        </w:rPr>
        <w:t>The design should be co-produced and intentionally low burden. Before any recruitment, the partners would decide whether the work is patient and public involvement, service evaluation or research, identify the appropriate ethics and data-protection route, and agree who is the data controller.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5760"/>
      </w:tblGrid>
      <w:tr>
        <w:trPr>
          <w:cantSplit/>
          <w:trHeight w:hRule="atLeast"/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Phase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Indicative timing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Decision or output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2634"/>
                <w:sz w:val="18"/>
              </w:rPr>
              <w:t>1. Scope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B2634"/>
                <w:sz w:val="18"/>
              </w:rPr>
              <w:t>Week 1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B2634"/>
                <w:sz w:val="18"/>
              </w:rPr>
              <w:t>Agree the question, classification, governance, access needs and stop/go criteria.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2634"/>
                <w:sz w:val="18"/>
              </w:rPr>
              <w:t>2. Co-design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B2634"/>
                <w:sz w:val="18"/>
              </w:rPr>
              <w:t>Week 2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B2634"/>
                <w:sz w:val="18"/>
              </w:rPr>
              <w:t>A small lived-experience group reviews language, burden, accessibility and response options.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2634"/>
                <w:sz w:val="18"/>
              </w:rPr>
              <w:t>3. Listen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B2634"/>
                <w:sz w:val="18"/>
              </w:rPr>
              <w:t>Weeks 3-4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B2634"/>
                <w:sz w:val="18"/>
              </w:rPr>
              <w:t>If approved, run a short anonymous survey and optional low-burden conversations through agreed channels.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2634"/>
                <w:sz w:val="18"/>
              </w:rPr>
              <w:t>4. Interpret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B2634"/>
                <w:sz w:val="18"/>
              </w:rPr>
              <w:t>Week 5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B2634"/>
                <w:sz w:val="18"/>
              </w:rPr>
              <w:t>Review aggregate findings with lived-experience contributors; explicitly separate observation from inference.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B2634"/>
                <w:sz w:val="18"/>
              </w:rPr>
              <w:t>5. Publish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B2634"/>
                <w:sz w:val="18"/>
              </w:rPr>
              <w:t>Week 6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B2634"/>
                <w:sz w:val="18"/>
              </w:rPr>
              <w:t>Release the co-authored brief, practical conversation guide, methods note and limitations.</w:t>
            </w:r>
          </w:p>
        </w:tc>
      </w:tr>
    </w:tbl>
    <w:p>
      <w:pPr>
        <w:pStyle w:val="Heading1"/>
        <w:keepNext/>
      </w:pPr>
      <w:r>
        <w:t>Safeguards and ownership</w:t>
      </w:r>
    </w:p>
    <w:p>
      <w:pPr>
        <w:spacing w:after="100" w:line="300" w:lineRule="auto"/>
      </w:pPr>
      <w:r>
        <w:rPr>
          <w:rFonts w:ascii="Calibri" w:hAnsi="Calibri"/>
          <w:b/>
          <w:color w:val="1F4D78"/>
          <w:sz w:val="22"/>
        </w:rPr>
        <w:t xml:space="preserve">No patient records. </w:t>
      </w:r>
      <w:r>
        <w:rPr>
          <w:rFonts w:ascii="Calibri" w:hAnsi="Calibri"/>
          <w:color w:val="1B2634"/>
          <w:sz w:val="22"/>
        </w:rPr>
        <w:t>The project would not request clinical documents, account credentials, record numbers or information copied from a clinical system.</w:t>
      </w:r>
    </w:p>
    <w:p>
      <w:pPr>
        <w:spacing w:after="100" w:line="300" w:lineRule="auto"/>
      </w:pPr>
      <w:r>
        <w:rPr>
          <w:rFonts w:ascii="Calibri" w:hAnsi="Calibri"/>
          <w:b/>
          <w:color w:val="1F4D78"/>
          <w:sz w:val="22"/>
        </w:rPr>
        <w:t xml:space="preserve">Minimum necessary data. </w:t>
      </w:r>
      <w:r>
        <w:rPr>
          <w:rFonts w:ascii="Calibri" w:hAnsi="Calibri"/>
          <w:color w:val="1B2634"/>
          <w:sz w:val="22"/>
        </w:rPr>
        <w:t>Collect only what is needed for the agreed question; avoid direct identifiers and free-text prompts that invite unnecessary disclosure.</w:t>
      </w:r>
    </w:p>
    <w:p>
      <w:pPr>
        <w:spacing w:after="100" w:line="300" w:lineRule="auto"/>
      </w:pPr>
      <w:r>
        <w:rPr>
          <w:rFonts w:ascii="Calibri" w:hAnsi="Calibri"/>
          <w:b/>
          <w:color w:val="1F4D78"/>
          <w:sz w:val="22"/>
        </w:rPr>
        <w:t xml:space="preserve">No commercial lead generation. </w:t>
      </w:r>
      <w:r>
        <w:rPr>
          <w:rFonts w:ascii="Calibri" w:hAnsi="Calibri"/>
          <w:color w:val="1B2634"/>
          <w:sz w:val="22"/>
        </w:rPr>
        <w:t>Participation would not be used to market Juno, build sales lists or target people with advertising.</w:t>
      </w:r>
    </w:p>
    <w:p>
      <w:pPr>
        <w:spacing w:after="100" w:line="300" w:lineRule="auto"/>
      </w:pPr>
      <w:r>
        <w:rPr>
          <w:rFonts w:ascii="Calibri" w:hAnsi="Calibri"/>
          <w:b/>
          <w:color w:val="1F4D78"/>
          <w:sz w:val="22"/>
        </w:rPr>
        <w:t xml:space="preserve">Shared interpretation and veto. </w:t>
      </w:r>
      <w:r>
        <w:rPr>
          <w:rFonts w:ascii="Calibri" w:hAnsi="Calibri"/>
          <w:color w:val="1B2634"/>
          <w:sz w:val="22"/>
        </w:rPr>
        <w:t>Action for M.E. and lived-experience contributors would help interpret findings and approve co-branding; both partners could stop publication if safety or accuracy concerns remain.</w:t>
      </w:r>
    </w:p>
    <w:p>
      <w:pPr>
        <w:pStyle w:val="Heading1"/>
        <w:keepNext/>
      </w:pPr>
      <w:r>
        <w:t>Proposed public outputs</w:t>
      </w:r>
    </w:p>
    <w:p>
      <w:pPr>
        <w:spacing w:after="100" w:line="300" w:lineRule="auto"/>
      </w:pPr>
      <w:r>
        <w:rPr>
          <w:rFonts w:ascii="Calibri" w:hAnsi="Calibri"/>
          <w:b/>
          <w:color w:val="1F4D78"/>
          <w:sz w:val="22"/>
        </w:rPr>
        <w:t xml:space="preserve">Data brief. </w:t>
      </w:r>
      <w:r>
        <w:rPr>
          <w:rFonts w:ascii="Calibri" w:hAnsi="Calibri"/>
          <w:color w:val="1B2634"/>
          <w:sz w:val="22"/>
        </w:rPr>
        <w:t>A concise 4-6 page narrative reporting aggregate themes, response distributions, methods and limitations.</w:t>
      </w:r>
    </w:p>
    <w:p>
      <w:pPr>
        <w:spacing w:after="100" w:line="300" w:lineRule="auto"/>
      </w:pPr>
      <w:r>
        <w:rPr>
          <w:rFonts w:ascii="Calibri" w:hAnsi="Calibri"/>
          <w:b/>
          <w:color w:val="1F4D78"/>
          <w:sz w:val="22"/>
        </w:rPr>
        <w:t xml:space="preserve">Conversation guide. </w:t>
      </w:r>
      <w:r>
        <w:rPr>
          <w:rFonts w:ascii="Calibri" w:hAnsi="Calibri"/>
          <w:color w:val="1B2634"/>
          <w:sz w:val="22"/>
        </w:rPr>
        <w:t>A one-page resource for patients and clinicians focused on change from baseline, impact, timeline and priorities.</w:t>
      </w:r>
    </w:p>
    <w:p>
      <w:pPr>
        <w:spacing w:after="100" w:line="300" w:lineRule="auto"/>
      </w:pPr>
      <w:r>
        <w:rPr>
          <w:rFonts w:ascii="Calibri" w:hAnsi="Calibri"/>
          <w:b/>
          <w:color w:val="1F4D78"/>
          <w:sz w:val="22"/>
        </w:rPr>
        <w:t xml:space="preserve">Methods appendix. </w:t>
      </w:r>
      <w:r>
        <w:rPr>
          <w:rFonts w:ascii="Calibri" w:hAnsi="Calibri"/>
          <w:color w:val="1B2634"/>
          <w:sz w:val="22"/>
        </w:rPr>
        <w:t>Question wording, accessibility adaptations, classification decisions and a transparent account of what the study cannot conclude.</w:t>
      </w:r>
    </w:p>
    <w:p>
      <w:pPr>
        <w:spacing w:after="100" w:line="300" w:lineRule="auto"/>
      </w:pPr>
      <w:r>
        <w:rPr>
          <w:rFonts w:ascii="Calibri" w:hAnsi="Calibri"/>
          <w:b/>
          <w:color w:val="1F4D78"/>
          <w:sz w:val="22"/>
        </w:rPr>
        <w:t xml:space="preserve">Open practical template. </w:t>
      </w:r>
      <w:r>
        <w:rPr>
          <w:rFonts w:ascii="Calibri" w:hAnsi="Calibri"/>
          <w:color w:val="1B2634"/>
          <w:sz w:val="22"/>
        </w:rPr>
        <w:t>An adapted appointment-preparation sheet released under an agreed licence, with no participant-level data published.</w:t>
      </w:r>
    </w:p>
    <w:p>
      <w:pPr>
        <w:pStyle w:val="Heading1"/>
        <w:keepNext/>
      </w:pPr>
      <w:r>
        <w:t>What each partner could contribute</w:t>
      </w:r>
    </w:p>
    <w:p>
      <w:pPr>
        <w:spacing w:after="100" w:line="300" w:lineRule="auto"/>
      </w:pPr>
      <w:r>
        <w:rPr>
          <w:rFonts w:ascii="Calibri" w:hAnsi="Calibri"/>
          <w:b/>
          <w:color w:val="1F4D78"/>
          <w:sz w:val="22"/>
        </w:rPr>
        <w:t xml:space="preserve">Action for M.E. / PRIME. </w:t>
      </w:r>
      <w:r>
        <w:rPr>
          <w:rFonts w:ascii="Calibri" w:hAnsi="Calibri"/>
          <w:color w:val="1B2634"/>
          <w:sz w:val="22"/>
        </w:rPr>
        <w:t>Lived-experience governance, research/PPI classification, access and safeguarding advice, contributor relationships, interpretation and publication approval.</w:t>
      </w:r>
    </w:p>
    <w:p>
      <w:pPr>
        <w:spacing w:after="100" w:line="300" w:lineRule="auto"/>
      </w:pPr>
      <w:r>
        <w:rPr>
          <w:rFonts w:ascii="Calibri" w:hAnsi="Calibri"/>
          <w:b/>
          <w:color w:val="1F4D78"/>
          <w:sz w:val="22"/>
        </w:rPr>
        <w:t xml:space="preserve">Juno. </w:t>
      </w:r>
      <w:r>
        <w:rPr>
          <w:rFonts w:ascii="Calibri" w:hAnsi="Calibri"/>
          <w:color w:val="1B2634"/>
          <w:sz w:val="22"/>
        </w:rPr>
        <w:t>Initial drafting, open templates, accessible prototyping, analysis support under the agreed governance structure, design and publication production.</w:t>
      </w:r>
    </w:p>
    <w:p>
      <w:pPr>
        <w:spacing w:before="160" w:after="200" w:line="300" w:lineRule="auto"/>
        <w:shd w:fill="E8EEF5"/>
        <w:ind w:left="180" w:right="180"/>
      </w:pPr>
      <w:r>
        <w:rPr>
          <w:rFonts w:ascii="Calibri" w:hAnsi="Calibri"/>
          <w:b/>
          <w:color w:val="1F4D78"/>
          <w:sz w:val="22"/>
        </w:rPr>
        <w:t xml:space="preserve">The immediate ask. </w:t>
      </w:r>
      <w:r>
        <w:rPr>
          <w:rFonts w:ascii="Calibri" w:hAnsi="Calibri"/>
          <w:color w:val="1B2634"/>
          <w:sz w:val="22"/>
        </w:rPr>
        <w:t>Would Action for M.E. be open to a 30-minute scoping call to decide whether this question is useful, who should shape it, and what governance route would be proportionate? We are comfortable starting with a very small pilot or deciding together that a different question would be more valuable.</w:t>
      </w:r>
    </w:p>
    <w:p>
      <w:pPr>
        <w:pStyle w:val="Heading2"/>
        <w:keepNext/>
      </w:pPr>
      <w:r>
        <w:t>Background and open materials</w:t>
      </w:r>
    </w:p>
    <w:p>
      <w:pPr>
        <w:spacing w:after="60" w:line="264" w:lineRule="auto"/>
      </w:pPr>
      <w:r>
        <w:rPr>
          <w:rFonts w:ascii="Calibri" w:hAnsi="Calibri"/>
          <w:b/>
          <w:color w:val="1B2634"/>
          <w:sz w:val="19"/>
        </w:rPr>
        <w:t xml:space="preserve">Action for M.E. PRIME research involvement programme: </w:t>
      </w:r>
      <w:hyperlink r:id="rId11">
        <w:r>
          <w:rPr>
            <w:color w:val="2E74B5"/>
            <w:u w:val="single"/>
          </w:rPr>
          <w:t>Open programme page</w:t>
        </w:r>
      </w:hyperlink>
    </w:p>
    <w:p>
      <w:pPr>
        <w:spacing w:after="60" w:line="264" w:lineRule="auto"/>
      </w:pPr>
      <w:r>
        <w:rPr>
          <w:rFonts w:ascii="Calibri" w:hAnsi="Calibri"/>
          <w:b/>
          <w:color w:val="1B2634"/>
          <w:sz w:val="19"/>
        </w:rPr>
        <w:t xml:space="preserve">Juno Open Health Tools - permanent Zenodo archive: </w:t>
      </w:r>
      <w:hyperlink r:id="rId12">
        <w:r>
          <w:rPr>
            <w:color w:val="2E74B5"/>
            <w:u w:val="single"/>
          </w:rPr>
          <w:t>Open archive</w:t>
        </w:r>
      </w:hyperlink>
    </w:p>
    <w:p>
      <w:pPr>
        <w:spacing w:after="60" w:line="264" w:lineRule="auto"/>
      </w:pPr>
      <w:r>
        <w:rPr>
          <w:rFonts w:ascii="Calibri" w:hAnsi="Calibri"/>
          <w:b/>
          <w:color w:val="1B2634"/>
          <w:sz w:val="19"/>
        </w:rPr>
        <w:t xml:space="preserve">Juno Open Health Tools - source repository: </w:t>
      </w:r>
      <w:hyperlink r:id="rId13">
        <w:r>
          <w:rPr>
            <w:color w:val="2E74B5"/>
            <w:u w:val="single"/>
          </w:rPr>
          <w:t>Open repository</w:t>
        </w:r>
      </w:hyperlink>
    </w:p>
    <w:p>
      <w:pPr>
        <w:spacing w:after="60" w:line="264" w:lineRule="auto"/>
      </w:pPr>
      <w:r>
        <w:rPr>
          <w:rFonts w:ascii="Calibri" w:hAnsi="Calibri"/>
          <w:b/>
          <w:color w:val="1B2634"/>
          <w:sz w:val="19"/>
        </w:rPr>
        <w:t xml:space="preserve">Plain-language guide to the appointment-preparation method: </w:t>
      </w:r>
      <w:hyperlink r:id="rId14">
        <w:r>
          <w:rPr>
            <w:color w:val="2E74B5"/>
            <w:u w:val="single"/>
          </w:rPr>
          <w:t>Read the guide</w:t>
        </w:r>
      </w:hyperlink>
    </w:p>
    <w:p>
      <w:pPr>
        <w:spacing w:before="160" w:after="0" w:line="264" w:lineRule="auto"/>
      </w:pPr>
      <w:r>
        <w:rPr>
          <w:rFonts w:ascii="Calibri" w:hAnsi="Calibri"/>
          <w:i/>
          <w:color w:val="5C6570"/>
          <w:sz w:val="18"/>
        </w:rPr>
        <w:t>This concept note is for discussion only. It is not a research protocol, recruitment notice, medical advice or claim of clinical effectiveness. No participant data has been collected.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570"/>
        <w:sz w:val="18"/>
      </w:rPr>
      <w:t xml:space="preserve">For discussion  |  1 August 2026  |  Page </w:t>
    </w:r>
    <w:r>
      <w:rPr>
        <w:rFonts w:ascii="Calibri" w:hAnsi="Calibri"/>
        <w:color w:val="5C657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C6570"/>
        <w:sz w:val="17"/>
      </w:rPr>
      <w:t>JUNO x ACTION FOR M.E.  |  CONCEPT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B26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ctionforme.org.uk/research-campaigns/our-research-work/prime/" TargetMode="External"/><Relationship Id="rId12" Type="http://schemas.openxmlformats.org/officeDocument/2006/relationships/hyperlink" Target="https://doi.org/10.5281/zenodo.21730086" TargetMode="External"/><Relationship Id="rId13" Type="http://schemas.openxmlformats.org/officeDocument/2006/relationships/hyperlink" Target="https://github.com/MarshallBear1/juno-open-health-tools" TargetMode="External"/><Relationship Id="rId14" Type="http://schemas.openxmlformats.org/officeDocument/2006/relationships/hyperlink" Target="https://medium.com/@Marsh30/a-better-way-to-prepare-for-a-health-appointment-when-your-symptoms-are-messy-df9e62d83f5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Juno x Action for M.E. - Co-authored data brief concept note</dc:title>
  <dc:subject>Appointment communication and low-burden preparation for people with ME/CFS</dc:subject>
  <dc:creator>Juno</dc:creator>
  <cp:keywords>ME/CFS, patient involvement, appointment preparation, health communication</cp:keywords>
  <dc:description>Prepared for partnership discussion. No participant data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