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91D617" w14:textId="77777777" w:rsidR="009130DC" w:rsidRDefault="008A3278">
      <w:pPr>
        <w:ind w:left="360" w:firstLine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CS 471: Software Engineering</w:t>
      </w:r>
    </w:p>
    <w:p w14:paraId="0FCF204D" w14:textId="77777777" w:rsidR="009130DC" w:rsidRDefault="008A3278">
      <w:pPr>
        <w:ind w:left="360" w:firstLine="0"/>
        <w:jc w:val="center"/>
        <w:rPr>
          <w:b/>
          <w:sz w:val="28"/>
          <w:szCs w:val="28"/>
        </w:rPr>
      </w:pPr>
      <w:r>
        <w:rPr>
          <w:b/>
        </w:rPr>
        <w:t>Fall 2017</w:t>
      </w:r>
    </w:p>
    <w:p w14:paraId="1816EBB0" w14:textId="77777777" w:rsidR="009130DC" w:rsidRDefault="008A3278">
      <w:pPr>
        <w:ind w:left="36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 – Use Cases</w:t>
      </w:r>
    </w:p>
    <w:p w14:paraId="425C7DE1" w14:textId="77777777" w:rsidR="009130DC" w:rsidRDefault="009130DC"/>
    <w:p w14:paraId="7155EA64" w14:textId="77777777" w:rsidR="009130DC" w:rsidRDefault="008A3278">
      <w:pPr>
        <w:widowControl/>
        <w:rPr>
          <w:color w:val="FF0000"/>
        </w:rPr>
      </w:pPr>
      <w:r>
        <w:rPr>
          <w:color w:val="FF0000"/>
        </w:rPr>
        <w:t>Due date Section 002: Wednesday, September 27, 2017 (before the beginning of the class)</w:t>
      </w:r>
    </w:p>
    <w:p w14:paraId="080DED60" w14:textId="77777777" w:rsidR="009130DC" w:rsidRDefault="008A3278">
      <w:pPr>
        <w:widowControl/>
        <w:rPr>
          <w:color w:val="FF0000"/>
        </w:rPr>
      </w:pPr>
      <w:r>
        <w:rPr>
          <w:color w:val="FF0000"/>
        </w:rPr>
        <w:t>Due date Section 003: Friday, September 29, 2017 (before the beginning of the class)</w:t>
      </w:r>
    </w:p>
    <w:p w14:paraId="195836D9" w14:textId="77777777" w:rsidR="009130DC" w:rsidRDefault="009130DC"/>
    <w:p w14:paraId="683CD46F" w14:textId="77777777" w:rsidR="009130DC" w:rsidRDefault="008A3278">
      <w:pPr>
        <w:pStyle w:val="Heading1"/>
        <w:numPr>
          <w:ilvl w:val="0"/>
          <w:numId w:val="1"/>
        </w:numPr>
      </w:pPr>
      <w:bookmarkStart w:id="1" w:name="_gjdgxs" w:colFirst="0" w:colLast="0"/>
      <w:bookmarkEnd w:id="1"/>
      <w:r>
        <w:t>Brief Description</w:t>
      </w:r>
    </w:p>
    <w:p w14:paraId="00AE899C" w14:textId="77777777" w:rsidR="009130DC" w:rsidRDefault="008A3278">
      <w:r>
        <w:t>This homework provides you a chance to practice writing Use Cases, which in turn will help you write better User Stories.</w:t>
      </w:r>
    </w:p>
    <w:p w14:paraId="42E1CCA2" w14:textId="77777777" w:rsidR="009130DC" w:rsidRDefault="008A3278">
      <w:r>
        <w:t xml:space="preserve">You need to </w:t>
      </w:r>
      <w:r>
        <w:rPr>
          <w:b/>
        </w:rPr>
        <w:t>write a single Use Case for the Tic-Tac-Toe game</w:t>
      </w:r>
      <w:r>
        <w:t xml:space="preserve">, when </w:t>
      </w:r>
      <w:r>
        <w:rPr>
          <w:b/>
        </w:rPr>
        <w:t>one of the Players in a multi-player game makes a move in Tic-Tac-T</w:t>
      </w:r>
      <w:r>
        <w:rPr>
          <w:b/>
        </w:rPr>
        <w:t>oe.</w:t>
      </w:r>
      <w:r>
        <w:t xml:space="preserve">  </w:t>
      </w:r>
    </w:p>
    <w:p w14:paraId="6B744E13" w14:textId="77777777" w:rsidR="009130DC" w:rsidRDefault="008A3278">
      <w:r>
        <w:t xml:space="preserve">You will need to write Alternate Sequences to handle the exceptions to the Main Sequence (e.g. This Player wins).  Be sure to be </w:t>
      </w:r>
      <w:r>
        <w:rPr>
          <w:b/>
          <w:color w:val="FF0000"/>
        </w:rPr>
        <w:t>very thorough</w:t>
      </w:r>
      <w:r>
        <w:t>, describing exactly what the Player does and how the game responds to that interaction.  Most points are lo</w:t>
      </w:r>
      <w:r>
        <w:t>st for lack-of-detail.  Please remember that, unlike User Stories (which describes a user’s need), a Use Case describes how an actor (user) interacts with the software system.</w:t>
      </w:r>
    </w:p>
    <w:p w14:paraId="67E4116E" w14:textId="77777777" w:rsidR="009130DC" w:rsidRDefault="008A3278">
      <w:r>
        <w:t xml:space="preserve">The complete rules for Tic-Tac-Toe appear at, </w:t>
      </w:r>
      <w:hyperlink r:id="rId5">
        <w:r>
          <w:rPr>
            <w:color w:val="1155CC"/>
            <w:u w:val="single"/>
          </w:rPr>
          <w:t>https://en.wikipedia.org/wiki/Tic-tac-toe</w:t>
        </w:r>
      </w:hyperlink>
      <w:r>
        <w:t>.  Do not consider "variations" of the basic game.</w:t>
      </w:r>
    </w:p>
    <w:p w14:paraId="337DA3C5" w14:textId="77777777" w:rsidR="009130DC" w:rsidRDefault="008A3278">
      <w:pPr>
        <w:pStyle w:val="Heading1"/>
        <w:numPr>
          <w:ilvl w:val="0"/>
          <w:numId w:val="1"/>
        </w:numPr>
      </w:pPr>
      <w:r>
        <w:t>Use Case Format</w:t>
      </w:r>
    </w:p>
    <w:p w14:paraId="76008B3D" w14:textId="77777777" w:rsidR="009130DC" w:rsidRDefault="008A3278">
      <w:r>
        <w:t>There are many approaches to writing Use Cases (entire books have been written on the subject).  However, we will keep th</w:t>
      </w:r>
      <w:r>
        <w:t>ings simple and you will use the template described in the lecture, and not the one described in the textbook.</w:t>
      </w:r>
    </w:p>
    <w:p w14:paraId="0DEA98BA" w14:textId="77777777" w:rsidR="009130DC" w:rsidRDefault="008A3278">
      <w:r>
        <w:t>You will need the following sections for your Use Case:</w:t>
      </w:r>
    </w:p>
    <w:p w14:paraId="7BF1CAE5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Name</w:t>
      </w:r>
      <w:r>
        <w:t>:</w:t>
      </w:r>
    </w:p>
    <w:p w14:paraId="06019D4B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Description</w:t>
      </w:r>
      <w:r>
        <w:t xml:space="preserve">:  </w:t>
      </w:r>
    </w:p>
    <w:p w14:paraId="06FC0185" w14:textId="77777777" w:rsidR="009130DC" w:rsidRDefault="008A3278">
      <w:pPr>
        <w:numPr>
          <w:ilvl w:val="1"/>
          <w:numId w:val="2"/>
        </w:numPr>
        <w:contextualSpacing/>
      </w:pPr>
      <w:r>
        <w:t>Use “One player in a multi-player game makes a move” for example</w:t>
      </w:r>
    </w:p>
    <w:p w14:paraId="0CD2F26F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Act</w:t>
      </w:r>
      <w:r>
        <w:rPr>
          <w:b/>
        </w:rPr>
        <w:t>ors</w:t>
      </w:r>
      <w:r>
        <w:t>:</w:t>
      </w:r>
    </w:p>
    <w:p w14:paraId="13AB38C2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Preconditions</w:t>
      </w:r>
      <w:r>
        <w:t>:</w:t>
      </w:r>
    </w:p>
    <w:p w14:paraId="2AAD394E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Main Sequence</w:t>
      </w:r>
      <w:r>
        <w:t xml:space="preserve"> (informally, the "Happy Path")</w:t>
      </w:r>
    </w:p>
    <w:p w14:paraId="527C1C1C" w14:textId="77777777" w:rsidR="009130DC" w:rsidRDefault="008A3278">
      <w:pPr>
        <w:numPr>
          <w:ilvl w:val="0"/>
          <w:numId w:val="2"/>
        </w:numPr>
        <w:contextualSpacing/>
      </w:pPr>
      <w:r>
        <w:rPr>
          <w:b/>
        </w:rPr>
        <w:t>Alternate Sequences</w:t>
      </w:r>
    </w:p>
    <w:p w14:paraId="7E4F2F8A" w14:textId="77777777" w:rsidR="009130DC" w:rsidRDefault="009130DC"/>
    <w:p w14:paraId="3EDFCB60" w14:textId="77777777" w:rsidR="009130DC" w:rsidRDefault="008A3278">
      <w:pPr>
        <w:pStyle w:val="Heading1"/>
        <w:numPr>
          <w:ilvl w:val="0"/>
          <w:numId w:val="1"/>
        </w:numPr>
      </w:pPr>
      <w:r>
        <w:t>Submission</w:t>
      </w:r>
    </w:p>
    <w:p w14:paraId="2A8A00A9" w14:textId="77777777" w:rsidR="009130DC" w:rsidRDefault="008A3278">
      <w:r>
        <w:t xml:space="preserve">Submit your Use Case as a PDF file via </w:t>
      </w:r>
      <w:hyperlink r:id="rId6">
        <w:r>
          <w:rPr>
            <w:color w:val="0000FF"/>
            <w:u w:val="single"/>
          </w:rPr>
          <w:t>Blackboard</w:t>
        </w:r>
      </w:hyperlink>
      <w:r>
        <w:t xml:space="preserve"> (see HW2UseCases assignment).</w:t>
      </w:r>
    </w:p>
    <w:p w14:paraId="0B48249F" w14:textId="77777777" w:rsidR="009130DC" w:rsidRDefault="009130DC">
      <w:pPr>
        <w:ind w:left="1872" w:firstLine="0"/>
      </w:pPr>
    </w:p>
    <w:p w14:paraId="69B19757" w14:textId="77777777" w:rsidR="009130DC" w:rsidRDefault="008A3278">
      <w:pPr>
        <w:pStyle w:val="Heading1"/>
        <w:numPr>
          <w:ilvl w:val="0"/>
          <w:numId w:val="1"/>
        </w:numPr>
      </w:pPr>
      <w:r>
        <w:t>Grading Rubric</w:t>
      </w:r>
    </w:p>
    <w:p w14:paraId="5D07CB8E" w14:textId="77777777" w:rsidR="009130DC" w:rsidRDefault="008A3278">
      <w:r>
        <w:t>The maximum points for this homework representing 3% of the final grade is 100, and the points are distributed as follows:</w:t>
      </w:r>
    </w:p>
    <w:p w14:paraId="0F18F675" w14:textId="77777777" w:rsidR="009130DC" w:rsidRDefault="009130DC">
      <w:pPr>
        <w:rPr>
          <w:highlight w:val="yellow"/>
        </w:rPr>
      </w:pPr>
    </w:p>
    <w:tbl>
      <w:tblPr>
        <w:tblStyle w:val="a"/>
        <w:tblW w:w="73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10"/>
        <w:gridCol w:w="1395"/>
      </w:tblGrid>
      <w:tr w:rsidR="009130DC" w14:paraId="7079E157" w14:textId="77777777">
        <w:trPr>
          <w:jc w:val="center"/>
        </w:trPr>
        <w:tc>
          <w:tcPr>
            <w:tcW w:w="5910" w:type="dxa"/>
            <w:shd w:val="clear" w:color="auto" w:fill="D9D9D9"/>
          </w:tcPr>
          <w:p w14:paraId="4BB3A13F" w14:textId="77777777" w:rsidR="009130DC" w:rsidRDefault="008A3278">
            <w:pPr>
              <w:ind w:firstLine="0"/>
              <w:jc w:val="left"/>
              <w:rPr>
                <w:b/>
                <w:highlight w:val="yellow"/>
              </w:rPr>
            </w:pPr>
            <w:r>
              <w:rPr>
                <w:b/>
              </w:rPr>
              <w:t>Item</w:t>
            </w:r>
          </w:p>
        </w:tc>
        <w:tc>
          <w:tcPr>
            <w:tcW w:w="1395" w:type="dxa"/>
            <w:shd w:val="clear" w:color="auto" w:fill="D9D9D9"/>
          </w:tcPr>
          <w:p w14:paraId="453DD750" w14:textId="77777777" w:rsidR="009130DC" w:rsidRDefault="008A3278">
            <w:pPr>
              <w:ind w:firstLine="0"/>
              <w:jc w:val="right"/>
              <w:rPr>
                <w:b/>
                <w:highlight w:val="yellow"/>
              </w:rPr>
            </w:pPr>
            <w:r>
              <w:rPr>
                <w:b/>
              </w:rPr>
              <w:t>Points</w:t>
            </w:r>
          </w:p>
        </w:tc>
      </w:tr>
      <w:tr w:rsidR="009130DC" w14:paraId="2A12102C" w14:textId="77777777">
        <w:trPr>
          <w:jc w:val="center"/>
        </w:trPr>
        <w:tc>
          <w:tcPr>
            <w:tcW w:w="5910" w:type="dxa"/>
          </w:tcPr>
          <w:p w14:paraId="0EC6B92D" w14:textId="77777777" w:rsidR="009130DC" w:rsidRDefault="008A3278">
            <w:pPr>
              <w:ind w:firstLine="0"/>
              <w:jc w:val="left"/>
              <w:rPr>
                <w:highlight w:val="yellow"/>
              </w:rPr>
            </w:pPr>
            <w:r>
              <w:t>Identified correct actors</w:t>
            </w:r>
          </w:p>
        </w:tc>
        <w:tc>
          <w:tcPr>
            <w:tcW w:w="1395" w:type="dxa"/>
          </w:tcPr>
          <w:p w14:paraId="78BA9C7B" w14:textId="77777777" w:rsidR="009130DC" w:rsidRDefault="008A3278">
            <w:pPr>
              <w:ind w:firstLine="0"/>
              <w:jc w:val="right"/>
              <w:rPr>
                <w:highlight w:val="yellow"/>
              </w:rPr>
            </w:pPr>
            <w:r>
              <w:t>10</w:t>
            </w:r>
          </w:p>
        </w:tc>
      </w:tr>
      <w:tr w:rsidR="009130DC" w14:paraId="43014D0A" w14:textId="77777777">
        <w:trPr>
          <w:jc w:val="center"/>
        </w:trPr>
        <w:tc>
          <w:tcPr>
            <w:tcW w:w="5910" w:type="dxa"/>
          </w:tcPr>
          <w:p w14:paraId="12033AA2" w14:textId="77777777" w:rsidR="009130DC" w:rsidRDefault="008A3278">
            <w:pPr>
              <w:ind w:firstLine="0"/>
              <w:jc w:val="left"/>
              <w:rPr>
                <w:highlight w:val="yellow"/>
              </w:rPr>
            </w:pPr>
            <w:r>
              <w:t>Correct preconditions</w:t>
            </w:r>
          </w:p>
        </w:tc>
        <w:tc>
          <w:tcPr>
            <w:tcW w:w="1395" w:type="dxa"/>
          </w:tcPr>
          <w:p w14:paraId="20ED19BE" w14:textId="77777777" w:rsidR="009130DC" w:rsidRDefault="008A3278">
            <w:pPr>
              <w:ind w:firstLine="0"/>
              <w:jc w:val="right"/>
              <w:rPr>
                <w:highlight w:val="yellow"/>
              </w:rPr>
            </w:pPr>
            <w:r>
              <w:t>10</w:t>
            </w:r>
          </w:p>
        </w:tc>
      </w:tr>
      <w:tr w:rsidR="009130DC" w14:paraId="18C7C254" w14:textId="77777777">
        <w:trPr>
          <w:jc w:val="center"/>
        </w:trPr>
        <w:tc>
          <w:tcPr>
            <w:tcW w:w="5910" w:type="dxa"/>
          </w:tcPr>
          <w:p w14:paraId="23F54942" w14:textId="77777777" w:rsidR="009130DC" w:rsidRDefault="008A3278">
            <w:pPr>
              <w:ind w:firstLine="0"/>
              <w:jc w:val="left"/>
              <w:rPr>
                <w:highlight w:val="yellow"/>
              </w:rPr>
            </w:pPr>
            <w:r>
              <w:t>Main sequence and alternate sequences</w:t>
            </w:r>
          </w:p>
        </w:tc>
        <w:tc>
          <w:tcPr>
            <w:tcW w:w="1395" w:type="dxa"/>
          </w:tcPr>
          <w:p w14:paraId="14082D8A" w14:textId="77777777" w:rsidR="009130DC" w:rsidRDefault="008A3278">
            <w:pPr>
              <w:ind w:firstLine="0"/>
              <w:jc w:val="right"/>
              <w:rPr>
                <w:highlight w:val="yellow"/>
              </w:rPr>
            </w:pPr>
            <w:r>
              <w:t>80</w:t>
            </w:r>
          </w:p>
        </w:tc>
      </w:tr>
    </w:tbl>
    <w:p w14:paraId="4276D706" w14:textId="77777777" w:rsidR="009130DC" w:rsidRDefault="009130DC">
      <w:pPr>
        <w:ind w:firstLine="0"/>
      </w:pPr>
    </w:p>
    <w:p w14:paraId="6423D818" w14:textId="77777777" w:rsidR="009130DC" w:rsidRDefault="009130DC">
      <w:pPr>
        <w:ind w:left="1152" w:firstLine="0"/>
      </w:pPr>
    </w:p>
    <w:sectPr w:rsidR="009130DC">
      <w:pgSz w:w="12240" w:h="15840"/>
      <w:pgMar w:top="432" w:right="720" w:bottom="432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161EE"/>
    <w:multiLevelType w:val="multilevel"/>
    <w:tmpl w:val="7370F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A6073"/>
    <w:multiLevelType w:val="multilevel"/>
    <w:tmpl w:val="A886932E"/>
    <w:lvl w:ilvl="0">
      <w:start w:val="1"/>
      <w:numFmt w:val="bullet"/>
      <w:lvlText w:val="●"/>
      <w:lvlJc w:val="left"/>
      <w:pPr>
        <w:ind w:left="115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30DC"/>
    <w:rsid w:val="008A3278"/>
    <w:rsid w:val="0091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13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="Palatino Linotype" w:hAnsi="Palatino Linotype" w:cs="Palatino Linotype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3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Tic-tac-toe" TargetMode="External"/><Relationship Id="rId6" Type="http://schemas.openxmlformats.org/officeDocument/2006/relationships/hyperlink" Target="http://blackboard.boisestate.ed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Macintosh Word</Application>
  <DocSecurity>0</DocSecurity>
  <Lines>14</Lines>
  <Paragraphs>4</Paragraphs>
  <ScaleCrop>false</ScaleCrop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Marshall Eddy</cp:lastModifiedBy>
  <cp:revision>2</cp:revision>
  <dcterms:created xsi:type="dcterms:W3CDTF">2017-09-27T02:38:00Z</dcterms:created>
  <dcterms:modified xsi:type="dcterms:W3CDTF">2017-09-27T02:38:00Z</dcterms:modified>
</cp:coreProperties>
</file>