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CCA0" w14:textId="444C18C2" w:rsidR="00A07283" w:rsidRPr="002055B9" w:rsidRDefault="00A07283" w:rsidP="002055B9">
      <w:pPr>
        <w:spacing w:after="0" w:line="480" w:lineRule="auto"/>
        <w:rPr>
          <w:rFonts w:ascii="Arial" w:hAnsi="Arial" w:cs="Arial"/>
          <w:b/>
          <w:bCs/>
        </w:rPr>
      </w:pPr>
      <w:r w:rsidRPr="002055B9">
        <w:rPr>
          <w:rFonts w:ascii="Arial" w:hAnsi="Arial" w:cs="Arial"/>
          <w:b/>
          <w:bCs/>
        </w:rPr>
        <w:t>Project 2 Data Analysis Plan</w:t>
      </w:r>
      <w:r w:rsidR="002055B9" w:rsidRPr="002055B9">
        <w:rPr>
          <w:rFonts w:ascii="Arial" w:hAnsi="Arial" w:cs="Arial"/>
        </w:rPr>
        <w:t xml:space="preserve"> - </w:t>
      </w:r>
      <w:r w:rsidRPr="002055B9">
        <w:rPr>
          <w:rFonts w:ascii="Arial" w:hAnsi="Arial" w:cs="Arial"/>
        </w:rPr>
        <w:t>Marshall Roll</w:t>
      </w:r>
    </w:p>
    <w:p w14:paraId="44F1F176" w14:textId="20CBAEB8" w:rsidR="00A07283" w:rsidRPr="002055B9" w:rsidRDefault="00A07283" w:rsidP="002055B9">
      <w:pPr>
        <w:spacing w:after="0" w:line="480" w:lineRule="auto"/>
        <w:rPr>
          <w:rFonts w:ascii="Arial" w:hAnsi="Arial" w:cs="Arial"/>
          <w:b/>
          <w:bCs/>
          <w:u w:val="single"/>
        </w:rPr>
      </w:pPr>
      <w:r w:rsidRPr="002055B9">
        <w:rPr>
          <w:rFonts w:ascii="Arial" w:hAnsi="Arial" w:cs="Arial"/>
          <w:b/>
          <w:bCs/>
          <w:u w:val="single"/>
        </w:rPr>
        <w:t>Aim 1 Analysis Plan</w:t>
      </w:r>
    </w:p>
    <w:p w14:paraId="68561A01" w14:textId="40AD4164" w:rsidR="004519CB" w:rsidRDefault="00216B7B" w:rsidP="002055B9">
      <w:pPr>
        <w:spacing w:line="480" w:lineRule="auto"/>
        <w:rPr>
          <w:rFonts w:ascii="Arial" w:hAnsi="Arial" w:cs="Arial"/>
        </w:rPr>
      </w:pPr>
      <w:r>
        <w:rPr>
          <w:rFonts w:ascii="Arial" w:hAnsi="Arial" w:cs="Arial"/>
        </w:rPr>
        <w:t>As outcome variables, we</w:t>
      </w:r>
      <w:r w:rsidR="002055B9" w:rsidRPr="002055B9">
        <w:rPr>
          <w:rFonts w:ascii="Arial" w:hAnsi="Arial" w:cs="Arial"/>
        </w:rPr>
        <w:t xml:space="preserve"> will use the one-year change in five cognitive </w:t>
      </w:r>
      <w:r>
        <w:rPr>
          <w:rFonts w:ascii="Arial" w:hAnsi="Arial" w:cs="Arial"/>
        </w:rPr>
        <w:t xml:space="preserve">measures </w:t>
      </w:r>
      <w:r w:rsidR="002055B9" w:rsidRPr="002055B9">
        <w:rPr>
          <w:rFonts w:ascii="Arial" w:hAnsi="Arial" w:cs="Arial"/>
        </w:rPr>
        <w:t xml:space="preserve">(Grant Table 3) and the one-year change in one measure of brain structure (mean cortical thickness across AD regions). The primary explanatory variables will be 4 key cytokines measuring peripheral inflammation (Eotaxin-1, IL-6, TNF-alpha, and MCP-1). </w:t>
      </w:r>
      <w:r w:rsidR="00515E96" w:rsidRPr="00515E96">
        <w:rPr>
          <w:rFonts w:ascii="Arial" w:hAnsi="Arial" w:cs="Arial"/>
        </w:rPr>
        <w:t xml:space="preserve">An omnibus F-test will first be used to assess the global significance of the model containing all four </w:t>
      </w:r>
      <w:r w:rsidR="00792AB8">
        <w:rPr>
          <w:rFonts w:ascii="Arial" w:hAnsi="Arial" w:cs="Arial"/>
        </w:rPr>
        <w:t>key explanatory variables</w:t>
      </w:r>
      <w:r w:rsidR="00515E96">
        <w:rPr>
          <w:rFonts w:ascii="Arial" w:hAnsi="Arial" w:cs="Arial"/>
        </w:rPr>
        <w:t>.</w:t>
      </w:r>
      <w:r w:rsidR="00515E96" w:rsidRPr="00515E96">
        <w:rPr>
          <w:rFonts w:ascii="Arial" w:hAnsi="Arial" w:cs="Arial"/>
        </w:rPr>
        <w:t xml:space="preserve"> To account for the high</w:t>
      </w:r>
      <w:r w:rsidR="00515E96">
        <w:rPr>
          <w:rFonts w:ascii="Arial" w:hAnsi="Arial" w:cs="Arial"/>
        </w:rPr>
        <w:t xml:space="preserve"> </w:t>
      </w:r>
      <w:r w:rsidR="00515E96" w:rsidRPr="00515E96">
        <w:rPr>
          <w:rFonts w:ascii="Arial" w:hAnsi="Arial" w:cs="Arial"/>
        </w:rPr>
        <w:t>expected multicollinearity</w:t>
      </w:r>
      <w:r w:rsidR="00515E96">
        <w:rPr>
          <w:rFonts w:ascii="Arial" w:hAnsi="Arial" w:cs="Arial"/>
        </w:rPr>
        <w:t xml:space="preserve"> (pilot study: </w:t>
      </w:r>
      <w:r w:rsidR="00515E96">
        <w:rPr>
          <w:rFonts w:ascii="Arial" w:hAnsi="Arial" w:cs="Arial"/>
          <w:i/>
          <w:iCs/>
        </w:rPr>
        <w:t xml:space="preserve">r = </w:t>
      </w:r>
      <w:r w:rsidR="00515E96" w:rsidRPr="00515E96">
        <w:rPr>
          <w:rFonts w:ascii="Arial" w:hAnsi="Arial" w:cs="Arial"/>
        </w:rPr>
        <w:t>0.93</w:t>
      </w:r>
      <w:r w:rsidR="00515E96">
        <w:rPr>
          <w:rFonts w:ascii="Arial" w:hAnsi="Arial" w:cs="Arial"/>
        </w:rPr>
        <w:t xml:space="preserve"> </w:t>
      </w:r>
      <w:r w:rsidR="00515E96" w:rsidRPr="00515E96">
        <w:rPr>
          <w:rFonts w:ascii="Arial" w:hAnsi="Arial" w:cs="Arial"/>
        </w:rPr>
        <w:t xml:space="preserve">between </w:t>
      </w:r>
      <w:r w:rsidR="00515E96">
        <w:rPr>
          <w:rFonts w:ascii="Arial" w:hAnsi="Arial" w:cs="Arial"/>
        </w:rPr>
        <w:t xml:space="preserve">IL-6 </w:t>
      </w:r>
      <w:r w:rsidR="00515E96" w:rsidRPr="00515E96">
        <w:rPr>
          <w:rFonts w:ascii="Arial" w:hAnsi="Arial" w:cs="Arial"/>
        </w:rPr>
        <w:t xml:space="preserve">and </w:t>
      </w:r>
      <w:r w:rsidR="00515E96">
        <w:rPr>
          <w:rFonts w:ascii="Arial" w:hAnsi="Arial" w:cs="Arial"/>
        </w:rPr>
        <w:t xml:space="preserve">MCP-1, n = 30), upon </w:t>
      </w:r>
      <w:r w:rsidR="00515E96" w:rsidRPr="00515E96">
        <w:rPr>
          <w:rFonts w:ascii="Arial" w:hAnsi="Arial" w:cs="Arial"/>
        </w:rPr>
        <w:t xml:space="preserve">rejection of the omnibus null hypothesis, separate linear regression models will be </w:t>
      </w:r>
      <w:r w:rsidR="00515E96">
        <w:rPr>
          <w:rFonts w:ascii="Arial" w:hAnsi="Arial" w:cs="Arial"/>
        </w:rPr>
        <w:t>fit</w:t>
      </w:r>
      <w:r w:rsidR="00515E96" w:rsidRPr="00515E96">
        <w:rPr>
          <w:rFonts w:ascii="Arial" w:hAnsi="Arial" w:cs="Arial"/>
        </w:rPr>
        <w:t xml:space="preserve"> </w:t>
      </w:r>
      <w:r w:rsidR="00515E96">
        <w:rPr>
          <w:rFonts w:ascii="Arial" w:hAnsi="Arial" w:cs="Arial"/>
        </w:rPr>
        <w:t xml:space="preserve">estimating </w:t>
      </w:r>
      <w:r w:rsidR="00515E96" w:rsidRPr="00515E96">
        <w:rPr>
          <w:rFonts w:ascii="Arial" w:hAnsi="Arial" w:cs="Arial"/>
        </w:rPr>
        <w:t xml:space="preserve">the marginal relationship between each biomarker and the outcome (Hypothesis 1a). This sequential approach ensures that individual associations are only explored when the </w:t>
      </w:r>
      <w:r w:rsidR="00515E96">
        <w:rPr>
          <w:rFonts w:ascii="Arial" w:hAnsi="Arial" w:cs="Arial"/>
        </w:rPr>
        <w:t xml:space="preserve">overall association </w:t>
      </w:r>
      <w:r w:rsidR="00515E96" w:rsidRPr="00515E96">
        <w:rPr>
          <w:rFonts w:ascii="Arial" w:hAnsi="Arial" w:cs="Arial"/>
        </w:rPr>
        <w:t xml:space="preserve">of the biomarkers </w:t>
      </w:r>
      <w:r w:rsidR="00515E96">
        <w:rPr>
          <w:rFonts w:ascii="Arial" w:hAnsi="Arial" w:cs="Arial"/>
        </w:rPr>
        <w:t xml:space="preserve">and the outcomes are </w:t>
      </w:r>
      <w:r w:rsidR="00515E96" w:rsidRPr="00515E96">
        <w:rPr>
          <w:rFonts w:ascii="Arial" w:hAnsi="Arial" w:cs="Arial"/>
        </w:rPr>
        <w:t>statistically established.</w:t>
      </w:r>
      <w:r w:rsidR="00515E96">
        <w:rPr>
          <w:rFonts w:ascii="Arial" w:hAnsi="Arial" w:cs="Arial"/>
        </w:rPr>
        <w:t xml:space="preserve"> </w:t>
      </w:r>
      <w:r w:rsidR="002055B9">
        <w:rPr>
          <w:rFonts w:ascii="Arial" w:hAnsi="Arial" w:cs="Arial"/>
        </w:rPr>
        <w:t>W</w:t>
      </w:r>
      <w:r w:rsidR="002055B9" w:rsidRPr="002055B9">
        <w:rPr>
          <w:rFonts w:ascii="Arial" w:hAnsi="Arial" w:cs="Arial"/>
        </w:rPr>
        <w:t>e will also model the outcome variables with the 1-year change in the level of the explanatory variables to determine whether greater changes in peripheral inflammation are associated with larger cognitive decline and cortical thickness (Hypothesis 1b). We will control for age</w:t>
      </w:r>
      <w:r w:rsidR="002055B9">
        <w:rPr>
          <w:rFonts w:ascii="Arial" w:hAnsi="Arial" w:cs="Arial"/>
        </w:rPr>
        <w:t xml:space="preserve">, </w:t>
      </w:r>
      <w:r w:rsidR="002055B9" w:rsidRPr="002055B9">
        <w:rPr>
          <w:rFonts w:ascii="Arial" w:hAnsi="Arial" w:cs="Arial"/>
        </w:rPr>
        <w:t>sex</w:t>
      </w:r>
      <w:r w:rsidR="002055B9">
        <w:rPr>
          <w:rFonts w:ascii="Arial" w:hAnsi="Arial" w:cs="Arial"/>
        </w:rPr>
        <w:t xml:space="preserve">, and the baseline value of the outcome in </w:t>
      </w:r>
      <w:r w:rsidR="002055B9" w:rsidRPr="002055B9">
        <w:rPr>
          <w:rFonts w:ascii="Arial" w:hAnsi="Arial" w:cs="Arial"/>
        </w:rPr>
        <w:t>each</w:t>
      </w:r>
      <w:r w:rsidR="00515E96">
        <w:rPr>
          <w:rFonts w:ascii="Arial" w:hAnsi="Arial" w:cs="Arial"/>
        </w:rPr>
        <w:t xml:space="preserve"> of these</w:t>
      </w:r>
      <w:r w:rsidR="002055B9" w:rsidRPr="002055B9">
        <w:rPr>
          <w:rFonts w:ascii="Arial" w:hAnsi="Arial" w:cs="Arial"/>
        </w:rPr>
        <w:t xml:space="preserve"> model</w:t>
      </w:r>
      <w:r w:rsidR="00515E96">
        <w:rPr>
          <w:rFonts w:ascii="Arial" w:hAnsi="Arial" w:cs="Arial"/>
        </w:rPr>
        <w:t>s</w:t>
      </w:r>
      <w:r w:rsidR="002055B9" w:rsidRPr="002055B9">
        <w:rPr>
          <w:rFonts w:ascii="Arial" w:hAnsi="Arial" w:cs="Arial"/>
        </w:rPr>
        <w:t xml:space="preserve">. Other covariates including demographics, functional and behavioral scores, medication use, cardiovascular risk metrics, APOE genotype, and other diagnostic information, will be selected using both clinical relevance </w:t>
      </w:r>
      <w:r w:rsidR="00515E96">
        <w:rPr>
          <w:rFonts w:ascii="Arial" w:hAnsi="Arial" w:cs="Arial"/>
        </w:rPr>
        <w:t xml:space="preserve">and their observed relationship between outcomes </w:t>
      </w:r>
      <w:r>
        <w:rPr>
          <w:rFonts w:ascii="Arial" w:hAnsi="Arial" w:cs="Arial"/>
        </w:rPr>
        <w:t xml:space="preserve">(covariates explaining little variability will not be included) </w:t>
      </w:r>
      <w:r w:rsidR="00515E96">
        <w:rPr>
          <w:rFonts w:ascii="Arial" w:hAnsi="Arial" w:cs="Arial"/>
        </w:rPr>
        <w:t>and explanatory variables</w:t>
      </w:r>
      <w:r>
        <w:rPr>
          <w:rFonts w:ascii="Arial" w:hAnsi="Arial" w:cs="Arial"/>
        </w:rPr>
        <w:t xml:space="preserve"> (two or more highly correlated variables will not both be included)</w:t>
      </w:r>
      <w:r w:rsidR="00515E96">
        <w:rPr>
          <w:rFonts w:ascii="Arial" w:hAnsi="Arial" w:cs="Arial"/>
        </w:rPr>
        <w:t xml:space="preserve">. </w:t>
      </w:r>
      <w:r w:rsidR="00F45910">
        <w:rPr>
          <w:rFonts w:ascii="Arial" w:hAnsi="Arial" w:cs="Arial"/>
        </w:rPr>
        <w:t>S</w:t>
      </w:r>
      <w:r w:rsidR="00515E96">
        <w:rPr>
          <w:rFonts w:ascii="Arial" w:hAnsi="Arial" w:cs="Arial"/>
        </w:rPr>
        <w:t xml:space="preserve">ensitivity analysis will also be conducted to determine the effect of added covariates in the model </w:t>
      </w:r>
      <w:r w:rsidR="00515E96">
        <w:rPr>
          <w:rFonts w:ascii="Arial" w:hAnsi="Arial" w:cs="Arial"/>
        </w:rPr>
        <w:lastRenderedPageBreak/>
        <w:t xml:space="preserve">beyond age and sex; if differences </w:t>
      </w:r>
      <w:r>
        <w:rPr>
          <w:rFonts w:ascii="Arial" w:hAnsi="Arial" w:cs="Arial"/>
        </w:rPr>
        <w:t xml:space="preserve">in predicted effects </w:t>
      </w:r>
      <w:r w:rsidR="00515E96">
        <w:rPr>
          <w:rFonts w:ascii="Arial" w:hAnsi="Arial" w:cs="Arial"/>
        </w:rPr>
        <w:t xml:space="preserve">are minimal, additional covariates will not be considered. </w:t>
      </w:r>
    </w:p>
    <w:p w14:paraId="3CB46772" w14:textId="77777777" w:rsidR="00216B7B" w:rsidRDefault="00216B7B" w:rsidP="00216B7B">
      <w:pPr>
        <w:spacing w:after="0" w:line="480" w:lineRule="auto"/>
        <w:rPr>
          <w:rFonts w:ascii="Arial" w:hAnsi="Arial" w:cs="Arial"/>
          <w:b/>
          <w:bCs/>
          <w:u w:val="single"/>
        </w:rPr>
      </w:pPr>
      <w:r>
        <w:rPr>
          <w:rFonts w:ascii="Arial" w:hAnsi="Arial" w:cs="Arial"/>
          <w:b/>
          <w:bCs/>
          <w:u w:val="single"/>
        </w:rPr>
        <w:t>Aim 2 Analysis Plan</w:t>
      </w:r>
    </w:p>
    <w:p w14:paraId="23DF2041" w14:textId="024521DC" w:rsidR="00216B7B" w:rsidRDefault="00216B7B" w:rsidP="00216B7B">
      <w:pPr>
        <w:spacing w:after="0" w:line="480" w:lineRule="auto"/>
        <w:rPr>
          <w:rFonts w:ascii="Arial" w:hAnsi="Arial" w:cs="Arial"/>
        </w:rPr>
      </w:pPr>
      <w:r w:rsidRPr="00216B7B">
        <w:rPr>
          <w:rFonts w:ascii="Arial" w:hAnsi="Arial" w:cs="Arial"/>
        </w:rPr>
        <w:t xml:space="preserve">We will repeat </w:t>
      </w:r>
      <w:r>
        <w:rPr>
          <w:rFonts w:ascii="Arial" w:hAnsi="Arial" w:cs="Arial"/>
        </w:rPr>
        <w:t xml:space="preserve">the same analysis process as in aim 1, with identical </w:t>
      </w:r>
      <w:r w:rsidRPr="00216B7B">
        <w:rPr>
          <w:rFonts w:ascii="Arial" w:hAnsi="Arial" w:cs="Arial"/>
        </w:rPr>
        <w:t>outcomes but include a</w:t>
      </w:r>
      <w:r w:rsidR="00A076FD">
        <w:rPr>
          <w:rFonts w:ascii="Arial" w:hAnsi="Arial" w:cs="Arial"/>
        </w:rPr>
        <w:t xml:space="preserve"> main effect of amyloid deposition and an</w:t>
      </w:r>
      <w:r w:rsidRPr="00216B7B">
        <w:rPr>
          <w:rFonts w:ascii="Arial" w:hAnsi="Arial" w:cs="Arial"/>
        </w:rPr>
        <w:t xml:space="preserve"> interaction term between </w:t>
      </w:r>
      <w:r w:rsidR="00166DD9">
        <w:rPr>
          <w:rFonts w:ascii="Arial" w:hAnsi="Arial" w:cs="Arial"/>
        </w:rPr>
        <w:t xml:space="preserve">amyloid deposition </w:t>
      </w:r>
      <w:r w:rsidRPr="00216B7B">
        <w:rPr>
          <w:rFonts w:ascii="Arial" w:hAnsi="Arial" w:cs="Arial"/>
        </w:rPr>
        <w:t>and each of the four peripheral inflammation markers. For aim 2, however, we will only model the outcomes as a function of the 1-year change in the explanatory variables</w:t>
      </w:r>
      <w:r w:rsidR="00B067B5">
        <w:rPr>
          <w:rFonts w:ascii="Arial" w:hAnsi="Arial" w:cs="Arial"/>
        </w:rPr>
        <w:t xml:space="preserve"> </w:t>
      </w:r>
      <w:r w:rsidR="0026675C">
        <w:rPr>
          <w:rFonts w:ascii="Arial" w:hAnsi="Arial" w:cs="Arial"/>
        </w:rPr>
        <w:t xml:space="preserve">to capture </w:t>
      </w:r>
      <w:r w:rsidR="0026675C" w:rsidRPr="0026675C">
        <w:rPr>
          <w:rFonts w:ascii="Arial" w:hAnsi="Arial" w:cs="Arial"/>
        </w:rPr>
        <w:t xml:space="preserve">the </w:t>
      </w:r>
      <w:r w:rsidR="0026675C">
        <w:rPr>
          <w:rFonts w:ascii="Arial" w:hAnsi="Arial" w:cs="Arial"/>
        </w:rPr>
        <w:t xml:space="preserve">rate </w:t>
      </w:r>
      <w:r w:rsidR="0026675C" w:rsidRPr="0026675C">
        <w:rPr>
          <w:rFonts w:ascii="Arial" w:hAnsi="Arial" w:cs="Arial"/>
        </w:rPr>
        <w:t>of AD progression while maintaining a simplified testing structure</w:t>
      </w:r>
      <w:r w:rsidRPr="00216B7B">
        <w:rPr>
          <w:rFonts w:ascii="Arial" w:hAnsi="Arial" w:cs="Arial"/>
        </w:rPr>
        <w:t xml:space="preserve">. </w:t>
      </w:r>
      <w:r w:rsidR="0072519D">
        <w:rPr>
          <w:rFonts w:ascii="Arial" w:hAnsi="Arial" w:cs="Arial"/>
        </w:rPr>
        <w:t xml:space="preserve">Amyloid deposition will be considered in primary analysis as a continuous variable. </w:t>
      </w:r>
      <w:r w:rsidRPr="00216B7B">
        <w:rPr>
          <w:rFonts w:ascii="Arial" w:hAnsi="Arial" w:cs="Arial"/>
        </w:rPr>
        <w:t>Statistically significant values of the interaction terms between peripheral inflammation markers and amyloid deposition will be taken as evidence in support of hypothesis 2.</w:t>
      </w:r>
      <w:r w:rsidR="0072519D" w:rsidRPr="0072519D">
        <w:rPr>
          <w:rFonts w:ascii="Arial" w:hAnsi="Arial" w:cs="Arial"/>
        </w:rPr>
        <w:t xml:space="preserve"> </w:t>
      </w:r>
      <w:r w:rsidR="0072519D">
        <w:rPr>
          <w:rFonts w:ascii="Arial" w:hAnsi="Arial" w:cs="Arial"/>
        </w:rPr>
        <w:t>The testing structure (</w:t>
      </w:r>
      <w:r w:rsidR="00792AB8">
        <w:rPr>
          <w:rFonts w:ascii="Arial" w:hAnsi="Arial" w:cs="Arial"/>
        </w:rPr>
        <w:t>overall</w:t>
      </w:r>
      <w:r w:rsidR="0072519D">
        <w:rPr>
          <w:rFonts w:ascii="Arial" w:hAnsi="Arial" w:cs="Arial"/>
        </w:rPr>
        <w:t xml:space="preserve"> F-test and subsequent individual linear regressions) and covariate inclusion process will be the same as in aim 1.</w:t>
      </w:r>
    </w:p>
    <w:p w14:paraId="0C6A5895" w14:textId="10D9347C" w:rsidR="0026675C" w:rsidRDefault="0026675C" w:rsidP="00216B7B">
      <w:pPr>
        <w:spacing w:after="0" w:line="480" w:lineRule="auto"/>
        <w:rPr>
          <w:rFonts w:ascii="Arial" w:hAnsi="Arial" w:cs="Arial"/>
        </w:rPr>
      </w:pPr>
      <w:r>
        <w:rPr>
          <w:rFonts w:ascii="Arial" w:hAnsi="Arial" w:cs="Arial"/>
          <w:b/>
          <w:bCs/>
          <w:u w:val="single"/>
        </w:rPr>
        <w:t>Sample Size and Power Analysis</w:t>
      </w:r>
    </w:p>
    <w:p w14:paraId="0B3C0E7D" w14:textId="202C94CE" w:rsidR="00C169F6" w:rsidRDefault="00BF7196" w:rsidP="00216B7B">
      <w:pPr>
        <w:spacing w:after="0" w:line="480" w:lineRule="auto"/>
        <w:rPr>
          <w:rFonts w:ascii="Arial" w:hAnsi="Arial" w:cs="Arial"/>
        </w:rPr>
      </w:pPr>
      <w:r>
        <w:rPr>
          <w:rFonts w:ascii="Arial" w:hAnsi="Arial" w:cs="Arial"/>
        </w:rPr>
        <w:t xml:space="preserve">We will enroll </w:t>
      </w:r>
      <w:r w:rsidRPr="00BF7196">
        <w:rPr>
          <w:rFonts w:ascii="Arial" w:hAnsi="Arial" w:cs="Arial"/>
        </w:rPr>
        <w:t xml:space="preserve">137 aMCI and 55 </w:t>
      </w:r>
      <w:r>
        <w:rPr>
          <w:rFonts w:ascii="Arial" w:hAnsi="Arial" w:cs="Arial"/>
        </w:rPr>
        <w:t xml:space="preserve">healthy control (HC) patients to allow for a 10% attrition rate, leading to a final projected sample size of 175, with </w:t>
      </w:r>
      <w:r w:rsidRPr="00BF7196">
        <w:rPr>
          <w:rFonts w:ascii="Arial" w:hAnsi="Arial" w:cs="Arial"/>
        </w:rPr>
        <w:t xml:space="preserve">125 aMCI and 50 HC </w:t>
      </w:r>
      <w:r>
        <w:rPr>
          <w:rFonts w:ascii="Arial" w:hAnsi="Arial" w:cs="Arial"/>
        </w:rPr>
        <w:t xml:space="preserve">participants. </w:t>
      </w:r>
      <w:r w:rsidR="007A487D" w:rsidRPr="007A487D">
        <w:rPr>
          <w:rFonts w:ascii="Arial" w:hAnsi="Arial" w:cs="Arial"/>
        </w:rPr>
        <w:t>To evaluate potential attrition bias, we will compare the baseline characteristics of participants with missing data against complete cases</w:t>
      </w:r>
      <w:r w:rsidR="007A487D">
        <w:rPr>
          <w:rFonts w:ascii="Arial" w:hAnsi="Arial" w:cs="Arial"/>
        </w:rPr>
        <w:t xml:space="preserve">, identifying if there are </w:t>
      </w:r>
      <w:r w:rsidR="007A487D" w:rsidRPr="007A487D">
        <w:rPr>
          <w:rFonts w:ascii="Arial" w:hAnsi="Arial" w:cs="Arial"/>
        </w:rPr>
        <w:t>clinical or demographic predictors of dropout</w:t>
      </w:r>
      <w:r w:rsidR="007A487D">
        <w:rPr>
          <w:rFonts w:ascii="Arial" w:hAnsi="Arial" w:cs="Arial"/>
        </w:rPr>
        <w:t xml:space="preserve">. </w:t>
      </w:r>
      <w:r w:rsidR="002158A9">
        <w:rPr>
          <w:rFonts w:ascii="Arial" w:hAnsi="Arial" w:cs="Arial"/>
        </w:rPr>
        <w:t xml:space="preserve">Power calculations will be based on </w:t>
      </w:r>
      <w:r w:rsidR="007A487D">
        <w:rPr>
          <w:rFonts w:ascii="Arial" w:hAnsi="Arial" w:cs="Arial"/>
        </w:rPr>
        <w:t>pilot study</w:t>
      </w:r>
      <w:r w:rsidR="002158A9">
        <w:rPr>
          <w:rFonts w:ascii="Arial" w:hAnsi="Arial" w:cs="Arial"/>
        </w:rPr>
        <w:t xml:space="preserve"> which</w:t>
      </w:r>
      <w:r w:rsidR="007A487D">
        <w:rPr>
          <w:rFonts w:ascii="Arial" w:hAnsi="Arial" w:cs="Arial"/>
        </w:rPr>
        <w:t xml:space="preserve"> indicates </w:t>
      </w:r>
      <w:r w:rsidR="002158A9">
        <w:rPr>
          <w:rFonts w:ascii="Arial" w:hAnsi="Arial" w:cs="Arial"/>
        </w:rPr>
        <w:t>that IL-6 and MCP-1 have small to moderate negative correlations (</w:t>
      </w:r>
      <w:r w:rsidR="002158A9">
        <w:rPr>
          <w:rFonts w:ascii="Arial" w:hAnsi="Arial" w:cs="Arial"/>
          <w:i/>
          <w:iCs/>
        </w:rPr>
        <w:t xml:space="preserve">r </w:t>
      </w:r>
      <w:r w:rsidR="002158A9">
        <w:rPr>
          <w:rFonts w:ascii="Arial" w:hAnsi="Arial" w:cs="Arial"/>
        </w:rPr>
        <w:t>range: -0.68, -0.25</w:t>
      </w:r>
      <w:r w:rsidR="00792AB8">
        <w:rPr>
          <w:rFonts w:ascii="Arial" w:hAnsi="Arial" w:cs="Arial"/>
        </w:rPr>
        <w:t>, n = 30</w:t>
      </w:r>
      <w:r w:rsidR="002158A9">
        <w:rPr>
          <w:rFonts w:ascii="Arial" w:hAnsi="Arial" w:cs="Arial"/>
        </w:rPr>
        <w:t xml:space="preserve">) with the one-year change in cortical thickness and </w:t>
      </w:r>
      <w:r w:rsidR="002158A9" w:rsidRPr="002055B9">
        <w:rPr>
          <w:rFonts w:ascii="Arial" w:hAnsi="Arial" w:cs="Arial"/>
        </w:rPr>
        <w:t>CVLT</w:t>
      </w:r>
      <w:r w:rsidR="002158A9">
        <w:rPr>
          <w:rFonts w:ascii="Arial" w:hAnsi="Arial" w:cs="Arial"/>
        </w:rPr>
        <w:t xml:space="preserve">. </w:t>
      </w:r>
      <w:r w:rsidR="00C169F6">
        <w:rPr>
          <w:rFonts w:ascii="Arial" w:hAnsi="Arial" w:cs="Arial"/>
        </w:rPr>
        <w:t xml:space="preserve">For aim 1, </w:t>
      </w:r>
      <w:r w:rsidR="00F45910" w:rsidRPr="00F45910">
        <w:rPr>
          <w:rFonts w:ascii="Arial" w:hAnsi="Arial" w:cs="Arial"/>
        </w:rPr>
        <w:t>we calculated the conditional power of the individual tests</w:t>
      </w:r>
      <w:r w:rsidR="00F44431">
        <w:rPr>
          <w:rFonts w:ascii="Arial" w:hAnsi="Arial" w:cs="Arial"/>
        </w:rPr>
        <w:t xml:space="preserve"> across a range of potential effect sizes as determined by the pilot study correlation range</w:t>
      </w:r>
      <w:r w:rsidR="00F45910" w:rsidRPr="00F45910">
        <w:rPr>
          <w:rFonts w:ascii="Arial" w:hAnsi="Arial" w:cs="Arial"/>
        </w:rPr>
        <w:t xml:space="preserve">, </w:t>
      </w:r>
      <w:r w:rsidR="00F45910" w:rsidRPr="00F45910">
        <w:rPr>
          <w:rFonts w:ascii="Arial" w:hAnsi="Arial" w:cs="Arial"/>
        </w:rPr>
        <w:lastRenderedPageBreak/>
        <w:t xml:space="preserve">requiring both a significant omnibus F-test (4 </w:t>
      </w:r>
      <w:r w:rsidR="00F45910">
        <w:rPr>
          <w:rFonts w:ascii="Arial" w:hAnsi="Arial" w:cs="Arial"/>
        </w:rPr>
        <w:t xml:space="preserve">predictors) </w:t>
      </w:r>
      <w:r w:rsidR="00F45910" w:rsidRPr="00F45910">
        <w:rPr>
          <w:rFonts w:ascii="Arial" w:hAnsi="Arial" w:cs="Arial"/>
        </w:rPr>
        <w:t>and a subsequent individual test</w:t>
      </w:r>
      <w:r w:rsidR="00C169F6">
        <w:rPr>
          <w:rFonts w:ascii="Arial" w:hAnsi="Arial" w:cs="Arial"/>
        </w:rPr>
        <w:t xml:space="preserve">. Adequate power is achieved for small effect sizes </w:t>
      </w:r>
      <w:r w:rsidR="00F44431">
        <w:rPr>
          <w:rFonts w:ascii="Arial" w:hAnsi="Arial" w:cs="Arial"/>
        </w:rPr>
        <w:t xml:space="preserve">(r = 0.3, power = 84.8%) </w:t>
      </w:r>
      <w:r w:rsidR="00C169F6">
        <w:rPr>
          <w:rFonts w:ascii="Arial" w:hAnsi="Arial" w:cs="Arial"/>
        </w:rPr>
        <w:t>and above</w:t>
      </w:r>
      <w:r w:rsidR="00F44431">
        <w:rPr>
          <w:rFonts w:ascii="Arial" w:hAnsi="Arial" w:cs="Arial"/>
        </w:rPr>
        <w:t xml:space="preserve"> </w:t>
      </w:r>
      <w:r w:rsidR="00C169F6">
        <w:rPr>
          <w:rFonts w:ascii="Arial" w:hAnsi="Arial" w:cs="Arial"/>
        </w:rPr>
        <w:t>(</w:t>
      </w:r>
      <w:r w:rsidR="00DD50B4">
        <w:rPr>
          <w:rFonts w:ascii="Arial" w:hAnsi="Arial" w:cs="Arial"/>
        </w:rPr>
        <w:t>Table</w:t>
      </w:r>
      <w:r w:rsidR="00C169F6">
        <w:rPr>
          <w:rFonts w:ascii="Arial" w:hAnsi="Arial" w:cs="Arial"/>
        </w:rPr>
        <w:t xml:space="preserve"> 1). </w:t>
      </w:r>
      <w:r w:rsidR="00F44431" w:rsidRPr="00F44431">
        <w:rPr>
          <w:rFonts w:ascii="Arial" w:hAnsi="Arial" w:cs="Arial"/>
        </w:rPr>
        <w:t xml:space="preserve">For Aim 2, power was assessed for the specific interaction </w:t>
      </w:r>
      <w:r w:rsidR="00F44431">
        <w:rPr>
          <w:rFonts w:ascii="Arial" w:hAnsi="Arial" w:cs="Arial"/>
        </w:rPr>
        <w:t xml:space="preserve">effect </w:t>
      </w:r>
      <w:r w:rsidR="00F44431" w:rsidRPr="00F44431">
        <w:rPr>
          <w:rFonts w:ascii="Arial" w:hAnsi="Arial" w:cs="Arial"/>
        </w:rPr>
        <w:t>between binarized amyloid status (determined by clinical SUVR thresholds) and the outcome</w:t>
      </w:r>
      <w:r w:rsidR="00F44431">
        <w:rPr>
          <w:rFonts w:ascii="Arial" w:hAnsi="Arial" w:cs="Arial"/>
        </w:rPr>
        <w:t>s</w:t>
      </w:r>
      <w:r w:rsidR="00F44431" w:rsidRPr="00F44431">
        <w:rPr>
          <w:rFonts w:ascii="Arial" w:hAnsi="Arial" w:cs="Arial"/>
        </w:rPr>
        <w:t xml:space="preserve">. By focusing on this single-degree-of-freedom contrast, the analysis avoids the unnecessary power loss inherent in global omnibus testing while remaining aligned with the clinical </w:t>
      </w:r>
      <w:r w:rsidR="00F44431">
        <w:rPr>
          <w:rFonts w:ascii="Arial" w:hAnsi="Arial" w:cs="Arial"/>
        </w:rPr>
        <w:t>goal</w:t>
      </w:r>
      <w:r w:rsidR="00F44431" w:rsidRPr="00F44431">
        <w:rPr>
          <w:rFonts w:ascii="Arial" w:hAnsi="Arial" w:cs="Arial"/>
        </w:rPr>
        <w:t xml:space="preserve"> of the amyloid status. </w:t>
      </w:r>
      <w:r w:rsidR="00F275CB">
        <w:rPr>
          <w:rFonts w:ascii="Arial" w:hAnsi="Arial" w:cs="Arial"/>
        </w:rPr>
        <w:t xml:space="preserve">Power was calculated </w:t>
      </w:r>
      <w:r w:rsidR="00DD50B4">
        <w:rPr>
          <w:rFonts w:ascii="Arial" w:hAnsi="Arial" w:cs="Arial"/>
        </w:rPr>
        <w:t>across a range of possible correlations between the outcome</w:t>
      </w:r>
      <w:r w:rsidR="00AF3B29">
        <w:rPr>
          <w:rFonts w:ascii="Arial" w:hAnsi="Arial" w:cs="Arial"/>
        </w:rPr>
        <w:t xml:space="preserve"> </w:t>
      </w:r>
      <w:r w:rsidR="00DD50B4">
        <w:rPr>
          <w:rFonts w:ascii="Arial" w:hAnsi="Arial" w:cs="Arial"/>
        </w:rPr>
        <w:t xml:space="preserve">among amyloid positive </w:t>
      </w:r>
      <w:r w:rsidR="00AF3B29">
        <w:rPr>
          <w:rFonts w:ascii="Arial" w:hAnsi="Arial" w:cs="Arial"/>
        </w:rPr>
        <w:t>patients, amyloid negative patients, and ratios of amyloid positive to amyloid negative patients</w:t>
      </w:r>
      <w:r w:rsidR="00DD50B4">
        <w:rPr>
          <w:rFonts w:ascii="Arial" w:hAnsi="Arial" w:cs="Arial"/>
        </w:rPr>
        <w:t xml:space="preserve"> (Figure 1). Adequate power </w:t>
      </w:r>
      <w:r w:rsidR="00AF3B29">
        <w:rPr>
          <w:rFonts w:ascii="Arial" w:hAnsi="Arial" w:cs="Arial"/>
        </w:rPr>
        <w:t xml:space="preserve">is achieved for moderate interaction effects with a relatively high amyloid positive effect size and across most amyloid positive effect sizes with a large interaction effect. More balanced numbers of amyloid positive and negative patients led to universally higher power than unbalanced numbers. </w:t>
      </w:r>
      <w:r w:rsidR="00404B9A">
        <w:rPr>
          <w:rFonts w:ascii="Arial" w:hAnsi="Arial" w:cs="Arial"/>
        </w:rPr>
        <w:t>Two-sided alpha was set at 0.025 for all power calculations, as</w:t>
      </w:r>
      <w:r w:rsidR="00805FB7">
        <w:rPr>
          <w:rFonts w:ascii="Arial" w:hAnsi="Arial" w:cs="Arial"/>
        </w:rPr>
        <w:t xml:space="preserve"> there are two groups of co-primary outcomes (cognitive and cortical thickness measures), with</w:t>
      </w:r>
      <w:r w:rsidR="00404B9A">
        <w:rPr>
          <w:rFonts w:ascii="Arial" w:hAnsi="Arial" w:cs="Arial"/>
        </w:rPr>
        <w:t xml:space="preserve"> pilot study and previous research demonstrat</w:t>
      </w:r>
      <w:r w:rsidR="00805FB7">
        <w:rPr>
          <w:rFonts w:ascii="Arial" w:hAnsi="Arial" w:cs="Arial"/>
        </w:rPr>
        <w:t xml:space="preserve">ing </w:t>
      </w:r>
      <w:r w:rsidR="00404B9A">
        <w:rPr>
          <w:rFonts w:ascii="Arial" w:hAnsi="Arial" w:cs="Arial"/>
        </w:rPr>
        <w:t>that the four key cytokines of interest are all highly correlate</w:t>
      </w:r>
      <w:r w:rsidR="00805FB7">
        <w:rPr>
          <w:rFonts w:ascii="Arial" w:hAnsi="Arial" w:cs="Arial"/>
        </w:rPr>
        <w:t>d</w:t>
      </w:r>
      <w:r w:rsidR="00404B9A">
        <w:rPr>
          <w:rFonts w:ascii="Arial" w:hAnsi="Arial" w:cs="Arial"/>
        </w:rPr>
        <w:t xml:space="preserve">. </w:t>
      </w:r>
      <w:r w:rsidR="00F275CB">
        <w:rPr>
          <w:rFonts w:ascii="Arial" w:hAnsi="Arial" w:cs="Arial"/>
        </w:rPr>
        <w:t xml:space="preserve">Additionally, we will require consistency in the direction of the effect for all outcomes and explanatory variables and agreement between the components of the interaction effect (biomarker level and amyloid deposition) for aim 2 to validate findings. </w:t>
      </w:r>
      <w:r w:rsidR="00C169F6">
        <w:rPr>
          <w:rFonts w:ascii="Arial" w:hAnsi="Arial" w:cs="Arial"/>
        </w:rPr>
        <w:t xml:space="preserve">Power calculations were conducted using the </w:t>
      </w:r>
      <w:proofErr w:type="spellStart"/>
      <w:r w:rsidR="00C169F6">
        <w:rPr>
          <w:rFonts w:ascii="Arial" w:hAnsi="Arial" w:cs="Arial"/>
        </w:rPr>
        <w:t>powertools</w:t>
      </w:r>
      <w:proofErr w:type="spellEnd"/>
      <w:r w:rsidR="00C169F6">
        <w:rPr>
          <w:rFonts w:ascii="Arial" w:hAnsi="Arial" w:cs="Arial"/>
        </w:rPr>
        <w:t xml:space="preserve"> package in R</w:t>
      </w:r>
      <w:r w:rsidR="00404B9A">
        <w:rPr>
          <w:rFonts w:ascii="Arial" w:hAnsi="Arial" w:cs="Arial"/>
        </w:rPr>
        <w:t xml:space="preserve"> version 4.5.1, with the </w:t>
      </w:r>
      <w:proofErr w:type="spellStart"/>
      <w:r w:rsidR="00404B9A" w:rsidRPr="00404B9A">
        <w:rPr>
          <w:rFonts w:ascii="Arial" w:hAnsi="Arial" w:cs="Arial"/>
        </w:rPr>
        <w:t>mlrF.overall</w:t>
      </w:r>
      <w:proofErr w:type="spellEnd"/>
      <w:r w:rsidR="00404B9A">
        <w:rPr>
          <w:rFonts w:ascii="Arial" w:hAnsi="Arial" w:cs="Arial"/>
        </w:rPr>
        <w:t xml:space="preserve"> function for omnibus F-test power, corr.1samp test for Aim 1 individual power, and corr.2samp for Aim 2 interaction power. </w:t>
      </w:r>
    </w:p>
    <w:p w14:paraId="3D9B2569" w14:textId="77777777" w:rsidR="00C169F6" w:rsidRDefault="00C169F6" w:rsidP="00216B7B">
      <w:pPr>
        <w:spacing w:after="0" w:line="480" w:lineRule="auto"/>
        <w:rPr>
          <w:rFonts w:ascii="Arial" w:hAnsi="Arial" w:cs="Arial"/>
        </w:rPr>
      </w:pPr>
    </w:p>
    <w:p w14:paraId="7F4F1D7D" w14:textId="7E9A8783" w:rsidR="0026675C" w:rsidRDefault="00F44431" w:rsidP="00216B7B">
      <w:pPr>
        <w:spacing w:after="0" w:line="480" w:lineRule="auto"/>
        <w:rPr>
          <w:rFonts w:ascii="Arial" w:hAnsi="Arial" w:cs="Arial"/>
          <w:b/>
          <w:bCs/>
          <w:u w:val="single"/>
        </w:rPr>
      </w:pPr>
      <w:r>
        <w:rPr>
          <w:rFonts w:ascii="Arial" w:hAnsi="Arial" w:cs="Arial"/>
          <w:b/>
          <w:bCs/>
          <w:u w:val="single"/>
        </w:rPr>
        <w:lastRenderedPageBreak/>
        <w:t>Acknowledgements</w:t>
      </w:r>
    </w:p>
    <w:p w14:paraId="21F5B2A4" w14:textId="10F03D91" w:rsidR="00AE71E1" w:rsidRDefault="00F44431" w:rsidP="00F44431">
      <w:pPr>
        <w:spacing w:after="0"/>
        <w:rPr>
          <w:rFonts w:ascii="Arial" w:hAnsi="Arial" w:cs="Arial"/>
        </w:rPr>
      </w:pPr>
      <w:r>
        <w:rPr>
          <w:rFonts w:ascii="Arial" w:hAnsi="Arial" w:cs="Arial"/>
        </w:rPr>
        <w:t xml:space="preserve">Data and guidance for this project were provided by Dr. Tasha </w:t>
      </w:r>
      <w:proofErr w:type="spellStart"/>
      <w:r>
        <w:rPr>
          <w:rFonts w:ascii="Arial" w:hAnsi="Arial" w:cs="Arial"/>
        </w:rPr>
        <w:t>Fingerlin</w:t>
      </w:r>
      <w:proofErr w:type="spellEnd"/>
      <w:r w:rsidR="00AE71E1">
        <w:rPr>
          <w:rFonts w:ascii="Arial" w:hAnsi="Arial" w:cs="Arial"/>
        </w:rPr>
        <w:t xml:space="preserve"> via</w:t>
      </w:r>
      <w:r w:rsidR="00AE71E1" w:rsidRPr="00AE71E1">
        <w:rPr>
          <w:rFonts w:ascii="Lato" w:hAnsi="Lato"/>
          <w:color w:val="273540"/>
          <w:shd w:val="clear" w:color="auto" w:fill="FFFFFF"/>
        </w:rPr>
        <w:t xml:space="preserve"> </w:t>
      </w:r>
      <w:r w:rsidR="00AE71E1" w:rsidRPr="00AE71E1">
        <w:rPr>
          <w:rFonts w:ascii="Arial" w:hAnsi="Arial" w:cs="Arial"/>
        </w:rPr>
        <w:t xml:space="preserve">Dr. Brianne Bettcher </w:t>
      </w:r>
      <w:r w:rsidR="00AE71E1">
        <w:rPr>
          <w:rFonts w:ascii="Arial" w:hAnsi="Arial" w:cs="Arial"/>
        </w:rPr>
        <w:t xml:space="preserve">and Dr. </w:t>
      </w:r>
      <w:r w:rsidR="00AE71E1" w:rsidRPr="00AE71E1">
        <w:rPr>
          <w:rFonts w:ascii="Arial" w:hAnsi="Arial" w:cs="Arial"/>
        </w:rPr>
        <w:t>Nichole Carlson</w:t>
      </w:r>
      <w:r>
        <w:rPr>
          <w:rFonts w:ascii="Arial" w:hAnsi="Arial" w:cs="Arial"/>
        </w:rPr>
        <w:t xml:space="preserve">. Gemini 3 was used to debug code and </w:t>
      </w:r>
      <w:r w:rsidR="00AE71E1">
        <w:rPr>
          <w:rFonts w:ascii="Arial" w:hAnsi="Arial" w:cs="Arial"/>
        </w:rPr>
        <w:t>verify correctness of approach; no data or proprietary information in the research strategy grant was used and all queries de-identified all clinical context of the study.</w:t>
      </w:r>
    </w:p>
    <w:p w14:paraId="3F102AA9" w14:textId="77777777" w:rsidR="00AE71E1" w:rsidRDefault="00AE71E1" w:rsidP="00F44431">
      <w:pPr>
        <w:spacing w:after="0"/>
        <w:rPr>
          <w:rFonts w:ascii="Arial" w:hAnsi="Arial" w:cs="Arial"/>
        </w:rPr>
      </w:pPr>
    </w:p>
    <w:p w14:paraId="5DFB1586" w14:textId="2C3A7DC0" w:rsidR="00AE71E1" w:rsidRPr="00792AB8" w:rsidRDefault="00AE71E1" w:rsidP="00F44431">
      <w:pPr>
        <w:spacing w:after="0"/>
        <w:rPr>
          <w:rFonts w:ascii="Arial" w:hAnsi="Arial" w:cs="Arial"/>
          <w:lang w:val="es-CR"/>
        </w:rPr>
      </w:pPr>
      <w:r w:rsidRPr="00792AB8">
        <w:rPr>
          <w:rFonts w:ascii="Arial" w:hAnsi="Arial" w:cs="Arial"/>
          <w:b/>
          <w:bCs/>
          <w:u w:val="single"/>
          <w:lang w:val="es-CR"/>
        </w:rPr>
        <w:t xml:space="preserve">Reproducible </w:t>
      </w:r>
      <w:proofErr w:type="spellStart"/>
      <w:r w:rsidRPr="00792AB8">
        <w:rPr>
          <w:rFonts w:ascii="Arial" w:hAnsi="Arial" w:cs="Arial"/>
          <w:b/>
          <w:bCs/>
          <w:u w:val="single"/>
          <w:lang w:val="es-CR"/>
        </w:rPr>
        <w:t>Research</w:t>
      </w:r>
      <w:proofErr w:type="spellEnd"/>
    </w:p>
    <w:p w14:paraId="4D123414" w14:textId="77777777" w:rsidR="00AE71E1" w:rsidRPr="00792AB8" w:rsidRDefault="00AE71E1" w:rsidP="00F44431">
      <w:pPr>
        <w:spacing w:after="0"/>
        <w:rPr>
          <w:rFonts w:ascii="Arial" w:hAnsi="Arial" w:cs="Arial"/>
          <w:lang w:val="es-CR"/>
        </w:rPr>
      </w:pPr>
    </w:p>
    <w:p w14:paraId="0883F452" w14:textId="48785D04" w:rsidR="00AE71E1" w:rsidRPr="00792AB8" w:rsidRDefault="00AE71E1" w:rsidP="00F44431">
      <w:pPr>
        <w:spacing w:after="0"/>
        <w:rPr>
          <w:rFonts w:ascii="Arial" w:hAnsi="Arial" w:cs="Arial"/>
          <w:lang w:val="es-CR"/>
        </w:rPr>
      </w:pPr>
      <w:hyperlink r:id="rId4" w:history="1">
        <w:r w:rsidRPr="00792AB8">
          <w:rPr>
            <w:rStyle w:val="Hyperlink"/>
            <w:rFonts w:ascii="Arial" w:hAnsi="Arial" w:cs="Arial"/>
            <w:lang w:val="es-CR"/>
          </w:rPr>
          <w:t>https://github.com/MarshallRoll/Advanced_Methods_Roll/tree/main/Project%202</w:t>
        </w:r>
      </w:hyperlink>
    </w:p>
    <w:p w14:paraId="73B80C81" w14:textId="77777777" w:rsidR="00AE71E1" w:rsidRPr="00792AB8" w:rsidRDefault="00AE71E1" w:rsidP="00F44431">
      <w:pPr>
        <w:spacing w:after="0"/>
        <w:rPr>
          <w:rFonts w:ascii="Arial" w:hAnsi="Arial" w:cs="Arial"/>
          <w:lang w:val="es-CR"/>
        </w:rPr>
      </w:pPr>
    </w:p>
    <w:p w14:paraId="14A9D5BF" w14:textId="62A85708" w:rsidR="00AE71E1" w:rsidRDefault="00AE71E1" w:rsidP="00F44431">
      <w:pPr>
        <w:spacing w:after="0"/>
        <w:rPr>
          <w:rFonts w:ascii="Arial" w:hAnsi="Arial" w:cs="Arial"/>
        </w:rPr>
      </w:pPr>
      <w:r>
        <w:rPr>
          <w:rFonts w:ascii="Arial" w:hAnsi="Arial" w:cs="Arial"/>
        </w:rPr>
        <w:t xml:space="preserve">Local File Link: </w:t>
      </w:r>
      <w:r w:rsidRPr="00AE71E1">
        <w:rPr>
          <w:rFonts w:ascii="Arial" w:hAnsi="Arial" w:cs="Arial"/>
        </w:rPr>
        <w:t>C:\Users\llash\Documents\Advanced_Methods_Roll\Project 2</w:t>
      </w:r>
    </w:p>
    <w:p w14:paraId="314CE431" w14:textId="77777777" w:rsidR="00AE71E1" w:rsidRDefault="00AE71E1" w:rsidP="00F44431">
      <w:pPr>
        <w:spacing w:after="0"/>
        <w:rPr>
          <w:rFonts w:ascii="Arial" w:hAnsi="Arial" w:cs="Arial"/>
        </w:rPr>
      </w:pPr>
    </w:p>
    <w:p w14:paraId="0412D1AC" w14:textId="77777777" w:rsidR="00AE71E1" w:rsidRPr="00AE71E1" w:rsidRDefault="00AE71E1" w:rsidP="00F44431">
      <w:pPr>
        <w:spacing w:after="0"/>
        <w:rPr>
          <w:rFonts w:ascii="Arial" w:hAnsi="Arial" w:cs="Arial"/>
        </w:rPr>
      </w:pPr>
    </w:p>
    <w:p w14:paraId="6A526E1B" w14:textId="4C66D499" w:rsidR="00611149" w:rsidRDefault="00611149">
      <w:pPr>
        <w:spacing w:after="160" w:line="278" w:lineRule="auto"/>
        <w:rPr>
          <w:rFonts w:ascii="Arial" w:hAnsi="Arial" w:cs="Arial"/>
          <w:b/>
          <w:bCs/>
          <w:u w:val="single"/>
        </w:rPr>
      </w:pPr>
      <w:r>
        <w:rPr>
          <w:rFonts w:ascii="Arial" w:hAnsi="Arial" w:cs="Arial"/>
          <w:b/>
          <w:bCs/>
          <w:u w:val="single"/>
        </w:rPr>
        <w:br w:type="page"/>
      </w:r>
    </w:p>
    <w:tbl>
      <w:tblPr>
        <w:tblStyle w:val="Table"/>
        <w:tblW w:w="0" w:type="auto"/>
        <w:jc w:val="center"/>
        <w:tblLayout w:type="fixed"/>
        <w:tblLook w:val="0420" w:firstRow="1" w:lastRow="0" w:firstColumn="0" w:lastColumn="0" w:noHBand="0" w:noVBand="1"/>
      </w:tblPr>
      <w:tblGrid>
        <w:gridCol w:w="1743"/>
        <w:gridCol w:w="2672"/>
        <w:gridCol w:w="3174"/>
        <w:gridCol w:w="3113"/>
      </w:tblGrid>
      <w:tr w:rsidR="00611149" w14:paraId="2FA4518F" w14:textId="77777777" w:rsidTr="00E40C3A">
        <w:trPr>
          <w:cnfStyle w:val="100000000000" w:firstRow="1" w:lastRow="0" w:firstColumn="0" w:lastColumn="0" w:oddVBand="0" w:evenVBand="0" w:oddHBand="0" w:evenHBand="0" w:firstRowFirstColumn="0" w:firstRowLastColumn="0" w:lastRowFirstColumn="0" w:lastRowLastColumn="0"/>
          <w:tblHeader/>
          <w:jc w:val="center"/>
        </w:trPr>
        <w:tc>
          <w:tcPr>
            <w:tcW w:w="174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6E173D"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lastRenderedPageBreak/>
              <w:t>Effect Size (r)</w:t>
            </w:r>
          </w:p>
        </w:tc>
        <w:tc>
          <w:tcPr>
            <w:tcW w:w="26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E2718"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Omnibus F-Test Power</w:t>
            </w:r>
          </w:p>
        </w:tc>
        <w:tc>
          <w:tcPr>
            <w:tcW w:w="317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AEBCCF"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Theoretical Individual Power</w:t>
            </w:r>
          </w:p>
        </w:tc>
        <w:tc>
          <w:tcPr>
            <w:tcW w:w="311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8DF2B2"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Protected Individual Power*</w:t>
            </w:r>
          </w:p>
        </w:tc>
      </w:tr>
      <w:tr w:rsidR="00611149" w14:paraId="26EAE812" w14:textId="77777777" w:rsidTr="00E40C3A">
        <w:trPr>
          <w:jc w:val="center"/>
        </w:trPr>
        <w:tc>
          <w:tcPr>
            <w:tcW w:w="174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9ABF2"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0.200</w:t>
            </w:r>
          </w:p>
        </w:tc>
        <w:tc>
          <w:tcPr>
            <w:tcW w:w="26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64A51"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0.432</w:t>
            </w:r>
          </w:p>
        </w:tc>
        <w:tc>
          <w:tcPr>
            <w:tcW w:w="317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DD261"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0.665</w:t>
            </w:r>
          </w:p>
        </w:tc>
        <w:tc>
          <w:tcPr>
            <w:tcW w:w="311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C9B9E"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0.287</w:t>
            </w:r>
          </w:p>
        </w:tc>
      </w:tr>
      <w:tr w:rsidR="00611149" w14:paraId="43A14B36" w14:textId="77777777" w:rsidTr="00E40C3A">
        <w:trPr>
          <w:jc w:val="center"/>
        </w:trPr>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5D50E"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0.250</w:t>
            </w:r>
          </w:p>
        </w:tc>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B3DBF"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0.683</w:t>
            </w:r>
          </w:p>
        </w:tc>
        <w:tc>
          <w:tcPr>
            <w:tcW w:w="3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CA30E"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0.868</w:t>
            </w:r>
          </w:p>
        </w:tc>
        <w:tc>
          <w:tcPr>
            <w:tcW w:w="31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7FB52"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0.593</w:t>
            </w:r>
          </w:p>
        </w:tc>
      </w:tr>
      <w:tr w:rsidR="00611149" w14:paraId="7D45D050" w14:textId="77777777" w:rsidTr="00E40C3A">
        <w:trPr>
          <w:jc w:val="center"/>
        </w:trPr>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F28F7"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0.300</w:t>
            </w:r>
          </w:p>
        </w:tc>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3571C"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0.878</w:t>
            </w:r>
          </w:p>
        </w:tc>
        <w:tc>
          <w:tcPr>
            <w:tcW w:w="3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19CAD"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0.966</w:t>
            </w:r>
          </w:p>
        </w:tc>
        <w:tc>
          <w:tcPr>
            <w:tcW w:w="31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4419B"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0.848</w:t>
            </w:r>
          </w:p>
        </w:tc>
      </w:tr>
      <w:tr w:rsidR="00611149" w14:paraId="312D27BA" w14:textId="77777777" w:rsidTr="00E40C3A">
        <w:trPr>
          <w:jc w:val="center"/>
        </w:trPr>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59AC0"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0.350</w:t>
            </w:r>
          </w:p>
        </w:tc>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EA42C"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0.971</w:t>
            </w:r>
          </w:p>
        </w:tc>
        <w:tc>
          <w:tcPr>
            <w:tcW w:w="3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CFF87"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0.995</w:t>
            </w:r>
          </w:p>
        </w:tc>
        <w:tc>
          <w:tcPr>
            <w:tcW w:w="31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3CC2F"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0.966</w:t>
            </w:r>
          </w:p>
        </w:tc>
      </w:tr>
      <w:tr w:rsidR="00611149" w14:paraId="7F49DE8A" w14:textId="77777777" w:rsidTr="00E40C3A">
        <w:trPr>
          <w:jc w:val="center"/>
        </w:trPr>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9DFC4"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0.400</w:t>
            </w:r>
          </w:p>
        </w:tc>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A29D7"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0.996</w:t>
            </w:r>
          </w:p>
        </w:tc>
        <w:tc>
          <w:tcPr>
            <w:tcW w:w="3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3C318"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w:t>
            </w:r>
          </w:p>
        </w:tc>
        <w:tc>
          <w:tcPr>
            <w:tcW w:w="31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04D14"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0.996</w:t>
            </w:r>
          </w:p>
        </w:tc>
      </w:tr>
      <w:tr w:rsidR="00611149" w14:paraId="06A8AE79" w14:textId="77777777" w:rsidTr="00E40C3A">
        <w:trPr>
          <w:jc w:val="center"/>
        </w:trPr>
        <w:tc>
          <w:tcPr>
            <w:tcW w:w="17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B5203"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0.450</w:t>
            </w:r>
          </w:p>
        </w:tc>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61CED"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w:t>
            </w:r>
          </w:p>
        </w:tc>
        <w:tc>
          <w:tcPr>
            <w:tcW w:w="317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06FCA"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w:t>
            </w:r>
          </w:p>
        </w:tc>
        <w:tc>
          <w:tcPr>
            <w:tcW w:w="31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D5AFE"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w:t>
            </w:r>
          </w:p>
        </w:tc>
      </w:tr>
      <w:tr w:rsidR="00611149" w14:paraId="1CADCFEF" w14:textId="77777777" w:rsidTr="00E40C3A">
        <w:trPr>
          <w:jc w:val="center"/>
        </w:trPr>
        <w:tc>
          <w:tcPr>
            <w:tcW w:w="174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3A1687"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0.500</w:t>
            </w:r>
          </w:p>
        </w:tc>
        <w:tc>
          <w:tcPr>
            <w:tcW w:w="26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EDFDC"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w:t>
            </w:r>
          </w:p>
        </w:tc>
        <w:tc>
          <w:tcPr>
            <w:tcW w:w="317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5EB1D8"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w:t>
            </w:r>
          </w:p>
        </w:tc>
        <w:tc>
          <w:tcPr>
            <w:tcW w:w="311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D98AC8"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w:t>
            </w:r>
          </w:p>
        </w:tc>
      </w:tr>
      <w:tr w:rsidR="00611149" w14:paraId="77726CF1" w14:textId="77777777" w:rsidTr="00E40C3A">
        <w:trPr>
          <w:jc w:val="center"/>
        </w:trPr>
        <w:tc>
          <w:tcPr>
            <w:tcW w:w="10702" w:type="dxa"/>
            <w:gridSpan w:val="4"/>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0EBCEB" w14:textId="77777777" w:rsidR="00611149" w:rsidRDefault="00611149" w:rsidP="00E40C3A">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*Note: Protected Power is the joint probability of both Omnibus and Individual significance.</w:t>
            </w:r>
          </w:p>
        </w:tc>
      </w:tr>
    </w:tbl>
    <w:p w14:paraId="1FF6C701" w14:textId="6E338DB6" w:rsidR="00611149" w:rsidRDefault="00611149" w:rsidP="00F44431">
      <w:pPr>
        <w:spacing w:after="0"/>
        <w:rPr>
          <w:rFonts w:ascii="Arial" w:hAnsi="Arial" w:cs="Arial"/>
        </w:rPr>
      </w:pPr>
      <w:r w:rsidRPr="00611149">
        <w:rPr>
          <w:rFonts w:ascii="Arial" w:hAnsi="Arial" w:cs="Arial"/>
          <w:b/>
          <w:bCs/>
        </w:rPr>
        <w:t>Table 1</w:t>
      </w:r>
      <w:r>
        <w:rPr>
          <w:rFonts w:ascii="Arial" w:hAnsi="Arial" w:cs="Arial"/>
          <w:b/>
          <w:bCs/>
        </w:rPr>
        <w:t xml:space="preserve">: </w:t>
      </w:r>
      <w:r>
        <w:rPr>
          <w:rFonts w:ascii="Arial" w:hAnsi="Arial" w:cs="Arial"/>
        </w:rPr>
        <w:t>Power estimates for statistical Aim 1. Effect size represents possible correlation between outcome and explanatory variables. Omnibus F-test power conducted with 4 degrees of freedom and multiplied by theoretical individual power (1 degree of freedom) to yield protected individual power. All power estimates for effect sizes greater than 0.5 were equal to 1.</w:t>
      </w:r>
    </w:p>
    <w:p w14:paraId="4AD06C36" w14:textId="77777777" w:rsidR="00611149" w:rsidRDefault="00611149">
      <w:pPr>
        <w:spacing w:after="160" w:line="278" w:lineRule="auto"/>
        <w:rPr>
          <w:rFonts w:ascii="Arial" w:hAnsi="Arial" w:cs="Arial"/>
        </w:rPr>
      </w:pPr>
      <w:r>
        <w:rPr>
          <w:rFonts w:ascii="Arial" w:hAnsi="Arial" w:cs="Arial"/>
        </w:rPr>
        <w:br w:type="page"/>
      </w:r>
    </w:p>
    <w:p w14:paraId="27471D16" w14:textId="746449FC" w:rsidR="00AE71E1" w:rsidRDefault="00611149" w:rsidP="00F44431">
      <w:pPr>
        <w:spacing w:after="0"/>
        <w:rPr>
          <w:rFonts w:ascii="Arial" w:hAnsi="Arial" w:cs="Arial"/>
        </w:rPr>
      </w:pPr>
      <w:r w:rsidRPr="00611149">
        <w:rPr>
          <w:rFonts w:ascii="Arial" w:hAnsi="Arial" w:cs="Arial"/>
          <w:noProof/>
        </w:rPr>
        <w:lastRenderedPageBreak/>
        <w:drawing>
          <wp:inline distT="0" distB="0" distL="0" distR="0" wp14:anchorId="46773A83" wp14:editId="30727DE7">
            <wp:extent cx="5943600" cy="3655695"/>
            <wp:effectExtent l="0" t="0" r="0" b="1905"/>
            <wp:docPr id="64660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09976" name=""/>
                    <pic:cNvPicPr/>
                  </pic:nvPicPr>
                  <pic:blipFill>
                    <a:blip r:embed="rId5"/>
                    <a:stretch>
                      <a:fillRect/>
                    </a:stretch>
                  </pic:blipFill>
                  <pic:spPr>
                    <a:xfrm>
                      <a:off x="0" y="0"/>
                      <a:ext cx="5943600" cy="3655695"/>
                    </a:xfrm>
                    <a:prstGeom prst="rect">
                      <a:avLst/>
                    </a:prstGeom>
                  </pic:spPr>
                </pic:pic>
              </a:graphicData>
            </a:graphic>
          </wp:inline>
        </w:drawing>
      </w:r>
    </w:p>
    <w:p w14:paraId="569ECDEB" w14:textId="46DA9248" w:rsidR="00611149" w:rsidRPr="00611149" w:rsidRDefault="00611149" w:rsidP="00F44431">
      <w:pPr>
        <w:spacing w:after="0"/>
        <w:rPr>
          <w:rFonts w:ascii="Arial" w:hAnsi="Arial" w:cs="Arial"/>
        </w:rPr>
      </w:pPr>
      <w:r>
        <w:rPr>
          <w:rFonts w:ascii="Arial" w:hAnsi="Arial" w:cs="Arial"/>
          <w:b/>
          <w:bCs/>
        </w:rPr>
        <w:t xml:space="preserve">Figure 1: </w:t>
      </w:r>
      <w:r w:rsidRPr="00611149">
        <w:rPr>
          <w:rFonts w:ascii="Arial" w:hAnsi="Arial" w:cs="Arial"/>
        </w:rPr>
        <w:t>Aim 2 p</w:t>
      </w:r>
      <w:r>
        <w:rPr>
          <w:rFonts w:ascii="Arial" w:hAnsi="Arial" w:cs="Arial"/>
        </w:rPr>
        <w:t xml:space="preserve">redicted power by small, medium, and large interaction effect size as measured by difference in correlations between amyloid positive and amyloid negative group, with amyloid negative expected to exhibit a lower correlation with outcomes than amyloid positive. </w:t>
      </w:r>
    </w:p>
    <w:sectPr w:rsidR="00611149" w:rsidRPr="00611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83"/>
    <w:rsid w:val="0009417E"/>
    <w:rsid w:val="00166DD9"/>
    <w:rsid w:val="002055B9"/>
    <w:rsid w:val="002158A9"/>
    <w:rsid w:val="00216B7B"/>
    <w:rsid w:val="0026675C"/>
    <w:rsid w:val="003955C3"/>
    <w:rsid w:val="00404B9A"/>
    <w:rsid w:val="004519CB"/>
    <w:rsid w:val="00515E96"/>
    <w:rsid w:val="00611149"/>
    <w:rsid w:val="006C66CF"/>
    <w:rsid w:val="0072519D"/>
    <w:rsid w:val="00792AB8"/>
    <w:rsid w:val="007A487D"/>
    <w:rsid w:val="00805FB7"/>
    <w:rsid w:val="00862469"/>
    <w:rsid w:val="00A07283"/>
    <w:rsid w:val="00A076FD"/>
    <w:rsid w:val="00AE71E1"/>
    <w:rsid w:val="00AF3B29"/>
    <w:rsid w:val="00B067B5"/>
    <w:rsid w:val="00BF7196"/>
    <w:rsid w:val="00C169F6"/>
    <w:rsid w:val="00DD50B4"/>
    <w:rsid w:val="00F275CB"/>
    <w:rsid w:val="00F44431"/>
    <w:rsid w:val="00F45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6CC26"/>
  <w15:chartTrackingRefBased/>
  <w15:docId w15:val="{DF7B96FD-4D5A-4E83-8FF8-7A38F9DC8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5CB"/>
    <w:pPr>
      <w:spacing w:after="200" w:line="240" w:lineRule="auto"/>
    </w:pPr>
    <w:rPr>
      <w:kern w:val="0"/>
      <w14:ligatures w14:val="none"/>
    </w:rPr>
  </w:style>
  <w:style w:type="paragraph" w:styleId="Heading1">
    <w:name w:val="heading 1"/>
    <w:basedOn w:val="Normal"/>
    <w:next w:val="Normal"/>
    <w:link w:val="Heading1Char"/>
    <w:uiPriority w:val="9"/>
    <w:qFormat/>
    <w:rsid w:val="00A07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283"/>
    <w:rPr>
      <w:rFonts w:eastAsiaTheme="majorEastAsia" w:cstheme="majorBidi"/>
      <w:color w:val="272727" w:themeColor="text1" w:themeTint="D8"/>
    </w:rPr>
  </w:style>
  <w:style w:type="paragraph" w:styleId="Title">
    <w:name w:val="Title"/>
    <w:basedOn w:val="Normal"/>
    <w:next w:val="Normal"/>
    <w:link w:val="TitleChar"/>
    <w:uiPriority w:val="10"/>
    <w:qFormat/>
    <w:rsid w:val="00A072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283"/>
    <w:pPr>
      <w:spacing w:before="160"/>
      <w:jc w:val="center"/>
    </w:pPr>
    <w:rPr>
      <w:i/>
      <w:iCs/>
      <w:color w:val="404040" w:themeColor="text1" w:themeTint="BF"/>
    </w:rPr>
  </w:style>
  <w:style w:type="character" w:customStyle="1" w:styleId="QuoteChar">
    <w:name w:val="Quote Char"/>
    <w:basedOn w:val="DefaultParagraphFont"/>
    <w:link w:val="Quote"/>
    <w:uiPriority w:val="29"/>
    <w:rsid w:val="00A07283"/>
    <w:rPr>
      <w:i/>
      <w:iCs/>
      <w:color w:val="404040" w:themeColor="text1" w:themeTint="BF"/>
    </w:rPr>
  </w:style>
  <w:style w:type="paragraph" w:styleId="ListParagraph">
    <w:name w:val="List Paragraph"/>
    <w:basedOn w:val="Normal"/>
    <w:uiPriority w:val="34"/>
    <w:qFormat/>
    <w:rsid w:val="00A07283"/>
    <w:pPr>
      <w:ind w:left="720"/>
      <w:contextualSpacing/>
    </w:pPr>
  </w:style>
  <w:style w:type="character" w:styleId="IntenseEmphasis">
    <w:name w:val="Intense Emphasis"/>
    <w:basedOn w:val="DefaultParagraphFont"/>
    <w:uiPriority w:val="21"/>
    <w:qFormat/>
    <w:rsid w:val="00A07283"/>
    <w:rPr>
      <w:i/>
      <w:iCs/>
      <w:color w:val="0F4761" w:themeColor="accent1" w:themeShade="BF"/>
    </w:rPr>
  </w:style>
  <w:style w:type="paragraph" w:styleId="IntenseQuote">
    <w:name w:val="Intense Quote"/>
    <w:basedOn w:val="Normal"/>
    <w:next w:val="Normal"/>
    <w:link w:val="IntenseQuoteChar"/>
    <w:uiPriority w:val="30"/>
    <w:qFormat/>
    <w:rsid w:val="00A07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283"/>
    <w:rPr>
      <w:i/>
      <w:iCs/>
      <w:color w:val="0F4761" w:themeColor="accent1" w:themeShade="BF"/>
    </w:rPr>
  </w:style>
  <w:style w:type="character" w:styleId="IntenseReference">
    <w:name w:val="Intense Reference"/>
    <w:basedOn w:val="DefaultParagraphFont"/>
    <w:uiPriority w:val="32"/>
    <w:qFormat/>
    <w:rsid w:val="00A07283"/>
    <w:rPr>
      <w:b/>
      <w:bCs/>
      <w:smallCaps/>
      <w:color w:val="0F4761" w:themeColor="accent1" w:themeShade="BF"/>
      <w:spacing w:val="5"/>
    </w:rPr>
  </w:style>
  <w:style w:type="character" w:styleId="Hyperlink">
    <w:name w:val="Hyperlink"/>
    <w:basedOn w:val="DefaultParagraphFont"/>
    <w:uiPriority w:val="99"/>
    <w:unhideWhenUsed/>
    <w:rsid w:val="00AE71E1"/>
    <w:rPr>
      <w:color w:val="467886" w:themeColor="hyperlink"/>
      <w:u w:val="single"/>
    </w:rPr>
  </w:style>
  <w:style w:type="character" w:styleId="UnresolvedMention">
    <w:name w:val="Unresolved Mention"/>
    <w:basedOn w:val="DefaultParagraphFont"/>
    <w:uiPriority w:val="99"/>
    <w:semiHidden/>
    <w:unhideWhenUsed/>
    <w:rsid w:val="00AE71E1"/>
    <w:rPr>
      <w:color w:val="605E5C"/>
      <w:shd w:val="clear" w:color="auto" w:fill="E1DFDD"/>
    </w:rPr>
  </w:style>
  <w:style w:type="table" w:customStyle="1" w:styleId="Table">
    <w:name w:val="Table"/>
    <w:semiHidden/>
    <w:unhideWhenUsed/>
    <w:qFormat/>
    <w:rsid w:val="00611149"/>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MarshallRoll/Advanced_Methods_Roll/tree/main/Project%2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1473</TotalTime>
  <Pages>6</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Roll</dc:creator>
  <cp:keywords/>
  <dc:description/>
  <cp:lastModifiedBy>Marshall Roll</cp:lastModifiedBy>
  <cp:revision>5</cp:revision>
  <dcterms:created xsi:type="dcterms:W3CDTF">2026-03-27T23:03:00Z</dcterms:created>
  <dcterms:modified xsi:type="dcterms:W3CDTF">2026-03-29T23:49:00Z</dcterms:modified>
</cp:coreProperties>
</file>