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A044" w14:textId="5111977E" w:rsidR="00102505" w:rsidRDefault="00102505" w:rsidP="00102505">
      <w:pPr>
        <w:spacing w:line="480" w:lineRule="auto"/>
        <w:jc w:val="center"/>
        <w:rPr>
          <w:rFonts w:ascii="Arial" w:hAnsi="Arial" w:cs="Arial"/>
        </w:rPr>
      </w:pPr>
      <w:r>
        <w:rPr>
          <w:rFonts w:ascii="Arial" w:hAnsi="Arial" w:cs="Arial"/>
          <w:b/>
          <w:bCs/>
        </w:rPr>
        <w:t xml:space="preserve">Project 1 Interim Analysis Plan </w:t>
      </w:r>
      <w:r w:rsidRPr="00102505">
        <w:rPr>
          <w:rFonts w:ascii="Arial" w:hAnsi="Arial" w:cs="Arial"/>
        </w:rPr>
        <w:t>-</w:t>
      </w:r>
      <w:r>
        <w:rPr>
          <w:rFonts w:ascii="Arial" w:hAnsi="Arial" w:cs="Arial"/>
          <w:b/>
          <w:bCs/>
        </w:rPr>
        <w:t xml:space="preserve"> </w:t>
      </w:r>
      <w:r>
        <w:rPr>
          <w:rFonts w:ascii="Arial" w:hAnsi="Arial" w:cs="Arial"/>
        </w:rPr>
        <w:t>Marshall Roll</w:t>
      </w:r>
    </w:p>
    <w:p w14:paraId="76F17FA1" w14:textId="4AB175A9" w:rsidR="00102505" w:rsidRDefault="00102505" w:rsidP="002C3603">
      <w:pPr>
        <w:spacing w:line="480" w:lineRule="auto"/>
        <w:ind w:firstLine="720"/>
        <w:rPr>
          <w:rFonts w:ascii="Arial" w:hAnsi="Arial" w:cs="Arial"/>
        </w:rPr>
      </w:pPr>
      <w:r>
        <w:rPr>
          <w:rFonts w:ascii="Arial" w:hAnsi="Arial" w:cs="Arial"/>
        </w:rPr>
        <w:t xml:space="preserve">This project seeks to understand how the </w:t>
      </w:r>
      <w:r w:rsidR="00CF0E8D">
        <w:rPr>
          <w:rFonts w:ascii="Arial" w:hAnsi="Arial" w:cs="Arial"/>
        </w:rPr>
        <w:t xml:space="preserve">two-year </w:t>
      </w:r>
      <w:r>
        <w:rPr>
          <w:rFonts w:ascii="Arial" w:hAnsi="Arial" w:cs="Arial"/>
        </w:rPr>
        <w:t xml:space="preserve">response to highly active antiretroviral treatment (HAART) for HIV </w:t>
      </w:r>
      <w:r w:rsidR="00D871BE">
        <w:rPr>
          <w:rFonts w:ascii="Arial" w:hAnsi="Arial" w:cs="Arial"/>
        </w:rPr>
        <w:t xml:space="preserve">differs </w:t>
      </w:r>
      <w:r w:rsidR="00CF0E8D">
        <w:rPr>
          <w:rFonts w:ascii="Arial" w:hAnsi="Arial" w:cs="Arial"/>
        </w:rPr>
        <w:t xml:space="preserve">for </w:t>
      </w:r>
      <w:r w:rsidR="003D42E6">
        <w:rPr>
          <w:rFonts w:ascii="Arial" w:hAnsi="Arial" w:cs="Arial"/>
        </w:rPr>
        <w:t xml:space="preserve">patients who use hard drugs like cocaine and heroin. Data is sourced from the Multicenter AIDS Cohort Study, which records treatment histories of HIV-infected men in four major American cities. The efficacy of the HAART treatment can be quantified through laboratory measures, such as viral load (number of HIV copies in 1 mL of blood) and CD4+ T cell count as well as participant-reported quality of life scores from the Short Form Health Survey (SF-36 physical and mental components). Thus, we will test whether there is a significant association between hard drug use at baseline and </w:t>
      </w:r>
      <w:r w:rsidR="002C3603">
        <w:rPr>
          <w:rFonts w:ascii="Arial" w:hAnsi="Arial" w:cs="Arial"/>
        </w:rPr>
        <w:t xml:space="preserve">the 2-year change in </w:t>
      </w:r>
      <w:r w:rsidR="003D42E6">
        <w:rPr>
          <w:rFonts w:ascii="Arial" w:hAnsi="Arial" w:cs="Arial"/>
        </w:rPr>
        <w:t>each of the four outcomes (viral load, CD4+ T cell count, SF-36 physical, SF-36 mental)</w:t>
      </w:r>
      <w:r w:rsidR="002C3603">
        <w:rPr>
          <w:rFonts w:ascii="Arial" w:hAnsi="Arial" w:cs="Arial"/>
        </w:rPr>
        <w:t xml:space="preserve"> when controlling for standard covariates (baseline age, baseline education status, baseline smoking status, baseline BMI, race, and ethnicity).</w:t>
      </w:r>
      <w:r w:rsidR="002C3603">
        <w:rPr>
          <w:rFonts w:ascii="Arial" w:hAnsi="Arial" w:cs="Arial"/>
        </w:rPr>
        <w:br/>
      </w:r>
      <w:r w:rsidR="002C3603">
        <w:rPr>
          <w:rFonts w:ascii="Arial" w:hAnsi="Arial" w:cs="Arial"/>
        </w:rPr>
        <w:tab/>
        <w:t xml:space="preserve">Several variables will be condensed for ease of interpretation and increased statistical power: education status will be categorized as high school education or lower, some college, college degree, and at least some post-secondary education, smoking status as current smoker or non-current smoker, race as white, Black, Asian, and other, and ethnicity as Hispanic or non-Hispanic. </w:t>
      </w:r>
      <w:r w:rsidR="00192EF4">
        <w:rPr>
          <w:rFonts w:ascii="Arial" w:hAnsi="Arial" w:cs="Arial"/>
        </w:rPr>
        <w:t xml:space="preserve">Negative covariate values or values of “999” will be </w:t>
      </w:r>
      <w:r w:rsidR="00CF0E8D">
        <w:rPr>
          <w:rFonts w:ascii="Arial" w:hAnsi="Arial" w:cs="Arial"/>
        </w:rPr>
        <w:t>considered</w:t>
      </w:r>
      <w:r w:rsidR="00192EF4">
        <w:rPr>
          <w:rFonts w:ascii="Arial" w:hAnsi="Arial" w:cs="Arial"/>
        </w:rPr>
        <w:t xml:space="preserve"> missing. </w:t>
      </w:r>
      <w:r w:rsidR="00B25AE5">
        <w:rPr>
          <w:rFonts w:ascii="Arial" w:hAnsi="Arial" w:cs="Arial"/>
        </w:rPr>
        <w:t xml:space="preserve">The mechanism of </w:t>
      </w:r>
      <w:r w:rsidR="00CF0E8D">
        <w:rPr>
          <w:rFonts w:ascii="Arial" w:hAnsi="Arial" w:cs="Arial"/>
        </w:rPr>
        <w:t xml:space="preserve">response </w:t>
      </w:r>
      <w:r w:rsidR="00B25AE5">
        <w:rPr>
          <w:rFonts w:ascii="Arial" w:hAnsi="Arial" w:cs="Arial"/>
        </w:rPr>
        <w:t xml:space="preserve">missingness will be assessed using Little’s MCAR test and </w:t>
      </w:r>
      <w:r w:rsidR="00CF0E8D">
        <w:rPr>
          <w:rFonts w:ascii="Arial" w:hAnsi="Arial" w:cs="Arial"/>
        </w:rPr>
        <w:t>logistic</w:t>
      </w:r>
      <w:r w:rsidR="00B25AE5">
        <w:rPr>
          <w:rFonts w:ascii="Arial" w:hAnsi="Arial" w:cs="Arial"/>
        </w:rPr>
        <w:t xml:space="preserve"> regression to determine if missing values in each of the four outcomes depend on the observed values of each of the other three outcomes. </w:t>
      </w:r>
      <w:r w:rsidR="0025117D">
        <w:rPr>
          <w:rFonts w:ascii="Arial" w:hAnsi="Arial" w:cs="Arial"/>
        </w:rPr>
        <w:t>If data is MCAR or MAR, a complete case analysis of participants with baseline and 2-year follow-up will be conducted</w:t>
      </w:r>
      <w:r w:rsidR="003E5DD8">
        <w:rPr>
          <w:rFonts w:ascii="Arial" w:hAnsi="Arial" w:cs="Arial"/>
        </w:rPr>
        <w:t xml:space="preserve"> (n = 506)</w:t>
      </w:r>
      <w:r w:rsidR="0025117D">
        <w:rPr>
          <w:rFonts w:ascii="Arial" w:hAnsi="Arial" w:cs="Arial"/>
        </w:rPr>
        <w:t xml:space="preserve">. </w:t>
      </w:r>
      <w:r w:rsidR="00B25AE5">
        <w:rPr>
          <w:rFonts w:ascii="Arial" w:hAnsi="Arial" w:cs="Arial"/>
        </w:rPr>
        <w:t xml:space="preserve">The primary analyses will be conducted </w:t>
      </w:r>
      <w:r w:rsidR="0025117D">
        <w:rPr>
          <w:rFonts w:ascii="Arial" w:hAnsi="Arial" w:cs="Arial"/>
        </w:rPr>
        <w:t xml:space="preserve">in </w:t>
      </w:r>
      <w:r w:rsidR="00B25AE5">
        <w:rPr>
          <w:rFonts w:ascii="Arial" w:hAnsi="Arial" w:cs="Arial"/>
        </w:rPr>
        <w:lastRenderedPageBreak/>
        <w:t xml:space="preserve">both </w:t>
      </w:r>
      <w:r w:rsidR="0025117D">
        <w:rPr>
          <w:rFonts w:ascii="Arial" w:hAnsi="Arial" w:cs="Arial"/>
        </w:rPr>
        <w:t xml:space="preserve">the </w:t>
      </w:r>
      <w:r w:rsidR="00B25AE5">
        <w:rPr>
          <w:rFonts w:ascii="Arial" w:hAnsi="Arial" w:cs="Arial"/>
        </w:rPr>
        <w:t xml:space="preserve">frequentist </w:t>
      </w:r>
      <w:r w:rsidR="0025117D">
        <w:rPr>
          <w:rFonts w:ascii="Arial" w:hAnsi="Arial" w:cs="Arial"/>
        </w:rPr>
        <w:t>(linear regression</w:t>
      </w:r>
      <w:r w:rsidR="00C42DAA">
        <w:rPr>
          <w:rFonts w:ascii="Arial" w:hAnsi="Arial" w:cs="Arial"/>
        </w:rPr>
        <w:t>, assessed with p-values and 95% confidence intervals</w:t>
      </w:r>
      <w:r w:rsidR="0025117D">
        <w:rPr>
          <w:rFonts w:ascii="Arial" w:hAnsi="Arial" w:cs="Arial"/>
        </w:rPr>
        <w:t xml:space="preserve">) </w:t>
      </w:r>
      <w:r w:rsidR="00B25AE5">
        <w:rPr>
          <w:rFonts w:ascii="Arial" w:hAnsi="Arial" w:cs="Arial"/>
        </w:rPr>
        <w:t xml:space="preserve">and Bayesian </w:t>
      </w:r>
      <w:r w:rsidR="0025117D">
        <w:rPr>
          <w:rFonts w:ascii="Arial" w:hAnsi="Arial" w:cs="Arial"/>
        </w:rPr>
        <w:t>frameworks (regression with non-informative priors</w:t>
      </w:r>
      <w:r w:rsidR="00C42DAA">
        <w:rPr>
          <w:rFonts w:ascii="Arial" w:hAnsi="Arial" w:cs="Arial"/>
        </w:rPr>
        <w:t>, evaluated with WAIC, 95% credible intervals</w:t>
      </w:r>
      <w:r w:rsidR="0025117D">
        <w:rPr>
          <w:rFonts w:ascii="Arial" w:hAnsi="Arial" w:cs="Arial"/>
        </w:rPr>
        <w:t xml:space="preserve">) for a total of 8 final models, controlling for listed covariates. Secondary study will include a mediation analysis to determine if adherence is a mediator between hard drug use and </w:t>
      </w:r>
      <w:r w:rsidR="00EF37D3">
        <w:rPr>
          <w:rFonts w:ascii="Arial" w:hAnsi="Arial" w:cs="Arial"/>
        </w:rPr>
        <w:t>lab-based health outcomes (</w:t>
      </w:r>
      <w:r w:rsidR="003E5DD8">
        <w:rPr>
          <w:rFonts w:ascii="Arial" w:hAnsi="Arial" w:cs="Arial"/>
        </w:rPr>
        <w:t xml:space="preserve">2-year change in </w:t>
      </w:r>
      <w:r w:rsidR="00EF37D3">
        <w:rPr>
          <w:rFonts w:ascii="Arial" w:hAnsi="Arial" w:cs="Arial"/>
        </w:rPr>
        <w:t xml:space="preserve">viral load and CD4+ cell count) as well as if lab-based health outcomes are a mediator between adherence and self-reported health outcomes (SF-36 physical and mental scores). We will also assess if there is a direct effect of adherence on self-reported health outcomes to account for potential collider bias using linear regression. If adherence is determined to be a significant mediator, it will be excluded from the final models; if not, it will be included as a covariate. The possibility of interaction effects between hard drug use and covariates will be assessed using exploratory visualization and context, as well as transformations to any of the four outcomes to improve linearity. No correction for multiple comparisons will be included as we have four distinct, pre-specified hypotheses. The alpha threshold of significance will be set at 0.05; all analyses will be conducted using R 4.5.1. </w:t>
      </w:r>
    </w:p>
    <w:p w14:paraId="2C59B04E" w14:textId="77777777" w:rsidR="002C3603" w:rsidRPr="00102505" w:rsidRDefault="002C3603" w:rsidP="00102505">
      <w:pPr>
        <w:spacing w:line="480" w:lineRule="auto"/>
        <w:rPr>
          <w:rFonts w:ascii="Arial" w:hAnsi="Arial" w:cs="Arial"/>
        </w:rPr>
      </w:pPr>
    </w:p>
    <w:p w14:paraId="09F0C95E" w14:textId="77777777" w:rsidR="00102505" w:rsidRPr="00102505" w:rsidRDefault="00102505" w:rsidP="00102505">
      <w:pPr>
        <w:spacing w:line="480" w:lineRule="auto"/>
        <w:jc w:val="center"/>
        <w:rPr>
          <w:rFonts w:ascii="Arial" w:hAnsi="Arial" w:cs="Arial"/>
        </w:rPr>
      </w:pPr>
    </w:p>
    <w:sectPr w:rsidR="00102505" w:rsidRPr="00102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505"/>
    <w:rsid w:val="00102505"/>
    <w:rsid w:val="00192EF4"/>
    <w:rsid w:val="0025117D"/>
    <w:rsid w:val="002C3603"/>
    <w:rsid w:val="003D42E6"/>
    <w:rsid w:val="003E5DD8"/>
    <w:rsid w:val="004008F2"/>
    <w:rsid w:val="004519CB"/>
    <w:rsid w:val="005F73EE"/>
    <w:rsid w:val="006A3B0C"/>
    <w:rsid w:val="006C66CF"/>
    <w:rsid w:val="008345DD"/>
    <w:rsid w:val="00B25AE5"/>
    <w:rsid w:val="00C42DAA"/>
    <w:rsid w:val="00CF0E8D"/>
    <w:rsid w:val="00D871BE"/>
    <w:rsid w:val="00EF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2996C"/>
  <w15:chartTrackingRefBased/>
  <w15:docId w15:val="{1627AAC1-68DD-4D8C-891C-DA17EB995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505"/>
    <w:rPr>
      <w:rFonts w:eastAsiaTheme="majorEastAsia" w:cstheme="majorBidi"/>
      <w:color w:val="272727" w:themeColor="text1" w:themeTint="D8"/>
    </w:rPr>
  </w:style>
  <w:style w:type="paragraph" w:styleId="Title">
    <w:name w:val="Title"/>
    <w:basedOn w:val="Normal"/>
    <w:next w:val="Normal"/>
    <w:link w:val="TitleChar"/>
    <w:uiPriority w:val="10"/>
    <w:qFormat/>
    <w:rsid w:val="00102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505"/>
    <w:pPr>
      <w:spacing w:before="160"/>
      <w:jc w:val="center"/>
    </w:pPr>
    <w:rPr>
      <w:i/>
      <w:iCs/>
      <w:color w:val="404040" w:themeColor="text1" w:themeTint="BF"/>
    </w:rPr>
  </w:style>
  <w:style w:type="character" w:customStyle="1" w:styleId="QuoteChar">
    <w:name w:val="Quote Char"/>
    <w:basedOn w:val="DefaultParagraphFont"/>
    <w:link w:val="Quote"/>
    <w:uiPriority w:val="29"/>
    <w:rsid w:val="00102505"/>
    <w:rPr>
      <w:i/>
      <w:iCs/>
      <w:color w:val="404040" w:themeColor="text1" w:themeTint="BF"/>
    </w:rPr>
  </w:style>
  <w:style w:type="paragraph" w:styleId="ListParagraph">
    <w:name w:val="List Paragraph"/>
    <w:basedOn w:val="Normal"/>
    <w:uiPriority w:val="34"/>
    <w:qFormat/>
    <w:rsid w:val="00102505"/>
    <w:pPr>
      <w:ind w:left="720"/>
      <w:contextualSpacing/>
    </w:pPr>
  </w:style>
  <w:style w:type="character" w:styleId="IntenseEmphasis">
    <w:name w:val="Intense Emphasis"/>
    <w:basedOn w:val="DefaultParagraphFont"/>
    <w:uiPriority w:val="21"/>
    <w:qFormat/>
    <w:rsid w:val="00102505"/>
    <w:rPr>
      <w:i/>
      <w:iCs/>
      <w:color w:val="0F4761" w:themeColor="accent1" w:themeShade="BF"/>
    </w:rPr>
  </w:style>
  <w:style w:type="paragraph" w:styleId="IntenseQuote">
    <w:name w:val="Intense Quote"/>
    <w:basedOn w:val="Normal"/>
    <w:next w:val="Normal"/>
    <w:link w:val="IntenseQuoteChar"/>
    <w:uiPriority w:val="30"/>
    <w:qFormat/>
    <w:rsid w:val="00102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505"/>
    <w:rPr>
      <w:i/>
      <w:iCs/>
      <w:color w:val="0F4761" w:themeColor="accent1" w:themeShade="BF"/>
    </w:rPr>
  </w:style>
  <w:style w:type="character" w:styleId="IntenseReference">
    <w:name w:val="Intense Reference"/>
    <w:basedOn w:val="DefaultParagraphFont"/>
    <w:uiPriority w:val="32"/>
    <w:qFormat/>
    <w:rsid w:val="00102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Roll</dc:creator>
  <cp:keywords/>
  <dc:description/>
  <cp:lastModifiedBy>Marshall Roll</cp:lastModifiedBy>
  <cp:revision>6</cp:revision>
  <dcterms:created xsi:type="dcterms:W3CDTF">2026-02-16T19:40:00Z</dcterms:created>
  <dcterms:modified xsi:type="dcterms:W3CDTF">2026-02-17T06:43:00Z</dcterms:modified>
</cp:coreProperties>
</file>