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7A51F" w14:textId="7BB65BF1" w:rsidR="002524A3" w:rsidRDefault="002524A3" w:rsidP="002524A3">
      <w:pPr>
        <w:spacing w:line="480" w:lineRule="auto"/>
        <w:jc w:val="center"/>
        <w:rPr>
          <w:sz w:val="22"/>
          <w:szCs w:val="22"/>
        </w:rPr>
      </w:pPr>
      <w:r w:rsidRPr="002524A3">
        <w:rPr>
          <w:b/>
          <w:bCs/>
          <w:sz w:val="22"/>
          <w:szCs w:val="22"/>
        </w:rPr>
        <w:t>Project 2 Interim Analysis Plan</w:t>
      </w:r>
      <w:r>
        <w:rPr>
          <w:sz w:val="22"/>
          <w:szCs w:val="22"/>
        </w:rPr>
        <w:t xml:space="preserve"> – Marshall Roll</w:t>
      </w:r>
    </w:p>
    <w:p w14:paraId="708044DA" w14:textId="77777777" w:rsidR="002524A3" w:rsidRDefault="00E0757E" w:rsidP="002524A3">
      <w:pPr>
        <w:spacing w:line="480" w:lineRule="auto"/>
        <w:ind w:firstLine="720"/>
        <w:rPr>
          <w:sz w:val="22"/>
          <w:szCs w:val="22"/>
        </w:rPr>
      </w:pPr>
      <w:r w:rsidRPr="00E41D45">
        <w:rPr>
          <w:sz w:val="22"/>
          <w:szCs w:val="22"/>
        </w:rPr>
        <w:t xml:space="preserve">The goal of this project is to understand </w:t>
      </w:r>
      <w:r w:rsidR="00E41D45" w:rsidRPr="00E41D45">
        <w:rPr>
          <w:sz w:val="22"/>
          <w:szCs w:val="22"/>
        </w:rPr>
        <w:t xml:space="preserve">the </w:t>
      </w:r>
      <w:r w:rsidR="00085106">
        <w:rPr>
          <w:sz w:val="22"/>
          <w:szCs w:val="22"/>
        </w:rPr>
        <w:t xml:space="preserve">immunologically driven </w:t>
      </w:r>
      <w:r w:rsidR="00E41D45" w:rsidRPr="00E41D45">
        <w:rPr>
          <w:sz w:val="22"/>
          <w:szCs w:val="22"/>
        </w:rPr>
        <w:t xml:space="preserve">mechanisms of cognitive decline in </w:t>
      </w:r>
      <w:r w:rsidR="00085106">
        <w:rPr>
          <w:sz w:val="22"/>
          <w:szCs w:val="22"/>
        </w:rPr>
        <w:t xml:space="preserve">adults with </w:t>
      </w:r>
      <w:r w:rsidR="00E41D45" w:rsidRPr="00E41D45">
        <w:rPr>
          <w:sz w:val="22"/>
          <w:szCs w:val="22"/>
        </w:rPr>
        <w:t>aMCI</w:t>
      </w:r>
      <w:r w:rsidR="00E41D45" w:rsidRPr="00E41D45">
        <w:rPr>
          <w:sz w:val="22"/>
          <w:szCs w:val="22"/>
        </w:rPr>
        <w:t xml:space="preserve"> (</w:t>
      </w:r>
      <w:r w:rsidR="009D5B6D" w:rsidRPr="009D5B6D">
        <w:rPr>
          <w:sz w:val="22"/>
          <w:szCs w:val="22"/>
        </w:rPr>
        <w:t>Amnestic Mild Cognitive Impairment</w:t>
      </w:r>
      <w:r w:rsidR="009D5B6D">
        <w:rPr>
          <w:sz w:val="22"/>
          <w:szCs w:val="22"/>
        </w:rPr>
        <w:t xml:space="preserve">, a </w:t>
      </w:r>
      <w:r w:rsidR="00E41D45" w:rsidRPr="00E41D45">
        <w:rPr>
          <w:sz w:val="22"/>
          <w:szCs w:val="22"/>
        </w:rPr>
        <w:t>pre-dementia state). We address two primary aims: (1) to e</w:t>
      </w:r>
      <w:r w:rsidR="00E41D45" w:rsidRPr="00E41D45">
        <w:rPr>
          <w:sz w:val="22"/>
          <w:szCs w:val="22"/>
        </w:rPr>
        <w:t>valuate</w:t>
      </w:r>
      <w:r w:rsidR="00E41D45" w:rsidRPr="00E41D45">
        <w:rPr>
          <w:b/>
          <w:bCs/>
          <w:sz w:val="22"/>
          <w:szCs w:val="22"/>
        </w:rPr>
        <w:t xml:space="preserve"> </w:t>
      </w:r>
      <w:r w:rsidR="00E41D45" w:rsidRPr="00E41D45">
        <w:rPr>
          <w:sz w:val="22"/>
          <w:szCs w:val="22"/>
        </w:rPr>
        <w:t xml:space="preserve">the change in </w:t>
      </w:r>
      <w:r w:rsidR="00E41D45" w:rsidRPr="00E41D45">
        <w:rPr>
          <w:sz w:val="22"/>
          <w:szCs w:val="22"/>
        </w:rPr>
        <w:t>peripheral inflammation, cognition, and brain structure</w:t>
      </w:r>
      <w:r w:rsidR="00E41D45" w:rsidRPr="00E41D45">
        <w:rPr>
          <w:sz w:val="22"/>
          <w:szCs w:val="22"/>
        </w:rPr>
        <w:t xml:space="preserve"> over time in aMCI patients and (2) to </w:t>
      </w:r>
      <w:r w:rsidR="00E41D45">
        <w:rPr>
          <w:sz w:val="22"/>
          <w:szCs w:val="22"/>
        </w:rPr>
        <w:t xml:space="preserve">understand </w:t>
      </w:r>
      <w:r w:rsidR="00E41D45" w:rsidRPr="00E41D45">
        <w:rPr>
          <w:sz w:val="22"/>
          <w:szCs w:val="22"/>
        </w:rPr>
        <w:t xml:space="preserve">how peripheral inflammation </w:t>
      </w:r>
      <w:r w:rsidR="00E41D45">
        <w:rPr>
          <w:sz w:val="22"/>
          <w:szCs w:val="22"/>
        </w:rPr>
        <w:t>affect</w:t>
      </w:r>
      <w:r w:rsidR="00094905">
        <w:rPr>
          <w:sz w:val="22"/>
          <w:szCs w:val="22"/>
        </w:rPr>
        <w:t xml:space="preserve">s </w:t>
      </w:r>
      <w:r w:rsidR="00E41D45" w:rsidRPr="00E41D45">
        <w:rPr>
          <w:sz w:val="22"/>
          <w:szCs w:val="22"/>
        </w:rPr>
        <w:t>the relationship between A</w:t>
      </w:r>
      <w:r w:rsidR="00E91626">
        <w:rPr>
          <w:sz w:val="22"/>
          <w:szCs w:val="22"/>
        </w:rPr>
        <w:t>lzheimer’s Disease (AD)</w:t>
      </w:r>
      <w:r w:rsidR="00E41D45" w:rsidRPr="00E41D45">
        <w:rPr>
          <w:sz w:val="22"/>
          <w:szCs w:val="22"/>
        </w:rPr>
        <w:t xml:space="preserve"> </w:t>
      </w:r>
      <w:r w:rsidR="00E91626">
        <w:rPr>
          <w:sz w:val="22"/>
          <w:szCs w:val="22"/>
        </w:rPr>
        <w:t xml:space="preserve">manifestations </w:t>
      </w:r>
      <w:r w:rsidR="00E41D45" w:rsidRPr="00E41D45">
        <w:rPr>
          <w:sz w:val="22"/>
          <w:szCs w:val="22"/>
        </w:rPr>
        <w:t xml:space="preserve">and </w:t>
      </w:r>
      <w:r w:rsidR="00E91626">
        <w:rPr>
          <w:sz w:val="22"/>
          <w:szCs w:val="22"/>
        </w:rPr>
        <w:t xml:space="preserve">the </w:t>
      </w:r>
      <w:r w:rsidR="00E41D45" w:rsidRPr="00E41D45">
        <w:rPr>
          <w:sz w:val="22"/>
          <w:szCs w:val="22"/>
        </w:rPr>
        <w:t>progression of aMCI</w:t>
      </w:r>
      <w:r w:rsidR="00E41D45">
        <w:rPr>
          <w:sz w:val="22"/>
          <w:szCs w:val="22"/>
        </w:rPr>
        <w:t>.</w:t>
      </w:r>
      <w:r w:rsidR="00094905">
        <w:rPr>
          <w:sz w:val="22"/>
          <w:szCs w:val="22"/>
        </w:rPr>
        <w:t xml:space="preserve"> To address aim 1, we will use </w:t>
      </w:r>
      <w:r w:rsidR="00E91626">
        <w:rPr>
          <w:sz w:val="22"/>
          <w:szCs w:val="22"/>
        </w:rPr>
        <w:t xml:space="preserve">the one-year change in </w:t>
      </w:r>
      <w:r w:rsidR="00A04138">
        <w:rPr>
          <w:sz w:val="22"/>
          <w:szCs w:val="22"/>
        </w:rPr>
        <w:t>five cognitive outcome variables (Grant Table 3: CVLT 20’ Delay Total Correct, CVLT Recognition D-Prime, Benson Figure 15’ Delay Total Correct, MST Proportion Correct, and Story Recall 1-Week Delay Total Correct) and</w:t>
      </w:r>
      <w:r w:rsidR="00E91626">
        <w:rPr>
          <w:sz w:val="22"/>
          <w:szCs w:val="22"/>
        </w:rPr>
        <w:t xml:space="preserve"> the one-year change in</w:t>
      </w:r>
      <w:r w:rsidR="00085106">
        <w:rPr>
          <w:sz w:val="22"/>
          <w:szCs w:val="22"/>
        </w:rPr>
        <w:t xml:space="preserve"> one measure of brain structure</w:t>
      </w:r>
      <w:r w:rsidR="00A04138">
        <w:rPr>
          <w:sz w:val="22"/>
          <w:szCs w:val="22"/>
        </w:rPr>
        <w:t xml:space="preserve"> </w:t>
      </w:r>
      <w:r w:rsidR="00085106">
        <w:rPr>
          <w:sz w:val="22"/>
          <w:szCs w:val="22"/>
        </w:rPr>
        <w:t>(</w:t>
      </w:r>
      <w:r w:rsidR="00E91626">
        <w:rPr>
          <w:sz w:val="22"/>
          <w:szCs w:val="22"/>
        </w:rPr>
        <w:t xml:space="preserve">mean </w:t>
      </w:r>
      <w:r w:rsidR="00A04138">
        <w:rPr>
          <w:sz w:val="22"/>
          <w:szCs w:val="22"/>
        </w:rPr>
        <w:t>cortical thickness</w:t>
      </w:r>
      <w:r w:rsidR="00E91626">
        <w:rPr>
          <w:sz w:val="22"/>
          <w:szCs w:val="22"/>
        </w:rPr>
        <w:t xml:space="preserve"> across AD regions</w:t>
      </w:r>
      <w:r w:rsidR="00085106">
        <w:rPr>
          <w:sz w:val="22"/>
          <w:szCs w:val="22"/>
        </w:rPr>
        <w:t>)</w:t>
      </w:r>
      <w:r w:rsidR="00A04138">
        <w:rPr>
          <w:sz w:val="22"/>
          <w:szCs w:val="22"/>
        </w:rPr>
        <w:t>.</w:t>
      </w:r>
      <w:r w:rsidR="00E91626">
        <w:rPr>
          <w:sz w:val="22"/>
          <w:szCs w:val="22"/>
        </w:rPr>
        <w:t xml:space="preserve"> The primary explanatory variables will be 4 key cytokines measuring peripheral inflammation (Eotaxin-1, IL-6, TNF-alpha, and MCP-1)</w:t>
      </w:r>
      <w:r w:rsidR="00197592">
        <w:rPr>
          <w:sz w:val="22"/>
          <w:szCs w:val="22"/>
        </w:rPr>
        <w:t xml:space="preserve">. </w:t>
      </w:r>
      <w:r w:rsidR="005F45D1">
        <w:rPr>
          <w:sz w:val="22"/>
          <w:szCs w:val="22"/>
        </w:rPr>
        <w:t>Linear r</w:t>
      </w:r>
      <w:r w:rsidR="00197592">
        <w:rPr>
          <w:sz w:val="22"/>
          <w:szCs w:val="22"/>
        </w:rPr>
        <w:t>egression models will first be used to assess the relationship between each of the outcomes and the values of the explanatory variables at baseline</w:t>
      </w:r>
      <w:r w:rsidR="005F45D1">
        <w:rPr>
          <w:sz w:val="22"/>
          <w:szCs w:val="22"/>
        </w:rPr>
        <w:t xml:space="preserve"> (Hypothesis 1a)</w:t>
      </w:r>
      <w:r w:rsidR="00197592">
        <w:rPr>
          <w:sz w:val="22"/>
          <w:szCs w:val="22"/>
        </w:rPr>
        <w:t>; if these predictors are significantly associated with the outcomes, we will also model the outcome variables with the 1-year change in the level of the explanatory variables to determine whether greater changes in peripheral inflammation are associated with larger cognitive decline</w:t>
      </w:r>
      <w:r w:rsidR="00190686">
        <w:rPr>
          <w:sz w:val="22"/>
          <w:szCs w:val="22"/>
        </w:rPr>
        <w:t xml:space="preserve"> and cortical thickness</w:t>
      </w:r>
      <w:r w:rsidR="005F45D1">
        <w:rPr>
          <w:sz w:val="22"/>
          <w:szCs w:val="22"/>
        </w:rPr>
        <w:t xml:space="preserve"> (Hypothesis 1b)</w:t>
      </w:r>
      <w:r w:rsidR="00190686">
        <w:rPr>
          <w:sz w:val="22"/>
          <w:szCs w:val="22"/>
        </w:rPr>
        <w:t xml:space="preserve">. We will control for age and sex in each model. Other covariates including </w:t>
      </w:r>
      <w:r w:rsidR="00190686" w:rsidRPr="00190686">
        <w:rPr>
          <w:sz w:val="22"/>
          <w:szCs w:val="22"/>
        </w:rPr>
        <w:t>demographic</w:t>
      </w:r>
      <w:r w:rsidR="00E76346">
        <w:rPr>
          <w:sz w:val="22"/>
          <w:szCs w:val="22"/>
        </w:rPr>
        <w:t>s</w:t>
      </w:r>
      <w:r w:rsidR="00190686" w:rsidRPr="00190686">
        <w:rPr>
          <w:sz w:val="22"/>
          <w:szCs w:val="22"/>
        </w:rPr>
        <w:t xml:space="preserve">, functional </w:t>
      </w:r>
      <w:r w:rsidR="00190686">
        <w:rPr>
          <w:sz w:val="22"/>
          <w:szCs w:val="22"/>
        </w:rPr>
        <w:t xml:space="preserve">and </w:t>
      </w:r>
      <w:r w:rsidR="00190686" w:rsidRPr="00190686">
        <w:rPr>
          <w:sz w:val="22"/>
          <w:szCs w:val="22"/>
        </w:rPr>
        <w:t>behavioral</w:t>
      </w:r>
      <w:r w:rsidR="00190686">
        <w:rPr>
          <w:sz w:val="22"/>
          <w:szCs w:val="22"/>
        </w:rPr>
        <w:t xml:space="preserve"> scores</w:t>
      </w:r>
      <w:r w:rsidR="00190686" w:rsidRPr="00190686">
        <w:rPr>
          <w:sz w:val="22"/>
          <w:szCs w:val="22"/>
        </w:rPr>
        <w:t xml:space="preserve">, medication use, cardiovascular risk metrics, APOE genotype, and </w:t>
      </w:r>
      <w:r w:rsidR="00190686">
        <w:rPr>
          <w:sz w:val="22"/>
          <w:szCs w:val="22"/>
        </w:rPr>
        <w:t xml:space="preserve">other </w:t>
      </w:r>
      <w:r w:rsidR="00190686" w:rsidRPr="00190686">
        <w:rPr>
          <w:sz w:val="22"/>
          <w:szCs w:val="22"/>
        </w:rPr>
        <w:t>diagnostic information</w:t>
      </w:r>
      <w:r w:rsidR="00E76346">
        <w:rPr>
          <w:sz w:val="22"/>
          <w:szCs w:val="22"/>
        </w:rPr>
        <w:t xml:space="preserve">, will be selected using </w:t>
      </w:r>
      <w:r w:rsidR="001617EB">
        <w:rPr>
          <w:sz w:val="22"/>
          <w:szCs w:val="22"/>
        </w:rPr>
        <w:t>both clinical relevance of each covariate and elastic net</w:t>
      </w:r>
      <w:r w:rsidR="00E76346">
        <w:rPr>
          <w:sz w:val="22"/>
          <w:szCs w:val="22"/>
        </w:rPr>
        <w:t xml:space="preserve"> to account for multicollinearity between predictors and to reduce model complexity. </w:t>
      </w:r>
      <w:r w:rsidR="00190686">
        <w:rPr>
          <w:sz w:val="22"/>
          <w:szCs w:val="22"/>
        </w:rPr>
        <w:t>Exploratory analysis will be conducted to determine if there is any non-linearity in the relationship between outcomes and explanatory variables and any modifications to the scale of variables will be discussed with the investigator</w:t>
      </w:r>
      <w:r w:rsidR="005F45D1">
        <w:rPr>
          <w:sz w:val="22"/>
          <w:szCs w:val="22"/>
        </w:rPr>
        <w:t xml:space="preserve">. We will repeat this process for the secondary aim with the same outcomes but include an interaction </w:t>
      </w:r>
      <w:r w:rsidR="005F45D1">
        <w:rPr>
          <w:sz w:val="22"/>
          <w:szCs w:val="22"/>
        </w:rPr>
        <w:lastRenderedPageBreak/>
        <w:t xml:space="preserve">term between amyloid deposition and each of the four peripheral inflammation markers. </w:t>
      </w:r>
      <w:r w:rsidR="004A4FFE">
        <w:rPr>
          <w:sz w:val="22"/>
          <w:szCs w:val="22"/>
        </w:rPr>
        <w:t xml:space="preserve">For aim 2, however, we will only model the outcomes as a function of the 1-year change in the explanatory variables. </w:t>
      </w:r>
      <w:r w:rsidR="005F45D1">
        <w:rPr>
          <w:sz w:val="22"/>
          <w:szCs w:val="22"/>
        </w:rPr>
        <w:t xml:space="preserve">Amyloid deposition is a continuous variable but </w:t>
      </w:r>
      <w:r w:rsidR="003C048B">
        <w:rPr>
          <w:sz w:val="22"/>
          <w:szCs w:val="22"/>
        </w:rPr>
        <w:t>may</w:t>
      </w:r>
      <w:r w:rsidR="005F45D1">
        <w:rPr>
          <w:sz w:val="22"/>
          <w:szCs w:val="22"/>
        </w:rPr>
        <w:t xml:space="preserve"> be categorized into </w:t>
      </w:r>
      <w:r w:rsidR="003C048B">
        <w:rPr>
          <w:sz w:val="22"/>
          <w:szCs w:val="22"/>
        </w:rPr>
        <w:t>a dichotomous variable (</w:t>
      </w:r>
      <w:r w:rsidR="005F45D1">
        <w:rPr>
          <w:sz w:val="22"/>
          <w:szCs w:val="22"/>
        </w:rPr>
        <w:t>amyloid positive or negative</w:t>
      </w:r>
      <w:r w:rsidR="003C048B">
        <w:rPr>
          <w:sz w:val="22"/>
          <w:szCs w:val="22"/>
        </w:rPr>
        <w:t>)</w:t>
      </w:r>
      <w:r w:rsidR="005F45D1">
        <w:rPr>
          <w:sz w:val="22"/>
          <w:szCs w:val="22"/>
        </w:rPr>
        <w:t xml:space="preserve"> using a </w:t>
      </w:r>
      <w:r w:rsidR="003C048B">
        <w:rPr>
          <w:sz w:val="22"/>
          <w:szCs w:val="22"/>
        </w:rPr>
        <w:t xml:space="preserve">clinically determined threshold in the </w:t>
      </w:r>
      <w:r w:rsidR="005F45D1">
        <w:rPr>
          <w:sz w:val="22"/>
          <w:szCs w:val="22"/>
        </w:rPr>
        <w:t>standardized uptake value ratio (SUVR)</w:t>
      </w:r>
      <w:r w:rsidR="003C048B">
        <w:rPr>
          <w:sz w:val="22"/>
          <w:szCs w:val="22"/>
        </w:rPr>
        <w:t xml:space="preserve"> if non-linear relationships exist with the outcomes. Statistically significant values of the interaction terms between peripheral inflammation markers and </w:t>
      </w:r>
      <w:r w:rsidR="004A4FFE">
        <w:rPr>
          <w:sz w:val="22"/>
          <w:szCs w:val="22"/>
        </w:rPr>
        <w:t xml:space="preserve">amyloid deposition will be taken as evidence in support of hypothesis 2. </w:t>
      </w:r>
    </w:p>
    <w:p w14:paraId="4DACC7BA" w14:textId="1DF238F8" w:rsidR="00E0757E" w:rsidRPr="0030537C" w:rsidRDefault="00E442BE" w:rsidP="002524A3">
      <w:pPr>
        <w:spacing w:line="480" w:lineRule="auto"/>
        <w:ind w:firstLine="720"/>
        <w:rPr>
          <w:sz w:val="22"/>
          <w:szCs w:val="22"/>
        </w:rPr>
      </w:pPr>
      <w:r>
        <w:rPr>
          <w:sz w:val="22"/>
          <w:szCs w:val="22"/>
        </w:rPr>
        <w:t>To determine the possible power with 125 aMCI and 50 control participants</w:t>
      </w:r>
      <w:r w:rsidR="002524A3">
        <w:rPr>
          <w:sz w:val="22"/>
          <w:szCs w:val="22"/>
        </w:rPr>
        <w:t xml:space="preserve"> after accounting for attrition</w:t>
      </w:r>
      <w:r>
        <w:rPr>
          <w:sz w:val="22"/>
          <w:szCs w:val="22"/>
        </w:rPr>
        <w:t xml:space="preserve">, we will conduct a series of calculations based on known results for several outcomes of interest. Previous study has shown IL-6 is significantly associated with mean cortical thickness (n = 92, effect = </w:t>
      </w:r>
      <w:r w:rsidRPr="00E442BE">
        <w:rPr>
          <w:sz w:val="22"/>
          <w:szCs w:val="22"/>
        </w:rPr>
        <w:t xml:space="preserve">-20.133, </w:t>
      </w:r>
      <w:r>
        <w:rPr>
          <w:sz w:val="22"/>
          <w:szCs w:val="22"/>
        </w:rPr>
        <w:t xml:space="preserve">SE </w:t>
      </w:r>
      <w:r w:rsidRPr="00E442BE">
        <w:rPr>
          <w:sz w:val="22"/>
          <w:szCs w:val="22"/>
        </w:rPr>
        <w:t>= 9.604</w:t>
      </w:r>
      <w:r>
        <w:rPr>
          <w:sz w:val="22"/>
          <w:szCs w:val="22"/>
        </w:rPr>
        <w:t>), MCP-1 is significantly associated with worse memory scores (</w:t>
      </w:r>
      <w:r>
        <w:rPr>
          <w:sz w:val="22"/>
          <w:szCs w:val="22"/>
        </w:rPr>
        <w:t xml:space="preserve">n = 122, </w:t>
      </w:r>
      <w:r>
        <w:rPr>
          <w:sz w:val="22"/>
          <w:szCs w:val="22"/>
        </w:rPr>
        <w:t>effect</w:t>
      </w:r>
      <w:r w:rsidRPr="00E442BE">
        <w:rPr>
          <w:sz w:val="22"/>
          <w:szCs w:val="22"/>
        </w:rPr>
        <w:t xml:space="preserve"> = -0.018; SE = 0.009</w:t>
      </w:r>
      <w:r>
        <w:rPr>
          <w:sz w:val="22"/>
          <w:szCs w:val="22"/>
        </w:rPr>
        <w:t xml:space="preserve">), and Eotaxin-1 was significantly with worse recall (n = 40, effect </w:t>
      </w:r>
      <w:r w:rsidRPr="00E442BE">
        <w:rPr>
          <w:sz w:val="22"/>
          <w:szCs w:val="22"/>
        </w:rPr>
        <w:t>= -0.016, SE = 0.006</w:t>
      </w:r>
      <w:r>
        <w:rPr>
          <w:sz w:val="22"/>
          <w:szCs w:val="22"/>
        </w:rPr>
        <w:t xml:space="preserve">). These scenarios will be used as a starting point to calculate possible standard deviations and effect sizes. We will then vary the parameters in initial power calculations across a range of “best-case” and “worst-case” scenarios. In the best-case scenarios, we will assume a smaller effect size, lower variance, and </w:t>
      </w:r>
      <w:r w:rsidR="002524A3">
        <w:rPr>
          <w:sz w:val="22"/>
          <w:szCs w:val="22"/>
        </w:rPr>
        <w:t>an alpha threshold of 0.05. In worse-case scenarios, we will assume a larger effect size, higher variance, and a lower alpha threshold based on family-wise Type I error correction. This variety of scenarios will generate a range of potential power values with the given sample size and will provide context for the likelihood that the study is adequately powered across all outcomes of interest.</w:t>
      </w:r>
    </w:p>
    <w:sectPr w:rsidR="00E0757E" w:rsidRPr="003053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A3A4A"/>
    <w:multiLevelType w:val="hybridMultilevel"/>
    <w:tmpl w:val="C6CCF7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160184"/>
    <w:multiLevelType w:val="hybridMultilevel"/>
    <w:tmpl w:val="C9704E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6971154">
    <w:abstractNumId w:val="1"/>
  </w:num>
  <w:num w:numId="2" w16cid:durableId="545531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476"/>
    <w:rsid w:val="0000208A"/>
    <w:rsid w:val="00007B36"/>
    <w:rsid w:val="000323D9"/>
    <w:rsid w:val="00070020"/>
    <w:rsid w:val="00085106"/>
    <w:rsid w:val="00094905"/>
    <w:rsid w:val="0009511A"/>
    <w:rsid w:val="000C4303"/>
    <w:rsid w:val="000D24F0"/>
    <w:rsid w:val="00116909"/>
    <w:rsid w:val="00117488"/>
    <w:rsid w:val="00120385"/>
    <w:rsid w:val="0012127C"/>
    <w:rsid w:val="00125D21"/>
    <w:rsid w:val="00141A54"/>
    <w:rsid w:val="00143BBD"/>
    <w:rsid w:val="00145B07"/>
    <w:rsid w:val="001617EB"/>
    <w:rsid w:val="0016335B"/>
    <w:rsid w:val="00186985"/>
    <w:rsid w:val="00190686"/>
    <w:rsid w:val="00197592"/>
    <w:rsid w:val="001B6973"/>
    <w:rsid w:val="001B73FB"/>
    <w:rsid w:val="001D7C5D"/>
    <w:rsid w:val="001E722F"/>
    <w:rsid w:val="00202270"/>
    <w:rsid w:val="002028F0"/>
    <w:rsid w:val="00203204"/>
    <w:rsid w:val="00203220"/>
    <w:rsid w:val="0023317B"/>
    <w:rsid w:val="00242816"/>
    <w:rsid w:val="002524A3"/>
    <w:rsid w:val="00256876"/>
    <w:rsid w:val="00275DFA"/>
    <w:rsid w:val="00281177"/>
    <w:rsid w:val="002A19DE"/>
    <w:rsid w:val="002A4620"/>
    <w:rsid w:val="002E53E5"/>
    <w:rsid w:val="002F5370"/>
    <w:rsid w:val="00303569"/>
    <w:rsid w:val="0030537C"/>
    <w:rsid w:val="00313420"/>
    <w:rsid w:val="003371B5"/>
    <w:rsid w:val="00341AA7"/>
    <w:rsid w:val="00345B98"/>
    <w:rsid w:val="00352239"/>
    <w:rsid w:val="003526D4"/>
    <w:rsid w:val="0035765A"/>
    <w:rsid w:val="003A0DAB"/>
    <w:rsid w:val="003A4D89"/>
    <w:rsid w:val="003C048B"/>
    <w:rsid w:val="003C27E7"/>
    <w:rsid w:val="003D178E"/>
    <w:rsid w:val="003D3959"/>
    <w:rsid w:val="003F3B19"/>
    <w:rsid w:val="00411548"/>
    <w:rsid w:val="004142F5"/>
    <w:rsid w:val="00434C81"/>
    <w:rsid w:val="0043641B"/>
    <w:rsid w:val="00447409"/>
    <w:rsid w:val="00457C90"/>
    <w:rsid w:val="00460B59"/>
    <w:rsid w:val="00461C87"/>
    <w:rsid w:val="00470B80"/>
    <w:rsid w:val="004831F4"/>
    <w:rsid w:val="004921D7"/>
    <w:rsid w:val="00496106"/>
    <w:rsid w:val="004A4FFE"/>
    <w:rsid w:val="004B4D31"/>
    <w:rsid w:val="004D157C"/>
    <w:rsid w:val="004E3947"/>
    <w:rsid w:val="004E460F"/>
    <w:rsid w:val="004E6C09"/>
    <w:rsid w:val="004F37A1"/>
    <w:rsid w:val="0052756F"/>
    <w:rsid w:val="005314DF"/>
    <w:rsid w:val="00536420"/>
    <w:rsid w:val="00542911"/>
    <w:rsid w:val="0054785F"/>
    <w:rsid w:val="005540A8"/>
    <w:rsid w:val="00560604"/>
    <w:rsid w:val="00561467"/>
    <w:rsid w:val="0056459B"/>
    <w:rsid w:val="00566633"/>
    <w:rsid w:val="00571E46"/>
    <w:rsid w:val="00572445"/>
    <w:rsid w:val="00580DCC"/>
    <w:rsid w:val="00590CC2"/>
    <w:rsid w:val="00595A40"/>
    <w:rsid w:val="005D623F"/>
    <w:rsid w:val="005E0135"/>
    <w:rsid w:val="005F45D1"/>
    <w:rsid w:val="0061552E"/>
    <w:rsid w:val="00622D37"/>
    <w:rsid w:val="00625D3B"/>
    <w:rsid w:val="00633A7E"/>
    <w:rsid w:val="006468AA"/>
    <w:rsid w:val="00660F83"/>
    <w:rsid w:val="00672EE5"/>
    <w:rsid w:val="00677C46"/>
    <w:rsid w:val="006957E5"/>
    <w:rsid w:val="006B055E"/>
    <w:rsid w:val="006B7139"/>
    <w:rsid w:val="006C58A9"/>
    <w:rsid w:val="006E0854"/>
    <w:rsid w:val="006E25F0"/>
    <w:rsid w:val="00723271"/>
    <w:rsid w:val="007372FE"/>
    <w:rsid w:val="00743107"/>
    <w:rsid w:val="00747B4B"/>
    <w:rsid w:val="00757BE2"/>
    <w:rsid w:val="00765718"/>
    <w:rsid w:val="00767264"/>
    <w:rsid w:val="00775230"/>
    <w:rsid w:val="00787022"/>
    <w:rsid w:val="007916D9"/>
    <w:rsid w:val="0079615F"/>
    <w:rsid w:val="007A1A25"/>
    <w:rsid w:val="0080025F"/>
    <w:rsid w:val="00821E9C"/>
    <w:rsid w:val="00823FE4"/>
    <w:rsid w:val="00831B8F"/>
    <w:rsid w:val="00853E74"/>
    <w:rsid w:val="008667E9"/>
    <w:rsid w:val="00871049"/>
    <w:rsid w:val="00887359"/>
    <w:rsid w:val="00895E53"/>
    <w:rsid w:val="008A0408"/>
    <w:rsid w:val="008C0ADD"/>
    <w:rsid w:val="008C12C2"/>
    <w:rsid w:val="008E516C"/>
    <w:rsid w:val="008F4E98"/>
    <w:rsid w:val="00902016"/>
    <w:rsid w:val="00911737"/>
    <w:rsid w:val="009335BA"/>
    <w:rsid w:val="00956254"/>
    <w:rsid w:val="00973014"/>
    <w:rsid w:val="00976BA4"/>
    <w:rsid w:val="009A31ED"/>
    <w:rsid w:val="009D5B6D"/>
    <w:rsid w:val="009E5AFE"/>
    <w:rsid w:val="00A02D54"/>
    <w:rsid w:val="00A03905"/>
    <w:rsid w:val="00A04138"/>
    <w:rsid w:val="00A06FCC"/>
    <w:rsid w:val="00A4474D"/>
    <w:rsid w:val="00A769E9"/>
    <w:rsid w:val="00A95F70"/>
    <w:rsid w:val="00AC725F"/>
    <w:rsid w:val="00AD18D5"/>
    <w:rsid w:val="00AD550E"/>
    <w:rsid w:val="00AE7AD0"/>
    <w:rsid w:val="00AF05C9"/>
    <w:rsid w:val="00B04E51"/>
    <w:rsid w:val="00B32F7B"/>
    <w:rsid w:val="00B434D3"/>
    <w:rsid w:val="00B73A5D"/>
    <w:rsid w:val="00B76B2C"/>
    <w:rsid w:val="00B813E4"/>
    <w:rsid w:val="00B87166"/>
    <w:rsid w:val="00B97372"/>
    <w:rsid w:val="00BC3A48"/>
    <w:rsid w:val="00BE337E"/>
    <w:rsid w:val="00C06476"/>
    <w:rsid w:val="00C53715"/>
    <w:rsid w:val="00C71844"/>
    <w:rsid w:val="00C75BEC"/>
    <w:rsid w:val="00C93949"/>
    <w:rsid w:val="00C942F6"/>
    <w:rsid w:val="00C95139"/>
    <w:rsid w:val="00C977D7"/>
    <w:rsid w:val="00CA371A"/>
    <w:rsid w:val="00CA7341"/>
    <w:rsid w:val="00CB33A8"/>
    <w:rsid w:val="00CC69FE"/>
    <w:rsid w:val="00CF3E01"/>
    <w:rsid w:val="00D0222F"/>
    <w:rsid w:val="00D07163"/>
    <w:rsid w:val="00D07CF5"/>
    <w:rsid w:val="00D22658"/>
    <w:rsid w:val="00D312D4"/>
    <w:rsid w:val="00D43FD4"/>
    <w:rsid w:val="00D53CAB"/>
    <w:rsid w:val="00D544CE"/>
    <w:rsid w:val="00D56A64"/>
    <w:rsid w:val="00D6468B"/>
    <w:rsid w:val="00D72BB4"/>
    <w:rsid w:val="00D84BA2"/>
    <w:rsid w:val="00D84F9F"/>
    <w:rsid w:val="00D94849"/>
    <w:rsid w:val="00D95F6C"/>
    <w:rsid w:val="00DA6C4A"/>
    <w:rsid w:val="00DC201B"/>
    <w:rsid w:val="00DE191D"/>
    <w:rsid w:val="00DF09D2"/>
    <w:rsid w:val="00DF7851"/>
    <w:rsid w:val="00E010D5"/>
    <w:rsid w:val="00E02E9F"/>
    <w:rsid w:val="00E06A7A"/>
    <w:rsid w:val="00E0757E"/>
    <w:rsid w:val="00E33939"/>
    <w:rsid w:val="00E41D45"/>
    <w:rsid w:val="00E442BE"/>
    <w:rsid w:val="00E44B36"/>
    <w:rsid w:val="00E466D4"/>
    <w:rsid w:val="00E54541"/>
    <w:rsid w:val="00E62AE7"/>
    <w:rsid w:val="00E64C19"/>
    <w:rsid w:val="00E6767B"/>
    <w:rsid w:val="00E76346"/>
    <w:rsid w:val="00E9008A"/>
    <w:rsid w:val="00E91626"/>
    <w:rsid w:val="00E9290D"/>
    <w:rsid w:val="00EB2421"/>
    <w:rsid w:val="00EC6D34"/>
    <w:rsid w:val="00EE2D0B"/>
    <w:rsid w:val="00EE373E"/>
    <w:rsid w:val="00EF27F2"/>
    <w:rsid w:val="00EF7182"/>
    <w:rsid w:val="00F1188D"/>
    <w:rsid w:val="00F30094"/>
    <w:rsid w:val="00F626C8"/>
    <w:rsid w:val="00F63A99"/>
    <w:rsid w:val="00F67AFC"/>
    <w:rsid w:val="00F67DF2"/>
    <w:rsid w:val="00F8178C"/>
    <w:rsid w:val="00F836C5"/>
    <w:rsid w:val="00FA0C67"/>
    <w:rsid w:val="00FB76C1"/>
    <w:rsid w:val="00FD2F3C"/>
    <w:rsid w:val="00FD6DDF"/>
    <w:rsid w:val="00FE49A3"/>
    <w:rsid w:val="00FF5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830A9"/>
  <w15:chartTrackingRefBased/>
  <w15:docId w15:val="{AE51010A-4565-224E-9520-31BF98203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4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6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1720</TotalTime>
  <Pages>2</Pages>
  <Words>613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NoLa Fingerlin</dc:creator>
  <cp:keywords/>
  <dc:description/>
  <cp:lastModifiedBy>Marshall Roll</cp:lastModifiedBy>
  <cp:revision>7</cp:revision>
  <dcterms:created xsi:type="dcterms:W3CDTF">2026-03-01T23:05:00Z</dcterms:created>
  <dcterms:modified xsi:type="dcterms:W3CDTF">2026-03-10T21:50:00Z</dcterms:modified>
</cp:coreProperties>
</file>