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02867C">
      <w:pPr>
        <w:bidi w:val="0"/>
        <w:jc w:val="center"/>
        <w:rPr>
          <w:rFonts w:hint="eastAsia" w:ascii="黑体" w:hAnsi="黑体" w:eastAsia="黑体" w:cs="黑体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一个带有幂收益结构的复合期权定价研究</w:t>
      </w:r>
    </w:p>
    <w:p w14:paraId="4AAD475F">
      <w:pPr>
        <w:bidi w:val="0"/>
        <w:rPr>
          <w:rFonts w:hint="eastAsia" w:ascii="Times New Roman" w:hAnsi="Times New Roman" w:eastAsia="宋体" w:cs="Times New Roman"/>
          <w:kern w:val="2"/>
          <w:sz w:val="24"/>
          <w:szCs w:val="21"/>
          <w:lang w:val="en-US" w:eastAsia="zh-CN" w:bidi="ar-SA"/>
          <w14:ligatures w14:val="standardContextual"/>
        </w:rPr>
      </w:pPr>
    </w:p>
    <w:p w14:paraId="0900B5B9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摘要</w:t>
      </w:r>
    </w:p>
    <w:p w14:paraId="28042D9F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</w:p>
    <w:p w14:paraId="1D5F91DA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是标的资产为奇异看跌期权的期权。本论文主要讨论X的定价问题，并分析可能影响X定价各类因素。我们选择腾讯公司的股票作为内层期权的标的物，计算历史波动率、股息收益率、无风险收益率等数值作为期权定价模型的输入参数。我们采用二项式方法以及蒙特卡洛模拟方法作为X的定价模型，对不同到期时间、行权价格以及类型的X作出定价。我们对两种方法的定价结果做出比较，并对可能影响定价的因子做敏感性分析研究。</w:t>
      </w:r>
    </w:p>
    <w:p w14:paraId="31E340C2">
      <w:pPr>
        <w:tabs>
          <w:tab w:val="left" w:pos="3597"/>
        </w:tabs>
        <w:bidi w:val="0"/>
        <w:jc w:val="left"/>
        <w:rPr>
          <w:rFonts w:hint="default"/>
          <w:lang w:val="en-US" w:eastAsia="zh-CN"/>
        </w:rPr>
      </w:pPr>
    </w:p>
    <w:p w14:paraId="3CE0EEDB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关键词：复合期权定价、蒙特卡洛模拟</w:t>
      </w:r>
    </w:p>
    <w:p w14:paraId="76F092D3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</w:p>
    <w:sdt>
      <w:sdtPr>
        <w:rPr>
          <w:rFonts w:ascii="宋体" w:hAnsi="宋体" w:eastAsia="宋体" w:cs="Times New Roman"/>
          <w:kern w:val="2"/>
          <w:sz w:val="21"/>
          <w:szCs w:val="21"/>
          <w:lang w:val="en-US" w:eastAsia="zh-CN" w:bidi="ar-SA"/>
          <w14:ligatures w14:val="standardContextual"/>
        </w:rPr>
        <w:id w:val="147467752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="Times New Roman"/>
          <w:kern w:val="2"/>
          <w:sz w:val="24"/>
          <w:szCs w:val="21"/>
          <w:lang w:val="en-US" w:eastAsia="zh-CN" w:bidi="ar-SA"/>
          <w14:ligatures w14:val="standardContextual"/>
        </w:rPr>
      </w:sdtEndPr>
      <w:sdtContent>
        <w:p w14:paraId="786883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95587B7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 w:val="24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 w:val="24"/>
              <w:szCs w:val="21"/>
              <w:lang w:val="en-US" w:eastAsia="zh-CN" w:bidi="ar-SA"/>
              <w14:ligatures w14:val="standardContextual"/>
            </w:rPr>
            <w:instrText xml:space="preserve">TOC \o "1-3" \h \u </w:instrText>
          </w:r>
          <w:r>
            <w:rPr>
              <w:rFonts w:hint="eastAsia" w:ascii="Times New Roman" w:hAnsi="Times New Roman" w:eastAsia="宋体" w:cs="Times New Roman"/>
              <w:kern w:val="2"/>
              <w:sz w:val="24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_Toc3495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一、 引言</w:t>
          </w:r>
          <w:r>
            <w:tab/>
          </w:r>
          <w:r>
            <w:fldChar w:fldCharType="begin"/>
          </w:r>
          <w:r>
            <w:instrText xml:space="preserve"> PAGEREF _Toc3495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7A17D8B2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_Toc21615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二、 标的资产</w:t>
          </w:r>
          <w:r>
            <w:tab/>
          </w:r>
          <w:r>
            <w:fldChar w:fldCharType="begin"/>
          </w:r>
          <w:r>
            <w:instrText xml:space="preserve"> PAGEREF _Toc21615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05D407EC">
          <w:pPr>
            <w:pStyle w:val="16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_Toc30687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2.1 标的资产介绍</w:t>
          </w:r>
          <w:r>
            <w:tab/>
          </w:r>
          <w:r>
            <w:fldChar w:fldCharType="begin"/>
          </w:r>
          <w:r>
            <w:instrText xml:space="preserve"> PAGEREF _Toc30687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6AAFE7F4">
          <w:pPr>
            <w:pStyle w:val="16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_Toc5929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2.2 历史波动率</w:t>
          </w:r>
          <w:r>
            <w:tab/>
          </w:r>
          <w:r>
            <w:fldChar w:fldCharType="begin"/>
          </w:r>
          <w:r>
            <w:instrText xml:space="preserve"> PAGEREF _Toc5929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3D45938A">
          <w:pPr>
            <w:pStyle w:val="16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_Toc2477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2.3 隐含波动率</w:t>
          </w:r>
          <w:r>
            <w:tab/>
          </w:r>
          <w:r>
            <w:fldChar w:fldCharType="begin"/>
          </w:r>
          <w:r>
            <w:instrText xml:space="preserve"> PAGEREF _Toc2477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5D488D63">
          <w:pPr>
            <w:pStyle w:val="16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_Toc14696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2.4股息收益率</w:t>
          </w:r>
          <w:r>
            <w:tab/>
          </w:r>
          <w:r>
            <w:fldChar w:fldCharType="begin"/>
          </w:r>
          <w:r>
            <w:instrText xml:space="preserve"> PAGEREF _Toc14696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73FCE9A7">
          <w:pPr>
            <w:pStyle w:val="16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_Toc27411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2.5无风险收益率</w:t>
          </w:r>
          <w:r>
            <w:tab/>
          </w:r>
          <w:r>
            <w:fldChar w:fldCharType="begin"/>
          </w:r>
          <w:r>
            <w:instrText xml:space="preserve"> PAGEREF _Toc27411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012C56D2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_Toc20328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三、 二项式定价</w:t>
          </w:r>
          <w:r>
            <w:tab/>
          </w:r>
          <w:r>
            <w:fldChar w:fldCharType="begin"/>
          </w:r>
          <w:r>
            <w:instrText xml:space="preserve"> PAGEREF _Toc20328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2EA0A83C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_Toc17050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四、 蒙特卡洛模拟定价</w:t>
          </w:r>
          <w:r>
            <w:tab/>
          </w:r>
          <w:r>
            <w:fldChar w:fldCharType="begin"/>
          </w:r>
          <w:r>
            <w:instrText xml:space="preserve"> PAGEREF _Toc17050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63EFE9CA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_Toc9188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五、 希腊值与隐含波动率</w:t>
          </w:r>
          <w:r>
            <w:tab/>
          </w:r>
          <w:r>
            <w:fldChar w:fldCharType="begin"/>
          </w:r>
          <w:r>
            <w:instrText xml:space="preserve"> PAGEREF _Toc9188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0706A843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_Toc15640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六、 总结</w:t>
          </w:r>
          <w:r>
            <w:tab/>
          </w:r>
          <w:r>
            <w:fldChar w:fldCharType="begin"/>
          </w:r>
          <w:r>
            <w:instrText xml:space="preserve"> PAGEREF _Toc15640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214D74B9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_Toc12601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七、 参考</w:t>
          </w:r>
          <w:r>
            <w:tab/>
          </w:r>
          <w:r>
            <w:fldChar w:fldCharType="begin"/>
          </w:r>
          <w:r>
            <w:instrText xml:space="preserve"> PAGEREF _Toc12601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44481FB5">
          <w:pPr>
            <w:pStyle w:val="14"/>
            <w:tabs>
              <w:tab w:val="right" w:pos="8306"/>
            </w:tabs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instrText xml:space="preserve"> HYPERLINK \l _Toc28877 </w:instrText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separate"/>
          </w:r>
          <w:r>
            <w:rPr>
              <w:rFonts w:hint="eastAsia"/>
              <w:lang w:val="en-US" w:eastAsia="zh-CN"/>
            </w:rPr>
            <w:t>八、 附录</w:t>
          </w:r>
          <w:r>
            <w:tab/>
          </w:r>
          <w:r>
            <w:fldChar w:fldCharType="begin"/>
          </w:r>
          <w:r>
            <w:instrText xml:space="preserve"> PAGEREF _Toc28877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  <w:p w14:paraId="72722B95">
          <w:pPr>
            <w:tabs>
              <w:tab w:val="left" w:pos="3597"/>
            </w:tabs>
            <w:bidi w:val="0"/>
            <w:jc w:val="left"/>
            <w:rPr>
              <w:rFonts w:hint="eastAsia" w:ascii="Times New Roman" w:hAnsi="Times New Roman" w:eastAsia="宋体" w:cs="Times New Roman"/>
              <w:kern w:val="2"/>
              <w:sz w:val="24"/>
              <w:szCs w:val="21"/>
              <w:lang w:val="en-US" w:eastAsia="zh-CN" w:bidi="ar-SA"/>
              <w14:ligatures w14:val="standardContextual"/>
            </w:rPr>
          </w:pPr>
          <w:r>
            <w:rPr>
              <w:rFonts w:hint="eastAsia" w:ascii="Times New Roman" w:hAnsi="Times New Roman" w:eastAsia="宋体" w:cs="Times New Roman"/>
              <w:kern w:val="2"/>
              <w:szCs w:val="21"/>
              <w:lang w:val="en-US" w:eastAsia="zh-CN" w:bidi="ar-SA"/>
              <w14:ligatures w14:val="standardContextual"/>
            </w:rPr>
            <w:fldChar w:fldCharType="end"/>
          </w:r>
        </w:p>
      </w:sdtContent>
    </w:sdt>
    <w:p w14:paraId="2EEBDFC7">
      <w:pPr>
        <w:tabs>
          <w:tab w:val="left" w:pos="3597"/>
        </w:tabs>
        <w:bidi w:val="0"/>
        <w:jc w:val="left"/>
        <w:rPr>
          <w:rFonts w:hint="eastAsia" w:ascii="Times New Roman" w:hAnsi="Times New Roman" w:eastAsia="宋体" w:cs="Times New Roman"/>
          <w:kern w:val="2"/>
          <w:sz w:val="24"/>
          <w:szCs w:val="21"/>
          <w:lang w:val="en-US" w:eastAsia="zh-CN" w:bidi="ar-SA"/>
          <w14:ligatures w14:val="standardContextual"/>
        </w:rPr>
      </w:pPr>
    </w:p>
    <w:p w14:paraId="6DC55211">
      <w:pPr>
        <w:tabs>
          <w:tab w:val="left" w:pos="3597"/>
        </w:tabs>
        <w:bidi w:val="0"/>
        <w:jc w:val="left"/>
        <w:rPr>
          <w:rFonts w:hint="eastAsia"/>
          <w:lang w:val="en-US" w:eastAsia="zh-CN"/>
        </w:rPr>
      </w:pPr>
    </w:p>
    <w:p w14:paraId="22C1B9B6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0" w:name="_Toc3495"/>
      <w:r>
        <w:rPr>
          <w:rFonts w:hint="eastAsia"/>
          <w:lang w:val="en-US" w:eastAsia="zh-CN"/>
        </w:rPr>
        <w:t>引言</w:t>
      </w:r>
      <w:bookmarkEnd w:id="0"/>
    </w:p>
    <w:p w14:paraId="16C36517">
      <w:pPr>
        <w:rPr>
          <w:rFonts w:hint="eastAsia"/>
          <w:lang w:val="en-US" w:eastAsia="zh-CN"/>
        </w:rPr>
      </w:pPr>
    </w:p>
    <w:p w14:paraId="261793D3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1" w:name="_Toc21615"/>
      <w:r>
        <w:rPr>
          <w:rFonts w:hint="eastAsia"/>
          <w:lang w:val="en-US" w:eastAsia="zh-CN"/>
        </w:rPr>
        <w:t>标的资产</w:t>
      </w:r>
      <w:bookmarkEnd w:id="1"/>
    </w:p>
    <w:p w14:paraId="619F8ED4">
      <w:pPr>
        <w:pStyle w:val="3"/>
        <w:bidi w:val="0"/>
        <w:rPr>
          <w:rFonts w:hint="eastAsia"/>
          <w:lang w:val="en-US" w:eastAsia="zh-CN"/>
        </w:rPr>
      </w:pPr>
      <w:bookmarkStart w:id="2" w:name="_Toc30687"/>
      <w:r>
        <w:rPr>
          <w:rFonts w:hint="eastAsia"/>
          <w:lang w:val="en-US" w:eastAsia="zh-CN"/>
        </w:rPr>
        <w:t>2.1 标的资产介绍</w:t>
      </w:r>
      <w:bookmarkEnd w:id="2"/>
    </w:p>
    <w:p w14:paraId="5E4908E9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7C44568">
      <w:pPr>
        <w:pStyle w:val="3"/>
        <w:bidi w:val="0"/>
        <w:rPr>
          <w:rFonts w:hint="eastAsia"/>
          <w:lang w:val="en-US" w:eastAsia="zh-CN"/>
        </w:rPr>
      </w:pPr>
      <w:bookmarkStart w:id="3" w:name="_Toc5929"/>
      <w:r>
        <w:rPr>
          <w:rFonts w:hint="eastAsia"/>
          <w:lang w:val="en-US" w:eastAsia="zh-CN"/>
        </w:rPr>
        <w:t>2.2 历史波动率</w:t>
      </w:r>
      <w:bookmarkEnd w:id="3"/>
    </w:p>
    <w:p w14:paraId="48C64F2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320527D">
      <w:pPr>
        <w:pStyle w:val="3"/>
        <w:bidi w:val="0"/>
        <w:rPr>
          <w:rFonts w:hint="eastAsia"/>
          <w:lang w:val="en-US" w:eastAsia="zh-CN"/>
        </w:rPr>
      </w:pPr>
      <w:bookmarkStart w:id="4" w:name="_Toc2477"/>
      <w:r>
        <w:rPr>
          <w:rFonts w:hint="eastAsia"/>
          <w:lang w:val="en-US" w:eastAsia="zh-CN"/>
        </w:rPr>
        <w:t>2.3 隐含波动率</w:t>
      </w:r>
      <w:bookmarkEnd w:id="4"/>
    </w:p>
    <w:p w14:paraId="4A118CB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33302A1">
      <w:pPr>
        <w:pStyle w:val="3"/>
        <w:bidi w:val="0"/>
        <w:rPr>
          <w:rFonts w:hint="eastAsia"/>
          <w:lang w:val="en-US" w:eastAsia="zh-CN"/>
        </w:rPr>
      </w:pPr>
      <w:bookmarkStart w:id="5" w:name="_Toc14696"/>
      <w:r>
        <w:rPr>
          <w:rFonts w:hint="eastAsia"/>
          <w:lang w:val="en-US" w:eastAsia="zh-CN"/>
        </w:rPr>
        <w:t>2.4股息收益率</w:t>
      </w:r>
      <w:bookmarkEnd w:id="5"/>
    </w:p>
    <w:p w14:paraId="19C14391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9B6E8D1">
      <w:pPr>
        <w:pStyle w:val="3"/>
        <w:bidi w:val="0"/>
        <w:rPr>
          <w:rFonts w:hint="eastAsia"/>
          <w:lang w:val="en-US" w:eastAsia="zh-CN"/>
        </w:rPr>
      </w:pPr>
      <w:bookmarkStart w:id="6" w:name="_Toc27411"/>
      <w:r>
        <w:rPr>
          <w:rFonts w:hint="eastAsia"/>
          <w:lang w:val="en-US" w:eastAsia="zh-CN"/>
        </w:rPr>
        <w:t>2.5无风险收益率</w:t>
      </w:r>
      <w:bookmarkEnd w:id="6"/>
    </w:p>
    <w:p w14:paraId="2D08104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7155490C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7" w:name="_Toc20328"/>
      <w:r>
        <w:rPr>
          <w:rFonts w:hint="eastAsia"/>
          <w:lang w:val="en-US" w:eastAsia="zh-CN"/>
        </w:rPr>
        <w:t>二项式定价</w:t>
      </w:r>
      <w:bookmarkEnd w:id="7"/>
    </w:p>
    <w:p w14:paraId="41E776C2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p w14:paraId="383DE0A5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8" w:name="_Toc17050"/>
      <w:r>
        <w:rPr>
          <w:rFonts w:hint="eastAsia"/>
          <w:lang w:val="en-US" w:eastAsia="zh-CN"/>
        </w:rPr>
        <w:t>蒙特卡洛模拟定价</w:t>
      </w:r>
      <w:bookmarkEnd w:id="8"/>
    </w:p>
    <w:p w14:paraId="19948545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p w14:paraId="5BB662B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9" w:name="_Toc9188"/>
      <w:r>
        <w:rPr>
          <w:rFonts w:hint="eastAsia"/>
          <w:lang w:val="en-US" w:eastAsia="zh-CN"/>
        </w:rPr>
        <w:t>希腊值与隐含波动率</w:t>
      </w:r>
      <w:bookmarkEnd w:id="9"/>
    </w:p>
    <w:p w14:paraId="6ADF8984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p w14:paraId="08F9A1CB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10" w:name="_Toc15640"/>
      <w:r>
        <w:rPr>
          <w:rFonts w:hint="eastAsia"/>
          <w:lang w:val="en-US" w:eastAsia="zh-CN"/>
        </w:rPr>
        <w:t>总结</w:t>
      </w:r>
      <w:bookmarkEnd w:id="10"/>
      <w:bookmarkStart w:id="13" w:name="_GoBack"/>
      <w:bookmarkEnd w:id="13"/>
    </w:p>
    <w:p w14:paraId="720B19FD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p w14:paraId="085BBB70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11" w:name="_Toc12601"/>
      <w:r>
        <w:rPr>
          <w:rFonts w:hint="eastAsia"/>
          <w:lang w:val="en-US" w:eastAsia="zh-CN"/>
        </w:rPr>
        <w:t>参考</w:t>
      </w:r>
      <w:bookmarkEnd w:id="11"/>
    </w:p>
    <w:p w14:paraId="2CC56D21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p w14:paraId="4C6EDB38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12" w:name="_Toc28877"/>
      <w:r>
        <w:rPr>
          <w:rFonts w:hint="eastAsia"/>
          <w:lang w:val="en-US" w:eastAsia="zh-CN"/>
        </w:rPr>
        <w:t>附录</w:t>
      </w:r>
      <w:bookmarkEnd w:id="12"/>
    </w:p>
    <w:p w14:paraId="29F583F0">
      <w:pPr>
        <w:widowControl w:val="0"/>
        <w:numPr>
          <w:numId w:val="0"/>
        </w:numPr>
        <w:spacing w:line="300" w:lineRule="auto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4B9D63"/>
    <w:multiLevelType w:val="singleLevel"/>
    <w:tmpl w:val="8C4B9D6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35399C"/>
    <w:rsid w:val="0C35399C"/>
    <w:rsid w:val="13417C24"/>
    <w:rsid w:val="14380564"/>
    <w:rsid w:val="2244248A"/>
    <w:rsid w:val="2A6D37AC"/>
    <w:rsid w:val="39163A04"/>
    <w:rsid w:val="465A00E2"/>
    <w:rsid w:val="46C82ABD"/>
    <w:rsid w:val="4CD817CF"/>
    <w:rsid w:val="52C129E8"/>
    <w:rsid w:val="5D44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="Times New Roman"/>
      <w:kern w:val="2"/>
      <w:sz w:val="24"/>
      <w:szCs w:val="21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5"/>
    <w:autoRedefine/>
    <w:qFormat/>
    <w:uiPriority w:val="9"/>
    <w:pPr>
      <w:keepNext/>
      <w:keepLines/>
      <w:spacing w:before="120" w:after="240" w:line="240" w:lineRule="auto"/>
      <w:jc w:val="center"/>
      <w:outlineLvl w:val="0"/>
    </w:pPr>
    <w:rPr>
      <w:rFonts w:eastAsia="黑体" w:asciiTheme="majorHAnsi" w:hAnsiTheme="majorHAnsi" w:cstheme="majorBidi"/>
      <w:bCs/>
      <w:sz w:val="30"/>
      <w:szCs w:val="48"/>
    </w:rPr>
  </w:style>
  <w:style w:type="paragraph" w:styleId="3">
    <w:name w:val="heading 2"/>
    <w:basedOn w:val="1"/>
    <w:next w:val="1"/>
    <w:link w:val="23"/>
    <w:autoRedefine/>
    <w:unhideWhenUsed/>
    <w:qFormat/>
    <w:uiPriority w:val="9"/>
    <w:pPr>
      <w:keepNext/>
      <w:keepLines/>
      <w:adjustRightInd w:val="0"/>
      <w:jc w:val="left"/>
      <w:outlineLvl w:val="1"/>
    </w:pPr>
    <w:rPr>
      <w:rFonts w:ascii="Times New Roman" w:hAnsi="Times New Roman" w:eastAsia="宋体" w:cstheme="majorBidi"/>
      <w:b/>
      <w:sz w:val="24"/>
      <w:szCs w:val="40"/>
    </w:rPr>
  </w:style>
  <w:style w:type="paragraph" w:styleId="4">
    <w:name w:val="heading 3"/>
    <w:basedOn w:val="1"/>
    <w:next w:val="1"/>
    <w:link w:val="26"/>
    <w:autoRedefine/>
    <w:unhideWhenUsed/>
    <w:qFormat/>
    <w:uiPriority w:val="9"/>
    <w:pPr>
      <w:keepNext/>
      <w:keepLines/>
      <w:spacing w:before="160" w:after="80"/>
      <w:outlineLvl w:val="2"/>
    </w:pPr>
    <w:rPr>
      <w:rFonts w:eastAsia="黑体" w:asciiTheme="majorHAnsi" w:hAnsiTheme="majorHAnsi" w:cstheme="majorBidi"/>
      <w:b/>
      <w:sz w:val="30"/>
      <w:szCs w:val="32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80" w:after="40"/>
      <w:jc w:val="center"/>
      <w:outlineLvl w:val="3"/>
    </w:pPr>
    <w:rPr>
      <w:rFonts w:cstheme="majorBidi"/>
      <w:color w:val="2E54A1" w:themeColor="accent1" w:themeShade="BF"/>
      <w:sz w:val="28"/>
      <w:szCs w:val="28"/>
    </w:rPr>
  </w:style>
  <w:style w:type="paragraph" w:styleId="6">
    <w:name w:val="heading 5"/>
    <w:basedOn w:val="1"/>
    <w:next w:val="1"/>
    <w:link w:val="27"/>
    <w:unhideWhenUsed/>
    <w:qFormat/>
    <w:uiPriority w:val="9"/>
    <w:pPr>
      <w:keepNext/>
      <w:keepLines/>
      <w:spacing w:before="80" w:after="40"/>
      <w:outlineLvl w:val="4"/>
    </w:pPr>
    <w:rPr>
      <w:rFonts w:ascii="Times New Roman" w:hAnsi="Times New Roman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54A1" w:themeColor="accent1" w:themeShade="BF"/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basedOn w:val="1"/>
    <w:link w:val="42"/>
    <w:semiHidden/>
    <w:qFormat/>
    <w:uiPriority w:val="0"/>
    <w:pPr>
      <w:widowControl/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宋体" w:hAnsi="宋体" w:cs="宋体"/>
      <w:snapToGrid w:val="0"/>
      <w:color w:val="000000"/>
      <w:kern w:val="0"/>
      <w:sz w:val="21"/>
      <w:lang w:eastAsia="en-US"/>
    </w:rPr>
  </w:style>
  <w:style w:type="paragraph" w:styleId="12">
    <w:name w:val="footer"/>
    <w:basedOn w:val="1"/>
    <w:link w:val="4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3">
    <w:name w:val="header"/>
    <w:basedOn w:val="1"/>
    <w:link w:val="4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  <w14:ligatures w14:val="none"/>
    </w:rPr>
  </w:style>
  <w:style w:type="paragraph" w:styleId="14">
    <w:name w:val="toc 1"/>
    <w:basedOn w:val="1"/>
    <w:next w:val="1"/>
    <w:autoRedefine/>
    <w:unhideWhenUsed/>
    <w:qFormat/>
    <w:uiPriority w:val="39"/>
  </w:style>
  <w:style w:type="paragraph" w:styleId="15">
    <w:name w:val="Subtitle"/>
    <w:basedOn w:val="1"/>
    <w:next w:val="1"/>
    <w:link w:val="33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18">
    <w:name w:val="Title"/>
    <w:basedOn w:val="1"/>
    <w:next w:val="1"/>
    <w:link w:val="32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1">
    <w:name w:val="Strong"/>
    <w:basedOn w:val="20"/>
    <w:qFormat/>
    <w:uiPriority w:val="22"/>
    <w:rPr>
      <w:b/>
      <w:bCs/>
    </w:rPr>
  </w:style>
  <w:style w:type="character" w:styleId="22">
    <w:name w:val="Hyperlink"/>
    <w:basedOn w:val="20"/>
    <w:unhideWhenUsed/>
    <w:qFormat/>
    <w:uiPriority w:val="99"/>
    <w:rPr>
      <w:color w:val="0000FF"/>
      <w:u w:val="single"/>
    </w:rPr>
  </w:style>
  <w:style w:type="character" w:customStyle="1" w:styleId="23">
    <w:name w:val="标题 2 字符"/>
    <w:basedOn w:val="20"/>
    <w:link w:val="3"/>
    <w:qFormat/>
    <w:uiPriority w:val="9"/>
    <w:rPr>
      <w:rFonts w:ascii="Times New Roman" w:hAnsi="Times New Roman" w:eastAsia="宋体" w:cstheme="majorBidi"/>
      <w:b/>
      <w:sz w:val="24"/>
      <w:szCs w:val="40"/>
    </w:rPr>
  </w:style>
  <w:style w:type="character" w:customStyle="1" w:styleId="24">
    <w:name w:val="标题 4 字符"/>
    <w:basedOn w:val="20"/>
    <w:link w:val="5"/>
    <w:qFormat/>
    <w:uiPriority w:val="9"/>
    <w:rPr>
      <w:rFonts w:cstheme="majorBidi"/>
      <w:color w:val="2E54A1" w:themeColor="accent1" w:themeShade="BF"/>
      <w:sz w:val="28"/>
      <w:szCs w:val="28"/>
    </w:rPr>
  </w:style>
  <w:style w:type="character" w:customStyle="1" w:styleId="25">
    <w:name w:val="标题 1 字符"/>
    <w:basedOn w:val="20"/>
    <w:link w:val="2"/>
    <w:qFormat/>
    <w:uiPriority w:val="9"/>
    <w:rPr>
      <w:rFonts w:eastAsia="黑体" w:asciiTheme="majorHAnsi" w:hAnsiTheme="majorHAnsi" w:cstheme="majorBidi"/>
      <w:bCs/>
      <w:sz w:val="30"/>
      <w:szCs w:val="48"/>
    </w:rPr>
  </w:style>
  <w:style w:type="character" w:customStyle="1" w:styleId="26">
    <w:name w:val="标题 3 字符"/>
    <w:basedOn w:val="20"/>
    <w:link w:val="4"/>
    <w:qFormat/>
    <w:uiPriority w:val="9"/>
    <w:rPr>
      <w:rFonts w:eastAsia="黑体" w:asciiTheme="majorHAnsi" w:hAnsiTheme="majorHAnsi" w:cstheme="majorBidi"/>
      <w:b/>
      <w:sz w:val="30"/>
      <w:szCs w:val="32"/>
    </w:rPr>
  </w:style>
  <w:style w:type="character" w:customStyle="1" w:styleId="27">
    <w:name w:val="标题 5 字符"/>
    <w:basedOn w:val="20"/>
    <w:link w:val="6"/>
    <w:semiHidden/>
    <w:qFormat/>
    <w:uiPriority w:val="9"/>
    <w:rPr>
      <w:rFonts w:ascii="Times New Roman" w:hAnsi="Times New Roman" w:eastAsia="宋体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character" w:customStyle="1" w:styleId="28">
    <w:name w:val="标题 6 字符"/>
    <w:basedOn w:val="20"/>
    <w:link w:val="7"/>
    <w:semiHidden/>
    <w:qFormat/>
    <w:uiPriority w:val="9"/>
    <w:rPr>
      <w:rFonts w:cstheme="majorBidi"/>
      <w:b/>
      <w:bCs/>
      <w:color w:val="2E54A1" w:themeColor="accent1" w:themeShade="BF"/>
    </w:rPr>
  </w:style>
  <w:style w:type="character" w:customStyle="1" w:styleId="29">
    <w:name w:val="标题 7 字符"/>
    <w:basedOn w:val="20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8 字符"/>
    <w:basedOn w:val="20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9 字符"/>
    <w:basedOn w:val="20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字符"/>
    <w:basedOn w:val="20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副标题 字符"/>
    <w:basedOn w:val="20"/>
    <w:link w:val="15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引用 字符"/>
    <w:basedOn w:val="20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20"/>
    <w:qFormat/>
    <w:uiPriority w:val="21"/>
    <w:rPr>
      <w:i/>
      <w:iCs/>
      <w:color w:val="2E54A1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D54A0" w:themeColor="accent1" w:themeShade="BF" w:sz="4" w:space="10"/>
        <w:bottom w:val="single" w:color="2D54A0" w:themeColor="accent1" w:themeShade="BF" w:sz="4" w:space="10"/>
      </w:pBdr>
      <w:spacing w:before="360" w:after="360"/>
      <w:ind w:left="864" w:right="864"/>
      <w:jc w:val="center"/>
    </w:pPr>
    <w:rPr>
      <w:i/>
      <w:iCs/>
      <w:color w:val="2E54A1" w:themeColor="accent1" w:themeShade="BF"/>
    </w:rPr>
  </w:style>
  <w:style w:type="character" w:customStyle="1" w:styleId="39">
    <w:name w:val="明显引用 字符"/>
    <w:basedOn w:val="20"/>
    <w:link w:val="38"/>
    <w:qFormat/>
    <w:uiPriority w:val="30"/>
    <w:rPr>
      <w:i/>
      <w:iCs/>
      <w:color w:val="2E54A1" w:themeColor="accent1" w:themeShade="BF"/>
    </w:rPr>
  </w:style>
  <w:style w:type="character" w:customStyle="1" w:styleId="40">
    <w:name w:val="Intense Reference"/>
    <w:basedOn w:val="20"/>
    <w:qFormat/>
    <w:uiPriority w:val="32"/>
    <w:rPr>
      <w:b/>
      <w:bCs/>
      <w:smallCaps/>
      <w:color w:val="2E54A1" w:themeColor="accent1" w:themeShade="BF"/>
      <w:spacing w:val="5"/>
    </w:rPr>
  </w:style>
  <w:style w:type="character" w:customStyle="1" w:styleId="41">
    <w:name w:val="页眉 字符"/>
    <w:basedOn w:val="20"/>
    <w:link w:val="13"/>
    <w:qFormat/>
    <w:uiPriority w:val="0"/>
    <w:rPr>
      <w:sz w:val="18"/>
      <w:szCs w:val="18"/>
      <w14:ligatures w14:val="none"/>
    </w:rPr>
  </w:style>
  <w:style w:type="character" w:customStyle="1" w:styleId="42">
    <w:name w:val="正文文本 字符"/>
    <w:basedOn w:val="20"/>
    <w:link w:val="11"/>
    <w:semiHidden/>
    <w:qFormat/>
    <w:uiPriority w:val="0"/>
    <w:rPr>
      <w:rFonts w:ascii="宋体" w:hAnsi="宋体" w:cs="宋体"/>
      <w:snapToGrid w:val="0"/>
      <w:color w:val="000000"/>
      <w:kern w:val="0"/>
      <w:sz w:val="21"/>
      <w:lang w:eastAsia="en-US"/>
    </w:rPr>
  </w:style>
  <w:style w:type="table" w:customStyle="1" w:styleId="43">
    <w:name w:val="Table Normal"/>
    <w:semiHidden/>
    <w:unhideWhenUsed/>
    <w:qFormat/>
    <w:uiPriority w:val="0"/>
    <w:rPr>
      <w:rFonts w:ascii="Arial" w:hAnsi="Arial" w:cs="Arial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pPr>
      <w:widowControl/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eastAsia="Times New Roman"/>
      <w:snapToGrid w:val="0"/>
      <w:color w:val="000000"/>
      <w:kern w:val="0"/>
      <w:sz w:val="19"/>
      <w:szCs w:val="19"/>
      <w:lang w:eastAsia="en-US"/>
    </w:rPr>
  </w:style>
  <w:style w:type="character" w:styleId="45">
    <w:name w:val="Placeholder Text"/>
    <w:basedOn w:val="20"/>
    <w:semiHidden/>
    <w:qFormat/>
    <w:uiPriority w:val="99"/>
    <w:rPr>
      <w:color w:val="666666"/>
    </w:rPr>
  </w:style>
  <w:style w:type="character" w:customStyle="1" w:styleId="46">
    <w:name w:val="页脚 字符"/>
    <w:basedOn w:val="20"/>
    <w:link w:val="12"/>
    <w:qFormat/>
    <w:uiPriority w:val="99"/>
    <w:rPr>
      <w:sz w:val="18"/>
      <w:szCs w:val="18"/>
    </w:rPr>
  </w:style>
  <w:style w:type="paragraph" w:customStyle="1" w:styleId="47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eastAsiaTheme="majorEastAsia"/>
      <w:b/>
      <w:color w:val="2E54A1" w:themeColor="accent1" w:themeShade="BF"/>
      <w:kern w:val="0"/>
      <w:sz w:val="32"/>
      <w:szCs w:val="32"/>
    </w:rPr>
  </w:style>
  <w:style w:type="character" w:customStyle="1" w:styleId="48">
    <w:name w:val="Unresolved Mention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9">
    <w:name w:val="参考文献"/>
    <w:basedOn w:val="1"/>
    <w:link w:val="50"/>
    <w:autoRedefine/>
    <w:qFormat/>
    <w:uiPriority w:val="0"/>
    <w:rPr>
      <w:sz w:val="21"/>
    </w:rPr>
  </w:style>
  <w:style w:type="character" w:customStyle="1" w:styleId="50">
    <w:name w:val="参考文献 字符"/>
    <w:basedOn w:val="20"/>
    <w:link w:val="49"/>
    <w:qFormat/>
    <w:uiPriority w:val="0"/>
    <w:rPr>
      <w:sz w:val="21"/>
    </w:rPr>
  </w:style>
  <w:style w:type="paragraph" w:customStyle="1" w:styleId="51">
    <w:name w:val="致谢"/>
    <w:basedOn w:val="2"/>
    <w:link w:val="52"/>
    <w:qFormat/>
    <w:uiPriority w:val="0"/>
  </w:style>
  <w:style w:type="character" w:customStyle="1" w:styleId="52">
    <w:name w:val="致谢 字符"/>
    <w:basedOn w:val="25"/>
    <w:link w:val="51"/>
    <w:qFormat/>
    <w:uiPriority w:val="0"/>
  </w:style>
  <w:style w:type="paragraph" w:customStyle="1" w:styleId="53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54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55">
    <w:name w:val="WPSOffice手动目录 3"/>
    <w:uiPriority w:val="0"/>
    <w:pPr>
      <w:ind w:leftChars="4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2025-11-25T01:24:00Z</dcterms:created>
  <dc:creator>lty_uibe</dc:creator>
  <cp:lastModifiedBy>lty_uibe</cp:lastModifiedBy>
  <dcterms:modified xsi:type="dcterms:W3CDTF">2025-11-25T01:52:31Z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58BF30A4AF004B77B47621B28CD71C09_13</vt:lpwstr>
  </property>
  <property fmtid="{D5CDD505-2E9C-101B-9397-08002B2CF9AE}" pid="4" name="KSOTemplateDocerSaveRecord">
    <vt:lpwstr>eyJoZGlkIjoiNmMyM2NjNThhODdhMTkwMTg0ZDJjMWM3OTk2NTZjNWEiLCJ1c2VySWQiOiI5OTYwNDAxNTgifQ==</vt:lpwstr>
  </property>
</Properties>
</file>