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02867C">
      <w:pPr>
        <w:bidi w:val="0"/>
        <w:jc w:val="center"/>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一个带有幂收益结构的复合期权定价研究</w:t>
      </w:r>
    </w:p>
    <w:p w14:paraId="4AAD475F">
      <w:pPr>
        <w:bidi w:val="0"/>
        <w:rPr>
          <w:rFonts w:hint="eastAsia" w:ascii="Times New Roman" w:hAnsi="Times New Roman" w:eastAsia="宋体" w:cs="Times New Roman"/>
          <w:kern w:val="2"/>
          <w:sz w:val="24"/>
          <w:szCs w:val="21"/>
          <w:lang w:val="en-US" w:eastAsia="zh-CN" w:bidi="ar-SA"/>
          <w14:ligatures w14:val="standardContextual"/>
        </w:rPr>
      </w:pPr>
    </w:p>
    <w:p w14:paraId="0900B5B9">
      <w:pPr>
        <w:tabs>
          <w:tab w:val="left" w:pos="3597"/>
        </w:tabs>
        <w:bidi w:val="0"/>
        <w:jc w:val="left"/>
        <w:rPr>
          <w:rFonts w:hint="eastAsia"/>
          <w:lang w:val="en-US" w:eastAsia="zh-CN"/>
        </w:rPr>
      </w:pPr>
      <w:r>
        <w:rPr>
          <w:rFonts w:hint="eastAsia"/>
          <w:lang w:val="en-US" w:eastAsia="zh-CN"/>
        </w:rPr>
        <w:tab/>
      </w:r>
      <w:r>
        <w:rPr>
          <w:rFonts w:hint="eastAsia" w:ascii="黑体" w:hAnsi="黑体" w:eastAsia="黑体" w:cs="黑体"/>
          <w:sz w:val="30"/>
          <w:szCs w:val="30"/>
          <w:lang w:val="en-US" w:eastAsia="zh-CN"/>
        </w:rPr>
        <w:t>摘要</w:t>
      </w:r>
    </w:p>
    <w:p w14:paraId="28042D9F">
      <w:pPr>
        <w:tabs>
          <w:tab w:val="left" w:pos="3597"/>
        </w:tabs>
        <w:bidi w:val="0"/>
        <w:jc w:val="left"/>
        <w:rPr>
          <w:rFonts w:hint="eastAsia"/>
          <w:lang w:val="en-US" w:eastAsia="zh-CN"/>
        </w:rPr>
      </w:pPr>
    </w:p>
    <w:p w14:paraId="1D5F91DA">
      <w:pPr>
        <w:tabs>
          <w:tab w:val="left" w:pos="3597"/>
        </w:tabs>
        <w:bidi w:val="0"/>
        <w:jc w:val="left"/>
        <w:rPr>
          <w:rFonts w:hint="eastAsia"/>
          <w:lang w:val="en-US" w:eastAsia="zh-CN"/>
        </w:rPr>
      </w:pPr>
      <w:r>
        <w:rPr>
          <w:rFonts w:hint="eastAsia" w:ascii="Times New Roman" w:hAnsi="Times New Roman" w:eastAsia="宋体" w:cs="Times New Roman"/>
          <w:kern w:val="2"/>
          <w:sz w:val="24"/>
          <w:szCs w:val="21"/>
          <w:lang w:val="en-US" w:eastAsia="zh-CN" w:bidi="ar-SA"/>
          <w14:ligatures w14:val="standardContextual"/>
        </w:rPr>
        <w:t>本</w:t>
      </w:r>
      <w:r>
        <w:rPr>
          <w:rFonts w:hint="eastAsia" w:cs="Times New Roman"/>
          <w:kern w:val="2"/>
          <w:sz w:val="24"/>
          <w:szCs w:val="21"/>
          <w:lang w:val="en-US" w:eastAsia="zh-CN" w:bidi="ar-SA"/>
          <w14:ligatures w14:val="standardContextual"/>
        </w:rPr>
        <w:t>文</w:t>
      </w:r>
      <w:r>
        <w:rPr>
          <w:rFonts w:hint="eastAsia" w:ascii="Times New Roman" w:hAnsi="Times New Roman" w:eastAsia="宋体" w:cs="Times New Roman"/>
          <w:kern w:val="2"/>
          <w:sz w:val="24"/>
          <w:szCs w:val="21"/>
          <w:lang w:val="en-US" w:eastAsia="zh-CN" w:bidi="ar-SA"/>
          <w14:ligatures w14:val="standardContextual"/>
        </w:rPr>
        <w:t xml:space="preserve">旨在对一个以奇异看跌期权 </w:t>
      </w:r>
      <m:oMath>
        <m:sSub>
          <m:sSubPr>
            <m:ctrlPr>
              <w:rPr>
                <w:rFonts w:hint="eastAsia" w:ascii="Cambria Math" w:hAnsi="Cambria Math" w:eastAsia="宋体" w:cs="Times New Roman"/>
                <w:kern w:val="2"/>
                <w:sz w:val="24"/>
                <w:szCs w:val="21"/>
                <w:lang w:val="en-US" w:eastAsia="zh-CN" w:bidi="ar-SA"/>
                <w14:ligatures w14:val="standardContextual"/>
              </w:rPr>
            </m:ctrlPr>
          </m:sSubPr>
          <m:e>
            <m:r>
              <m:rPr>
                <m:sty m:val="p"/>
              </m:rPr>
              <w:rPr>
                <w:rFonts w:hint="eastAsia" w:ascii="Times New Roman" w:hAnsi="Times New Roman" w:eastAsia="宋体" w:cs="Times New Roman"/>
                <w:kern w:val="2"/>
                <w:sz w:val="24"/>
                <w:szCs w:val="21"/>
                <w:lang w:val="en-US" w:eastAsia="zh-CN" w:bidi="ar-SA"/>
                <w14:ligatures w14:val="standardContextual"/>
              </w:rPr>
              <m:t>V</m:t>
            </m:r>
            <m:ctrlPr>
              <w:rPr>
                <w:rFonts w:hint="eastAsia" w:ascii="Cambria Math" w:hAnsi="Cambria Math" w:eastAsia="宋体" w:cs="Times New Roman"/>
                <w:kern w:val="2"/>
                <w:sz w:val="24"/>
                <w:szCs w:val="21"/>
                <w:lang w:val="en-US" w:eastAsia="zh-CN" w:bidi="ar-SA"/>
                <w14:ligatures w14:val="standardContextual"/>
              </w:rPr>
            </m:ctrlPr>
          </m:e>
          <m:sub>
            <m:r>
              <m:rPr>
                <m:sty m:val="p"/>
              </m:rPr>
              <w:rPr>
                <w:rFonts w:hint="eastAsia" w:ascii="Times New Roman" w:hAnsi="Times New Roman" w:eastAsia="宋体" w:cs="Times New Roman"/>
                <w:kern w:val="2"/>
                <w:sz w:val="24"/>
                <w:szCs w:val="21"/>
                <w:lang w:val="en-US" w:eastAsia="zh-CN" w:bidi="ar-SA"/>
                <w14:ligatures w14:val="standardContextual"/>
              </w:rPr>
              <m:t>1</m:t>
            </m:r>
            <m:ctrlPr>
              <w:rPr>
                <w:rFonts w:hint="eastAsia" w:ascii="Cambria Math" w:hAnsi="Cambria Math" w:eastAsia="宋体" w:cs="Times New Roman"/>
                <w:kern w:val="2"/>
                <w:sz w:val="24"/>
                <w:szCs w:val="21"/>
                <w:lang w:val="en-US" w:eastAsia="zh-CN" w:bidi="ar-SA"/>
                <w14:ligatures w14:val="standardContextual"/>
              </w:rPr>
            </m:ctrlPr>
          </m:sub>
        </m:sSub>
      </m:oMath>
      <w:r>
        <w:rPr>
          <w:rFonts w:hint="eastAsia" w:ascii="Times New Roman" w:hAnsi="Times New Roman" w:eastAsia="宋体" w:cs="Times New Roman"/>
          <w:kern w:val="2"/>
          <w:sz w:val="24"/>
          <w:szCs w:val="21"/>
          <w:lang w:val="en-US" w:eastAsia="zh-CN" w:bidi="ar-SA"/>
          <w14:ligatures w14:val="standardContextual"/>
        </w:rPr>
        <w:t xml:space="preserve"> 为标的资产的复合期权 </w:t>
      </w:r>
      <m:oMath>
        <m:sSub>
          <m:sSubPr>
            <m:ctrlPr>
              <w:rPr>
                <w:rFonts w:hint="eastAsia" w:ascii="Cambria Math" w:hAnsi="Cambria Math" w:eastAsia="宋体" w:cs="Times New Roman"/>
                <w:kern w:val="2"/>
                <w:sz w:val="24"/>
                <w:szCs w:val="21"/>
                <w:lang w:val="en-US" w:eastAsia="zh-CN" w:bidi="ar-SA"/>
                <w14:ligatures w14:val="standardContextual"/>
              </w:rPr>
            </m:ctrlPr>
          </m:sSubPr>
          <m:e>
            <m:r>
              <m:rPr>
                <m:sty m:val="p"/>
              </m:rPr>
              <w:rPr>
                <w:rFonts w:hint="eastAsia" w:ascii="Times New Roman" w:hAnsi="Times New Roman" w:eastAsia="宋体" w:cs="Times New Roman"/>
                <w:kern w:val="2"/>
                <w:sz w:val="24"/>
                <w:szCs w:val="21"/>
                <w:lang w:val="en-US" w:eastAsia="zh-CN" w:bidi="ar-SA"/>
                <w14:ligatures w14:val="standardContextual"/>
              </w:rPr>
              <m:t>V</m:t>
            </m:r>
            <m:ctrlPr>
              <w:rPr>
                <w:rFonts w:hint="eastAsia" w:ascii="Cambria Math" w:hAnsi="Cambria Math" w:eastAsia="宋体" w:cs="Times New Roman"/>
                <w:kern w:val="2"/>
                <w:sz w:val="24"/>
                <w:szCs w:val="21"/>
                <w:lang w:val="en-US" w:eastAsia="zh-CN" w:bidi="ar-SA"/>
                <w14:ligatures w14:val="standardContextual"/>
              </w:rPr>
            </m:ctrlPr>
          </m:e>
          <m:sub>
            <m:r>
              <m:rPr>
                <m:sty m:val="p"/>
              </m:rPr>
              <w:rPr>
                <w:rFonts w:hint="eastAsia" w:ascii="Times New Roman" w:hAnsi="Times New Roman" w:eastAsia="宋体" w:cs="Times New Roman"/>
                <w:kern w:val="2"/>
                <w:sz w:val="24"/>
                <w:szCs w:val="21"/>
                <w:lang w:val="en-US" w:eastAsia="zh-CN" w:bidi="ar-SA"/>
                <w14:ligatures w14:val="standardContextual"/>
              </w:rPr>
              <m:t>2</m:t>
            </m:r>
            <m:ctrlPr>
              <w:rPr>
                <w:rFonts w:hint="eastAsia" w:ascii="Cambria Math" w:hAnsi="Cambria Math" w:eastAsia="宋体" w:cs="Times New Roman"/>
                <w:kern w:val="2"/>
                <w:sz w:val="24"/>
                <w:szCs w:val="21"/>
                <w:lang w:val="en-US" w:eastAsia="zh-CN" w:bidi="ar-SA"/>
                <w14:ligatures w14:val="standardContextual"/>
              </w:rPr>
            </m:ctrlPr>
          </m:sub>
        </m:sSub>
      </m:oMath>
      <w:r>
        <w:rPr>
          <w:rFonts w:hint="eastAsia" w:ascii="Times New Roman" w:hAnsi="Times New Roman" w:eastAsia="宋体" w:cs="Times New Roman"/>
          <w:kern w:val="2"/>
          <w:sz w:val="24"/>
          <w:szCs w:val="21"/>
          <w:lang w:val="en-US" w:eastAsia="zh-CN" w:bidi="ar-SA"/>
          <w14:ligatures w14:val="standardContextual"/>
        </w:rPr>
        <w:t xml:space="preserve">（在本项目中称为衍生品 X）进行定价和敏感性分析。内层期权 </w:t>
      </w:r>
      <m:oMath>
        <m:sSub>
          <m:sSubPr>
            <m:ctrlPr>
              <w:rPr>
                <w:rFonts w:hint="eastAsia" w:ascii="Cambria Math" w:hAnsi="Cambria Math" w:eastAsia="宋体" w:cs="Times New Roman"/>
                <w:kern w:val="2"/>
                <w:sz w:val="24"/>
                <w:szCs w:val="21"/>
                <w:lang w:val="en-US" w:eastAsia="zh-CN" w:bidi="ar-SA"/>
                <w14:ligatures w14:val="standardContextual"/>
              </w:rPr>
            </m:ctrlPr>
          </m:sSubPr>
          <m:e>
            <m:r>
              <m:rPr>
                <m:sty m:val="p"/>
              </m:rPr>
              <w:rPr>
                <w:rFonts w:hint="eastAsia" w:ascii="Times New Roman" w:hAnsi="Times New Roman" w:eastAsia="宋体" w:cs="Times New Roman"/>
                <w:kern w:val="2"/>
                <w:sz w:val="24"/>
                <w:szCs w:val="21"/>
                <w:lang w:val="en-US" w:eastAsia="zh-CN" w:bidi="ar-SA"/>
                <w14:ligatures w14:val="standardContextual"/>
              </w:rPr>
              <m:t>V</m:t>
            </m:r>
            <m:ctrlPr>
              <w:rPr>
                <w:rFonts w:hint="eastAsia" w:ascii="Cambria Math" w:hAnsi="Cambria Math" w:eastAsia="宋体" w:cs="Times New Roman"/>
                <w:kern w:val="2"/>
                <w:sz w:val="24"/>
                <w:szCs w:val="21"/>
                <w:lang w:val="en-US" w:eastAsia="zh-CN" w:bidi="ar-SA"/>
                <w14:ligatures w14:val="standardContextual"/>
              </w:rPr>
            </m:ctrlPr>
          </m:e>
          <m:sub>
            <m:r>
              <m:rPr>
                <m:sty m:val="p"/>
              </m:rPr>
              <w:rPr>
                <w:rFonts w:hint="eastAsia" w:ascii="Times New Roman" w:hAnsi="Times New Roman" w:eastAsia="宋体" w:cs="Times New Roman"/>
                <w:kern w:val="2"/>
                <w:sz w:val="24"/>
                <w:szCs w:val="21"/>
                <w:lang w:val="en-US" w:eastAsia="zh-CN" w:bidi="ar-SA"/>
                <w14:ligatures w14:val="standardContextual"/>
              </w:rPr>
              <m:t>1</m:t>
            </m:r>
            <m:ctrlPr>
              <w:rPr>
                <w:rFonts w:hint="eastAsia" w:ascii="Cambria Math" w:hAnsi="Cambria Math" w:eastAsia="宋体" w:cs="Times New Roman"/>
                <w:kern w:val="2"/>
                <w:sz w:val="24"/>
                <w:szCs w:val="21"/>
                <w:lang w:val="en-US" w:eastAsia="zh-CN" w:bidi="ar-SA"/>
                <w14:ligatures w14:val="standardContextual"/>
              </w:rPr>
            </m:ctrlPr>
          </m:sub>
        </m:sSub>
      </m:oMath>
      <w:r>
        <w:rPr>
          <w:rFonts w:hint="eastAsia" w:ascii="Times New Roman" w:hAnsi="Times New Roman" w:eastAsia="宋体" w:cs="Times New Roman"/>
          <w:kern w:val="2"/>
          <w:sz w:val="24"/>
          <w:szCs w:val="21"/>
          <w:lang w:val="en-US" w:eastAsia="zh-CN" w:bidi="ar-SA"/>
          <w14:ligatures w14:val="standardContextual"/>
        </w:rPr>
        <w:t xml:space="preserve"> 的收益结构为 </w:t>
      </w:r>
      <m:oMath>
        <m:r>
          <m:rPr>
            <m:sty m:val="p"/>
          </m:rPr>
          <w:rPr>
            <w:rFonts w:hint="eastAsia" w:ascii="Times New Roman" w:hAnsi="Times New Roman" w:eastAsia="宋体" w:cs="Times New Roman"/>
            <w:kern w:val="2"/>
            <w:sz w:val="24"/>
            <w:szCs w:val="21"/>
            <w:lang w:val="en-US" w:eastAsia="zh-CN" w:bidi="ar-SA"/>
            <w14:ligatures w14:val="standardContextual"/>
          </w:rPr>
          <m:t>max{</m:t>
        </m:r>
        <m:sSub>
          <m:sSubPr>
            <m:ctrlPr>
              <w:rPr>
                <w:rFonts w:hint="eastAsia" w:ascii="Cambria Math" w:hAnsi="Cambria Math" w:eastAsia="宋体" w:cs="Times New Roman"/>
                <w:kern w:val="2"/>
                <w:sz w:val="24"/>
                <w:szCs w:val="21"/>
                <w:lang w:val="en-US" w:eastAsia="zh-CN" w:bidi="ar-SA"/>
                <w14:ligatures w14:val="standardContextual"/>
              </w:rPr>
            </m:ctrlPr>
          </m:sSubPr>
          <m:e>
            <m:r>
              <m:rPr>
                <m:sty m:val="p"/>
              </m:rPr>
              <w:rPr>
                <w:rFonts w:hint="eastAsia" w:ascii="Times New Roman" w:hAnsi="Times New Roman" w:eastAsia="宋体" w:cs="Times New Roman"/>
                <w:kern w:val="2"/>
                <w:sz w:val="24"/>
                <w:szCs w:val="21"/>
                <w:lang w:val="en-US" w:eastAsia="zh-CN" w:bidi="ar-SA"/>
                <w14:ligatures w14:val="standardContextual"/>
              </w:rPr>
              <m:t>K</m:t>
            </m:r>
            <m:ctrlPr>
              <w:rPr>
                <w:rFonts w:hint="eastAsia" w:ascii="Cambria Math" w:hAnsi="Cambria Math" w:eastAsia="宋体" w:cs="Times New Roman"/>
                <w:kern w:val="2"/>
                <w:sz w:val="24"/>
                <w:szCs w:val="21"/>
                <w:lang w:val="en-US" w:eastAsia="zh-CN" w:bidi="ar-SA"/>
                <w14:ligatures w14:val="standardContextual"/>
              </w:rPr>
            </m:ctrlPr>
          </m:e>
          <m:sub>
            <m:r>
              <m:rPr>
                <m:sty m:val="p"/>
              </m:rPr>
              <w:rPr>
                <w:rFonts w:hint="eastAsia" w:ascii="Times New Roman" w:hAnsi="Times New Roman" w:eastAsia="宋体" w:cs="Times New Roman"/>
                <w:kern w:val="2"/>
                <w:sz w:val="24"/>
                <w:szCs w:val="21"/>
                <w:lang w:val="en-US" w:eastAsia="zh-CN" w:bidi="ar-SA"/>
                <w14:ligatures w14:val="standardContextual"/>
              </w:rPr>
              <m:t>2</m:t>
            </m:r>
            <m:ctrlPr>
              <w:rPr>
                <w:rFonts w:hint="eastAsia" w:ascii="Cambria Math" w:hAnsi="Cambria Math" w:eastAsia="宋体" w:cs="Times New Roman"/>
                <w:kern w:val="2"/>
                <w:sz w:val="24"/>
                <w:szCs w:val="21"/>
                <w:lang w:val="en-US" w:eastAsia="zh-CN" w:bidi="ar-SA"/>
                <w14:ligatures w14:val="standardContextual"/>
              </w:rPr>
            </m:ctrlPr>
          </m:sub>
        </m:sSub>
        <m:r>
          <m:rPr>
            <m:sty m:val="p"/>
          </m:rPr>
          <w:rPr>
            <w:rFonts w:hint="eastAsia" w:ascii="Times New Roman" w:hAnsi="Times New Roman" w:eastAsia="宋体" w:cs="Times New Roman"/>
            <w:kern w:val="2"/>
            <w:sz w:val="24"/>
            <w:szCs w:val="21"/>
            <w:lang w:val="en-US" w:eastAsia="zh-CN" w:bidi="ar-SA"/>
            <w14:ligatures w14:val="standardContextual"/>
          </w:rPr>
          <m:t>−(S(</m:t>
        </m:r>
        <m:sSub>
          <m:sSubPr>
            <m:ctrlPr>
              <w:rPr>
                <w:rFonts w:hint="eastAsia" w:ascii="Cambria Math" w:hAnsi="Cambria Math" w:eastAsia="宋体" w:cs="Times New Roman"/>
                <w:kern w:val="2"/>
                <w:sz w:val="24"/>
                <w:szCs w:val="21"/>
                <w:lang w:val="en-US" w:eastAsia="zh-CN" w:bidi="ar-SA"/>
                <w14:ligatures w14:val="standardContextual"/>
              </w:rPr>
            </m:ctrlPr>
          </m:sSubPr>
          <m:e>
            <m:r>
              <m:rPr>
                <m:sty m:val="p"/>
              </m:rPr>
              <w:rPr>
                <w:rFonts w:hint="eastAsia" w:ascii="Times New Roman" w:hAnsi="Times New Roman" w:eastAsia="宋体" w:cs="Times New Roman"/>
                <w:kern w:val="2"/>
                <w:sz w:val="24"/>
                <w:szCs w:val="21"/>
                <w:lang w:val="en-US" w:eastAsia="zh-CN" w:bidi="ar-SA"/>
                <w14:ligatures w14:val="standardContextual"/>
              </w:rPr>
              <m:t>t</m:t>
            </m:r>
            <m:ctrlPr>
              <w:rPr>
                <w:rFonts w:hint="eastAsia" w:ascii="Cambria Math" w:hAnsi="Cambria Math" w:eastAsia="宋体" w:cs="Times New Roman"/>
                <w:kern w:val="2"/>
                <w:sz w:val="24"/>
                <w:szCs w:val="21"/>
                <w:lang w:val="en-US" w:eastAsia="zh-CN" w:bidi="ar-SA"/>
                <w14:ligatures w14:val="standardContextual"/>
              </w:rPr>
            </m:ctrlPr>
          </m:e>
          <m:sub>
            <m:r>
              <m:rPr>
                <m:sty m:val="p"/>
              </m:rPr>
              <w:rPr>
                <w:rFonts w:hint="eastAsia" w:ascii="Times New Roman" w:hAnsi="Times New Roman" w:eastAsia="宋体" w:cs="Times New Roman"/>
                <w:kern w:val="2"/>
                <w:sz w:val="24"/>
                <w:szCs w:val="21"/>
                <w:lang w:val="en-US" w:eastAsia="zh-CN" w:bidi="ar-SA"/>
                <w14:ligatures w14:val="standardContextual"/>
              </w:rPr>
              <m:t>ex</m:t>
            </m:r>
            <m:ctrlPr>
              <w:rPr>
                <w:rFonts w:hint="eastAsia" w:ascii="Cambria Math" w:hAnsi="Cambria Math" w:eastAsia="宋体" w:cs="Times New Roman"/>
                <w:kern w:val="2"/>
                <w:sz w:val="24"/>
                <w:szCs w:val="21"/>
                <w:lang w:val="en-US" w:eastAsia="zh-CN" w:bidi="ar-SA"/>
                <w14:ligatures w14:val="standardContextual"/>
              </w:rPr>
            </m:ctrlPr>
          </m:sub>
        </m:sSub>
        <m:r>
          <m:rPr>
            <m:sty m:val="p"/>
          </m:rPr>
          <w:rPr>
            <w:rFonts w:hint="eastAsia" w:ascii="Times New Roman" w:hAnsi="Times New Roman" w:eastAsia="宋体" w:cs="Times New Roman"/>
            <w:kern w:val="2"/>
            <w:sz w:val="24"/>
            <w:szCs w:val="21"/>
            <w:lang w:val="en-US" w:eastAsia="zh-CN" w:bidi="ar-SA"/>
            <w14:ligatures w14:val="standardContextual"/>
          </w:rPr>
          <m:t>)</m:t>
        </m:r>
        <m:sSup>
          <m:sSupPr>
            <m:ctrlPr>
              <w:rPr>
                <w:rFonts w:hint="eastAsia" w:ascii="Cambria Math" w:hAnsi="Cambria Math" w:eastAsia="宋体" w:cs="Times New Roman"/>
                <w:kern w:val="2"/>
                <w:sz w:val="24"/>
                <w:szCs w:val="21"/>
                <w:lang w:val="en-US" w:eastAsia="zh-CN" w:bidi="ar-SA"/>
                <w14:ligatures w14:val="standardContextual"/>
              </w:rPr>
            </m:ctrlPr>
          </m:sSupPr>
          <m:e>
            <m:r>
              <m:rPr>
                <m:sty m:val="p"/>
              </m:rPr>
              <w:rPr>
                <w:rFonts w:hint="eastAsia" w:ascii="Times New Roman" w:hAnsi="Times New Roman" w:eastAsia="宋体" w:cs="Times New Roman"/>
                <w:kern w:val="2"/>
                <w:sz w:val="24"/>
                <w:szCs w:val="21"/>
                <w:lang w:val="en-US" w:eastAsia="zh-CN" w:bidi="ar-SA"/>
                <w14:ligatures w14:val="standardContextual"/>
              </w:rPr>
              <m:t>)</m:t>
            </m:r>
            <m:ctrlPr>
              <w:rPr>
                <w:rFonts w:hint="eastAsia" w:ascii="Cambria Math" w:hAnsi="Cambria Math" w:eastAsia="宋体" w:cs="Times New Roman"/>
                <w:kern w:val="2"/>
                <w:sz w:val="24"/>
                <w:szCs w:val="21"/>
                <w:lang w:val="en-US" w:eastAsia="zh-CN" w:bidi="ar-SA"/>
                <w14:ligatures w14:val="standardContextual"/>
              </w:rPr>
            </m:ctrlPr>
          </m:e>
          <m:sup>
            <m:r>
              <m:rPr>
                <m:sty m:val="p"/>
              </m:rPr>
              <w:rPr>
                <w:rFonts w:hint="eastAsia" w:ascii="Times New Roman" w:hAnsi="Times New Roman" w:eastAsia="宋体" w:cs="Times New Roman"/>
                <w:kern w:val="2"/>
                <w:sz w:val="24"/>
                <w:szCs w:val="21"/>
                <w:lang w:val="en-US" w:eastAsia="zh-CN" w:bidi="ar-SA"/>
                <w14:ligatures w14:val="standardContextual"/>
              </w:rPr>
              <m:t>3/2</m:t>
            </m:r>
            <m:ctrlPr>
              <w:rPr>
                <w:rFonts w:hint="eastAsia" w:ascii="Cambria Math" w:hAnsi="Cambria Math" w:eastAsia="宋体" w:cs="Times New Roman"/>
                <w:kern w:val="2"/>
                <w:sz w:val="24"/>
                <w:szCs w:val="21"/>
                <w:lang w:val="en-US" w:eastAsia="zh-CN" w:bidi="ar-SA"/>
                <w14:ligatures w14:val="standardContextual"/>
              </w:rPr>
            </m:ctrlPr>
          </m:sup>
        </m:sSup>
        <m:r>
          <m:rPr>
            <m:sty m:val="p"/>
          </m:rPr>
          <w:rPr>
            <w:rFonts w:hint="eastAsia" w:ascii="Times New Roman" w:hAnsi="Times New Roman" w:eastAsia="宋体" w:cs="Times New Roman"/>
            <w:kern w:val="2"/>
            <w:sz w:val="24"/>
            <w:szCs w:val="21"/>
            <w:lang w:val="en-US" w:eastAsia="zh-CN" w:bidi="ar-SA"/>
            <w14:ligatures w14:val="standardContextual"/>
          </w:rPr>
          <m:t>,0}</m:t>
        </m:r>
      </m:oMath>
      <w:r>
        <w:rPr>
          <w:rFonts w:hint="eastAsia" w:ascii="Times New Roman" w:hAnsi="Times New Roman" w:eastAsia="宋体" w:cs="Times New Roman"/>
          <w:kern w:val="2"/>
          <w:sz w:val="24"/>
          <w:szCs w:val="21"/>
          <w:lang w:val="en-US" w:eastAsia="zh-CN" w:bidi="ar-SA"/>
          <w14:ligatures w14:val="standardContextual"/>
        </w:rPr>
        <w:t xml:space="preserve">，它具有幂函数的奇异特征。我们选择腾讯控股有限公司（Tencent Holdings Ltd.）的股票作为 </w:t>
      </w:r>
      <m:oMath>
        <m:sSub>
          <m:sSubPr>
            <m:ctrlPr>
              <w:rPr>
                <w:rFonts w:hint="eastAsia" w:ascii="Cambria Math" w:hAnsi="Cambria Math" w:eastAsia="宋体" w:cs="Times New Roman"/>
                <w:kern w:val="2"/>
                <w:sz w:val="24"/>
                <w:szCs w:val="21"/>
                <w:lang w:val="en-US" w:eastAsia="zh-CN" w:bidi="ar-SA"/>
                <w14:ligatures w14:val="standardContextual"/>
              </w:rPr>
            </m:ctrlPr>
          </m:sSubPr>
          <m:e>
            <m:r>
              <m:rPr>
                <m:sty m:val="p"/>
              </m:rPr>
              <w:rPr>
                <w:rFonts w:hint="eastAsia" w:ascii="Times New Roman" w:hAnsi="Times New Roman" w:eastAsia="宋体" w:cs="Times New Roman"/>
                <w:kern w:val="2"/>
                <w:sz w:val="24"/>
                <w:szCs w:val="21"/>
                <w:lang w:val="en-US" w:eastAsia="zh-CN" w:bidi="ar-SA"/>
                <w14:ligatures w14:val="standardContextual"/>
              </w:rPr>
              <m:t>V</m:t>
            </m:r>
            <m:ctrlPr>
              <w:rPr>
                <w:rFonts w:hint="eastAsia" w:ascii="Cambria Math" w:hAnsi="Cambria Math" w:eastAsia="宋体" w:cs="Times New Roman"/>
                <w:kern w:val="2"/>
                <w:sz w:val="24"/>
                <w:szCs w:val="21"/>
                <w:lang w:val="en-US" w:eastAsia="zh-CN" w:bidi="ar-SA"/>
                <w14:ligatures w14:val="standardContextual"/>
              </w:rPr>
            </m:ctrlPr>
          </m:e>
          <m:sub>
            <m:r>
              <m:rPr>
                <m:sty m:val="p"/>
              </m:rPr>
              <w:rPr>
                <w:rFonts w:hint="eastAsia" w:ascii="Times New Roman" w:hAnsi="Times New Roman" w:eastAsia="宋体" w:cs="Times New Roman"/>
                <w:kern w:val="2"/>
                <w:sz w:val="24"/>
                <w:szCs w:val="21"/>
                <w:lang w:val="en-US" w:eastAsia="zh-CN" w:bidi="ar-SA"/>
                <w14:ligatures w14:val="standardContextual"/>
              </w:rPr>
              <m:t>1</m:t>
            </m:r>
            <m:ctrlPr>
              <w:rPr>
                <w:rFonts w:hint="eastAsia" w:ascii="Cambria Math" w:hAnsi="Cambria Math" w:eastAsia="宋体" w:cs="Times New Roman"/>
                <w:kern w:val="2"/>
                <w:sz w:val="24"/>
                <w:szCs w:val="21"/>
                <w:lang w:val="en-US" w:eastAsia="zh-CN" w:bidi="ar-SA"/>
                <w14:ligatures w14:val="standardContextual"/>
              </w:rPr>
            </m:ctrlPr>
          </m:sub>
        </m:sSub>
      </m:oMath>
      <w:r>
        <w:rPr>
          <w:rFonts w:hint="eastAsia" w:ascii="Times New Roman" w:hAnsi="Times New Roman" w:eastAsia="宋体" w:cs="Times New Roman"/>
          <w:kern w:val="2"/>
          <w:sz w:val="24"/>
          <w:szCs w:val="21"/>
          <w:lang w:val="en-US" w:eastAsia="zh-CN" w:bidi="ar-SA"/>
          <w14:ligatures w14:val="standardContextual"/>
        </w:rPr>
        <w:t xml:space="preserve"> 的标的资产，并从公开市场数据中估计了历史波动率、股息收益率和无风险收益率等关键输入参数。在定价模型方面，我们分别采用了二项式定价模型和蒙特卡洛模拟（Monte Carlo Simulation, MCS）方法。通过比较两种模型的定价结果，并对关键参数（如波动率、时间、行权价）进行敏感性分析，我们深入理解了这些因素对衍生品 X 价值的影响。特别地，针对内层美式期权 </w:t>
      </w:r>
      <m:oMath>
        <m:sSub>
          <m:sSubPr>
            <m:ctrlPr>
              <w:rPr>
                <w:rFonts w:hint="eastAsia" w:ascii="Cambria Math" w:hAnsi="Cambria Math" w:eastAsia="宋体" w:cs="Times New Roman"/>
                <w:kern w:val="2"/>
                <w:sz w:val="24"/>
                <w:szCs w:val="21"/>
                <w:lang w:val="en-US" w:eastAsia="zh-CN" w:bidi="ar-SA"/>
                <w14:ligatures w14:val="standardContextual"/>
              </w:rPr>
            </m:ctrlPr>
          </m:sSubPr>
          <m:e>
            <m:r>
              <m:rPr>
                <m:sty m:val="p"/>
              </m:rPr>
              <w:rPr>
                <w:rFonts w:hint="eastAsia" w:ascii="Times New Roman" w:hAnsi="Times New Roman" w:eastAsia="宋体" w:cs="Times New Roman"/>
                <w:kern w:val="2"/>
                <w:sz w:val="24"/>
                <w:szCs w:val="21"/>
                <w:lang w:val="en-US" w:eastAsia="zh-CN" w:bidi="ar-SA"/>
                <w14:ligatures w14:val="standardContextual"/>
              </w:rPr>
              <m:t>V</m:t>
            </m:r>
            <m:ctrlPr>
              <w:rPr>
                <w:rFonts w:hint="eastAsia" w:ascii="Cambria Math" w:hAnsi="Cambria Math" w:eastAsia="宋体" w:cs="Times New Roman"/>
                <w:kern w:val="2"/>
                <w:sz w:val="24"/>
                <w:szCs w:val="21"/>
                <w:lang w:val="en-US" w:eastAsia="zh-CN" w:bidi="ar-SA"/>
                <w14:ligatures w14:val="standardContextual"/>
              </w:rPr>
            </m:ctrlPr>
          </m:e>
          <m:sub>
            <m:r>
              <m:rPr>
                <m:sty m:val="p"/>
              </m:rPr>
              <w:rPr>
                <w:rFonts w:hint="eastAsia" w:ascii="Times New Roman" w:hAnsi="Times New Roman" w:eastAsia="宋体" w:cs="Times New Roman"/>
                <w:kern w:val="2"/>
                <w:sz w:val="24"/>
                <w:szCs w:val="21"/>
                <w:lang w:val="en-US" w:eastAsia="zh-CN" w:bidi="ar-SA"/>
                <w14:ligatures w14:val="standardContextual"/>
              </w:rPr>
              <m:t>1</m:t>
            </m:r>
            <m:ctrlPr>
              <w:rPr>
                <w:rFonts w:hint="eastAsia" w:ascii="Cambria Math" w:hAnsi="Cambria Math" w:eastAsia="宋体" w:cs="Times New Roman"/>
                <w:kern w:val="2"/>
                <w:sz w:val="24"/>
                <w:szCs w:val="21"/>
                <w:lang w:val="en-US" w:eastAsia="zh-CN" w:bidi="ar-SA"/>
                <w14:ligatures w14:val="standardContextual"/>
              </w:rPr>
            </m:ctrlPr>
          </m:sub>
        </m:sSub>
      </m:oMath>
      <w:r>
        <w:rPr>
          <w:rFonts w:hint="eastAsia" w:ascii="Times New Roman" w:hAnsi="Times New Roman" w:eastAsia="宋体" w:cs="Times New Roman"/>
          <w:kern w:val="2"/>
          <w:sz w:val="24"/>
          <w:szCs w:val="21"/>
          <w:lang w:val="en-US" w:eastAsia="zh-CN" w:bidi="ar-SA"/>
          <w14:ligatures w14:val="standardContextual"/>
        </w:rPr>
        <w:t xml:space="preserve"> 的定价，MCS 模型采用了 Longstaff-Schwartz（LSM）方法进行改进。报告最后还对两种模型的收敛性进行了对比分析。</w:t>
      </w:r>
    </w:p>
    <w:p w14:paraId="31E340C2">
      <w:pPr>
        <w:tabs>
          <w:tab w:val="left" w:pos="3597"/>
        </w:tabs>
        <w:bidi w:val="0"/>
        <w:jc w:val="left"/>
        <w:rPr>
          <w:rFonts w:hint="default"/>
          <w:lang w:val="en-US" w:eastAsia="zh-CN"/>
        </w:rPr>
      </w:pPr>
    </w:p>
    <w:p w14:paraId="5FCFDCB9">
      <w:pPr>
        <w:pStyle w:val="11"/>
        <w:rPr>
          <w:rFonts w:hint="eastAsia" w:ascii="Times New Roman" w:hAnsi="Times New Roman" w:eastAsia="宋体" w:cs="Times New Roman"/>
          <w:kern w:val="2"/>
          <w:sz w:val="24"/>
          <w:szCs w:val="21"/>
          <w:lang w:val="en-US" w:eastAsia="zh-CN" w:bidi="ar-SA"/>
          <w14:ligatures w14:val="standardContextual"/>
        </w:rPr>
      </w:pPr>
      <w:r>
        <w:rPr>
          <w:rFonts w:hint="eastAsia" w:ascii="Times New Roman" w:hAnsi="Times New Roman" w:eastAsia="宋体" w:cs="Times New Roman"/>
          <w:snapToGrid/>
          <w:color w:val="auto"/>
          <w:kern w:val="2"/>
          <w:sz w:val="24"/>
          <w:szCs w:val="21"/>
          <w:lang w:val="en-US" w:eastAsia="zh-CN" w:bidi="ar-SA"/>
          <w14:ligatures w14:val="standardContextual"/>
        </w:rPr>
        <w:t>关键词：复</w:t>
      </w:r>
      <w:r>
        <w:rPr>
          <w:rFonts w:hint="eastAsia" w:ascii="Times New Roman" w:hAnsi="Times New Roman" w:eastAsia="宋体" w:cs="Times New Roman"/>
          <w:kern w:val="2"/>
          <w:sz w:val="24"/>
          <w:szCs w:val="21"/>
          <w:lang w:val="en-US" w:eastAsia="zh-CN" w:bidi="ar-SA"/>
          <w14:ligatures w14:val="standardContextual"/>
        </w:rPr>
        <w:t>合期权定价、幂收益期权、二项式模型、蒙特卡洛模拟、Longstaff-Schwartz</w:t>
      </w:r>
    </w:p>
    <w:p w14:paraId="0E5BCF2E">
      <w:pPr>
        <w:tabs>
          <w:tab w:val="left" w:pos="3597"/>
        </w:tabs>
        <w:bidi w:val="0"/>
        <w:jc w:val="left"/>
        <w:rPr>
          <w:rFonts w:hint="eastAsia"/>
          <w:lang w:val="en-US" w:eastAsia="zh-CN"/>
        </w:rPr>
      </w:pPr>
    </w:p>
    <w:p w14:paraId="76F092D3">
      <w:pPr>
        <w:tabs>
          <w:tab w:val="left" w:pos="3597"/>
        </w:tabs>
        <w:bidi w:val="0"/>
        <w:jc w:val="left"/>
        <w:rPr>
          <w:rFonts w:hint="eastAsia"/>
          <w:lang w:val="en-US" w:eastAsia="zh-CN"/>
        </w:rPr>
      </w:pPr>
    </w:p>
    <w:sdt>
      <w:sdtPr>
        <w:rPr>
          <w:rFonts w:ascii="宋体" w:hAnsi="宋体" w:eastAsia="宋体" w:cs="Times New Roman"/>
          <w:kern w:val="2"/>
          <w:sz w:val="21"/>
          <w:szCs w:val="21"/>
          <w:lang w:val="en-US" w:eastAsia="zh-CN" w:bidi="ar-SA"/>
          <w14:ligatures w14:val="standardContextual"/>
        </w:rPr>
        <w:id w:val="147467752"/>
        <w15:color w:val="DBDBDB"/>
        <w:docPartObj>
          <w:docPartGallery w:val="Table of Contents"/>
          <w:docPartUnique/>
        </w:docPartObj>
      </w:sdtPr>
      <w:sdtEndPr>
        <w:rPr>
          <w:rFonts w:hint="eastAsia" w:ascii="Times New Roman" w:hAnsi="Times New Roman" w:eastAsia="宋体" w:cs="Times New Roman"/>
          <w:kern w:val="2"/>
          <w:sz w:val="24"/>
          <w:szCs w:val="21"/>
          <w:lang w:val="en-US" w:eastAsia="zh-CN" w:bidi="ar-SA"/>
          <w14:ligatures w14:val="standardContextual"/>
        </w:rPr>
      </w:sdtEndPr>
      <w:sdtContent>
        <w:p w14:paraId="786883AE">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EA4BB6A">
          <w:pPr>
            <w:pStyle w:val="15"/>
            <w:tabs>
              <w:tab w:val="right" w:pos="8306"/>
            </w:tabs>
          </w:pPr>
          <w:r>
            <w:rPr>
              <w:rFonts w:hint="eastAsia" w:ascii="Times New Roman" w:hAnsi="Times New Roman" w:eastAsia="宋体" w:cs="Times New Roman"/>
              <w:kern w:val="2"/>
              <w:sz w:val="24"/>
              <w:szCs w:val="21"/>
              <w:lang w:val="en-US" w:eastAsia="zh-CN" w:bidi="ar-SA"/>
              <w14:ligatures w14:val="standardContextual"/>
            </w:rPr>
            <w:fldChar w:fldCharType="begin"/>
          </w:r>
          <w:r>
            <w:rPr>
              <w:rFonts w:hint="eastAsia" w:ascii="Times New Roman" w:hAnsi="Times New Roman" w:eastAsia="宋体" w:cs="Times New Roman"/>
              <w:kern w:val="2"/>
              <w:sz w:val="24"/>
              <w:szCs w:val="21"/>
              <w:lang w:val="en-US" w:eastAsia="zh-CN" w:bidi="ar-SA"/>
              <w14:ligatures w14:val="standardContextual"/>
            </w:rPr>
            <w:instrText xml:space="preserve">TOC \o "1-3" \h \u </w:instrText>
          </w:r>
          <w:r>
            <w:rPr>
              <w:rFonts w:hint="eastAsia" w:ascii="Times New Roman" w:hAnsi="Times New Roman" w:eastAsia="宋体" w:cs="Times New Roman"/>
              <w:kern w:val="2"/>
              <w:sz w:val="24"/>
              <w:szCs w:val="21"/>
              <w:lang w:val="en-US" w:eastAsia="zh-CN" w:bidi="ar-SA"/>
              <w14:ligatures w14:val="standardContextual"/>
            </w:rPr>
            <w:fldChar w:fldCharType="separate"/>
          </w:r>
          <w:r>
            <w:rPr>
              <w:rFonts w:hint="eastAsia" w:ascii="Times New Roman" w:hAnsi="Times New Roman" w:eastAsia="宋体" w:cs="Times New Roman"/>
              <w:kern w:val="2"/>
              <w:szCs w:val="21"/>
              <w:lang w:val="en-US" w:eastAsia="zh-CN" w:bidi="ar-SA"/>
              <w14:ligatures w14:val="standardContextual"/>
            </w:rPr>
            <w:fldChar w:fldCharType="begin"/>
          </w:r>
          <w:r>
            <w:rPr>
              <w:rFonts w:hint="eastAsia" w:ascii="Times New Roman" w:hAnsi="Times New Roman" w:eastAsia="宋体" w:cs="Times New Roman"/>
              <w:kern w:val="2"/>
              <w:szCs w:val="21"/>
              <w:lang w:val="en-US" w:eastAsia="zh-CN" w:bidi="ar-SA"/>
              <w14:ligatures w14:val="standardContextual"/>
            </w:rPr>
            <w:instrText xml:space="preserve"> HYPERLINK \l _Toc23182 </w:instrText>
          </w:r>
          <w:r>
            <w:rPr>
              <w:rFonts w:hint="eastAsia" w:ascii="Times New Roman" w:hAnsi="Times New Roman" w:eastAsia="宋体" w:cs="Times New Roman"/>
              <w:kern w:val="2"/>
              <w:szCs w:val="21"/>
              <w:lang w:val="en-US" w:eastAsia="zh-CN" w:bidi="ar-SA"/>
              <w14:ligatures w14:val="standardContextual"/>
            </w:rPr>
            <w:fldChar w:fldCharType="separate"/>
          </w:r>
          <w:r>
            <w:rPr>
              <w:rFonts w:hint="eastAsia"/>
              <w:lang w:val="en-US" w:eastAsia="zh-CN"/>
            </w:rPr>
            <w:t>一、 引言</w:t>
          </w:r>
          <w:r>
            <w:tab/>
          </w:r>
          <w:r>
            <w:fldChar w:fldCharType="begin"/>
          </w:r>
          <w:r>
            <w:instrText xml:space="preserve"> PAGEREF _Toc23182 \h </w:instrText>
          </w:r>
          <w:r>
            <w:fldChar w:fldCharType="separate"/>
          </w:r>
          <w:r>
            <w:t>2</w:t>
          </w:r>
          <w:r>
            <w:fldChar w:fldCharType="end"/>
          </w:r>
          <w:r>
            <w:rPr>
              <w:rFonts w:hint="eastAsia" w:ascii="Times New Roman" w:hAnsi="Times New Roman" w:eastAsia="宋体" w:cs="Times New Roman"/>
              <w:kern w:val="2"/>
              <w:szCs w:val="21"/>
              <w:lang w:val="en-US" w:eastAsia="zh-CN" w:bidi="ar-SA"/>
              <w14:ligatures w14:val="standardContextual"/>
            </w:rPr>
            <w:fldChar w:fldCharType="end"/>
          </w:r>
        </w:p>
        <w:p w14:paraId="1CB64340">
          <w:pPr>
            <w:pStyle w:val="17"/>
            <w:tabs>
              <w:tab w:val="right" w:pos="8306"/>
            </w:tabs>
          </w:pPr>
          <w:r>
            <w:rPr>
              <w:rFonts w:hint="eastAsia" w:ascii="Times New Roman" w:hAnsi="Times New Roman" w:eastAsia="宋体" w:cs="Times New Roman"/>
              <w:kern w:val="2"/>
              <w:szCs w:val="21"/>
              <w:lang w:val="en-US" w:eastAsia="zh-CN" w:bidi="ar-SA"/>
              <w14:ligatures w14:val="standardContextual"/>
            </w:rPr>
            <w:fldChar w:fldCharType="begin"/>
          </w:r>
          <w:r>
            <w:rPr>
              <w:rFonts w:hint="eastAsia" w:ascii="Times New Roman" w:hAnsi="Times New Roman" w:eastAsia="宋体" w:cs="Times New Roman"/>
              <w:kern w:val="2"/>
              <w:szCs w:val="21"/>
              <w:lang w:val="en-US" w:eastAsia="zh-CN" w:bidi="ar-SA"/>
              <w14:ligatures w14:val="standardContextual"/>
            </w:rPr>
            <w:instrText xml:space="preserve"> HYPERLINK \l _Toc28634 </w:instrText>
          </w:r>
          <w:r>
            <w:rPr>
              <w:rFonts w:hint="eastAsia" w:ascii="Times New Roman" w:hAnsi="Times New Roman" w:eastAsia="宋体" w:cs="Times New Roman"/>
              <w:kern w:val="2"/>
              <w:szCs w:val="21"/>
              <w:lang w:val="en-US" w:eastAsia="zh-CN" w:bidi="ar-SA"/>
              <w14:ligatures w14:val="standardContextual"/>
            </w:rPr>
            <w:fldChar w:fldCharType="separate"/>
          </w:r>
          <w:r>
            <w:t xml:space="preserve">1.1 </w:t>
          </w:r>
          <w:r>
            <w:rPr>
              <w:rFonts w:hint="eastAsia"/>
            </w:rPr>
            <w:t>项目背景与衍生品结构</w:t>
          </w:r>
          <w:r>
            <w:tab/>
          </w:r>
          <w:r>
            <w:fldChar w:fldCharType="begin"/>
          </w:r>
          <w:r>
            <w:instrText xml:space="preserve"> PAGEREF _Toc28634 \h </w:instrText>
          </w:r>
          <w:r>
            <w:fldChar w:fldCharType="separate"/>
          </w:r>
          <w:r>
            <w:t>2</w:t>
          </w:r>
          <w:r>
            <w:fldChar w:fldCharType="end"/>
          </w:r>
          <w:r>
            <w:rPr>
              <w:rFonts w:hint="eastAsia" w:ascii="Times New Roman" w:hAnsi="Times New Roman" w:eastAsia="宋体" w:cs="Times New Roman"/>
              <w:kern w:val="2"/>
              <w:szCs w:val="21"/>
              <w:lang w:val="en-US" w:eastAsia="zh-CN" w:bidi="ar-SA"/>
              <w14:ligatures w14:val="standardContextual"/>
            </w:rPr>
            <w:fldChar w:fldCharType="end"/>
          </w:r>
        </w:p>
        <w:p w14:paraId="59861DBB">
          <w:pPr>
            <w:pStyle w:val="17"/>
            <w:tabs>
              <w:tab w:val="right" w:pos="8306"/>
            </w:tabs>
          </w:pPr>
          <w:r>
            <w:rPr>
              <w:rFonts w:hint="eastAsia" w:ascii="Times New Roman" w:hAnsi="Times New Roman" w:eastAsia="宋体" w:cs="Times New Roman"/>
              <w:kern w:val="2"/>
              <w:szCs w:val="21"/>
              <w:lang w:val="en-US" w:eastAsia="zh-CN" w:bidi="ar-SA"/>
              <w14:ligatures w14:val="standardContextual"/>
            </w:rPr>
            <w:fldChar w:fldCharType="begin"/>
          </w:r>
          <w:r>
            <w:rPr>
              <w:rFonts w:hint="eastAsia" w:ascii="Times New Roman" w:hAnsi="Times New Roman" w:eastAsia="宋体" w:cs="Times New Roman"/>
              <w:kern w:val="2"/>
              <w:szCs w:val="21"/>
              <w:lang w:val="en-US" w:eastAsia="zh-CN" w:bidi="ar-SA"/>
              <w14:ligatures w14:val="standardContextual"/>
            </w:rPr>
            <w:instrText xml:space="preserve"> HYPERLINK \l _Toc25390 </w:instrText>
          </w:r>
          <w:r>
            <w:rPr>
              <w:rFonts w:hint="eastAsia" w:ascii="Times New Roman" w:hAnsi="Times New Roman" w:eastAsia="宋体" w:cs="Times New Roman"/>
              <w:kern w:val="2"/>
              <w:szCs w:val="21"/>
              <w:lang w:val="en-US" w:eastAsia="zh-CN" w:bidi="ar-SA"/>
              <w14:ligatures w14:val="standardContextual"/>
            </w:rPr>
            <w:fldChar w:fldCharType="separate"/>
          </w:r>
          <w:r>
            <w:t xml:space="preserve">1.2 </w:t>
          </w:r>
          <w:r>
            <w:rPr>
              <w:rFonts w:hint="eastAsia"/>
            </w:rPr>
            <w:t>定价方法概述</w:t>
          </w:r>
          <w:r>
            <w:tab/>
          </w:r>
          <w:r>
            <w:fldChar w:fldCharType="begin"/>
          </w:r>
          <w:r>
            <w:instrText xml:space="preserve"> PAGEREF _Toc25390 \h </w:instrText>
          </w:r>
          <w:r>
            <w:fldChar w:fldCharType="separate"/>
          </w:r>
          <w:r>
            <w:t>2</w:t>
          </w:r>
          <w:r>
            <w:fldChar w:fldCharType="end"/>
          </w:r>
          <w:r>
            <w:rPr>
              <w:rFonts w:hint="eastAsia" w:ascii="Times New Roman" w:hAnsi="Times New Roman" w:eastAsia="宋体" w:cs="Times New Roman"/>
              <w:kern w:val="2"/>
              <w:szCs w:val="21"/>
              <w:lang w:val="en-US" w:eastAsia="zh-CN" w:bidi="ar-SA"/>
              <w14:ligatures w14:val="standardContextual"/>
            </w:rPr>
            <w:fldChar w:fldCharType="end"/>
          </w:r>
        </w:p>
        <w:p w14:paraId="20E010DA">
          <w:pPr>
            <w:pStyle w:val="17"/>
            <w:tabs>
              <w:tab w:val="right" w:pos="8306"/>
            </w:tabs>
          </w:pPr>
          <w:r>
            <w:rPr>
              <w:rFonts w:hint="eastAsia" w:ascii="Times New Roman" w:hAnsi="Times New Roman" w:eastAsia="宋体" w:cs="Times New Roman"/>
              <w:kern w:val="2"/>
              <w:szCs w:val="21"/>
              <w:lang w:val="en-US" w:eastAsia="zh-CN" w:bidi="ar-SA"/>
              <w14:ligatures w14:val="standardContextual"/>
            </w:rPr>
            <w:fldChar w:fldCharType="begin"/>
          </w:r>
          <w:r>
            <w:rPr>
              <w:rFonts w:hint="eastAsia" w:ascii="Times New Roman" w:hAnsi="Times New Roman" w:eastAsia="宋体" w:cs="Times New Roman"/>
              <w:kern w:val="2"/>
              <w:szCs w:val="21"/>
              <w:lang w:val="en-US" w:eastAsia="zh-CN" w:bidi="ar-SA"/>
              <w14:ligatures w14:val="standardContextual"/>
            </w:rPr>
            <w:instrText xml:space="preserve"> HYPERLINK \l _Toc4285 </w:instrText>
          </w:r>
          <w:r>
            <w:rPr>
              <w:rFonts w:hint="eastAsia" w:ascii="Times New Roman" w:hAnsi="Times New Roman" w:eastAsia="宋体" w:cs="Times New Roman"/>
              <w:kern w:val="2"/>
              <w:szCs w:val="21"/>
              <w:lang w:val="en-US" w:eastAsia="zh-CN" w:bidi="ar-SA"/>
              <w14:ligatures w14:val="standardContextual"/>
            </w:rPr>
            <w:fldChar w:fldCharType="separate"/>
          </w:r>
          <w:r>
            <w:rPr>
              <w:rFonts w:hint="eastAsia"/>
              <w:lang w:val="en-US" w:eastAsia="zh-CN"/>
            </w:rPr>
            <w:t>1.3 本文定价前提假设</w:t>
          </w:r>
          <w:r>
            <w:tab/>
          </w:r>
          <w:r>
            <w:fldChar w:fldCharType="begin"/>
          </w:r>
          <w:r>
            <w:instrText xml:space="preserve"> PAGEREF _Toc4285 \h </w:instrText>
          </w:r>
          <w:r>
            <w:fldChar w:fldCharType="separate"/>
          </w:r>
          <w:r>
            <w:t>2</w:t>
          </w:r>
          <w:r>
            <w:fldChar w:fldCharType="end"/>
          </w:r>
          <w:r>
            <w:rPr>
              <w:rFonts w:hint="eastAsia" w:ascii="Times New Roman" w:hAnsi="Times New Roman" w:eastAsia="宋体" w:cs="Times New Roman"/>
              <w:kern w:val="2"/>
              <w:szCs w:val="21"/>
              <w:lang w:val="en-US" w:eastAsia="zh-CN" w:bidi="ar-SA"/>
              <w14:ligatures w14:val="standardContextual"/>
            </w:rPr>
            <w:fldChar w:fldCharType="end"/>
          </w:r>
        </w:p>
        <w:p w14:paraId="0224E841">
          <w:pPr>
            <w:pStyle w:val="15"/>
            <w:tabs>
              <w:tab w:val="right" w:pos="8306"/>
            </w:tabs>
          </w:pPr>
          <w:r>
            <w:rPr>
              <w:rFonts w:hint="eastAsia" w:ascii="Times New Roman" w:hAnsi="Times New Roman" w:eastAsia="宋体" w:cs="Times New Roman"/>
              <w:kern w:val="2"/>
              <w:szCs w:val="21"/>
              <w:lang w:val="en-US" w:eastAsia="zh-CN" w:bidi="ar-SA"/>
              <w14:ligatures w14:val="standardContextual"/>
            </w:rPr>
            <w:fldChar w:fldCharType="begin"/>
          </w:r>
          <w:r>
            <w:rPr>
              <w:rFonts w:hint="eastAsia" w:ascii="Times New Roman" w:hAnsi="Times New Roman" w:eastAsia="宋体" w:cs="Times New Roman"/>
              <w:kern w:val="2"/>
              <w:szCs w:val="21"/>
              <w:lang w:val="en-US" w:eastAsia="zh-CN" w:bidi="ar-SA"/>
              <w14:ligatures w14:val="standardContextual"/>
            </w:rPr>
            <w:instrText xml:space="preserve"> HYPERLINK \l _Toc19930 </w:instrText>
          </w:r>
          <w:r>
            <w:rPr>
              <w:rFonts w:hint="eastAsia" w:ascii="Times New Roman" w:hAnsi="Times New Roman" w:eastAsia="宋体" w:cs="Times New Roman"/>
              <w:kern w:val="2"/>
              <w:szCs w:val="21"/>
              <w:lang w:val="en-US" w:eastAsia="zh-CN" w:bidi="ar-SA"/>
              <w14:ligatures w14:val="standardContextual"/>
            </w:rPr>
            <w:fldChar w:fldCharType="separate"/>
          </w:r>
          <w:r>
            <w:rPr>
              <w:rFonts w:hint="eastAsia"/>
              <w:lang w:val="en-US" w:eastAsia="zh-CN"/>
            </w:rPr>
            <w:t>二、 标的资产</w:t>
          </w:r>
          <w:r>
            <w:tab/>
          </w:r>
          <w:r>
            <w:fldChar w:fldCharType="begin"/>
          </w:r>
          <w:r>
            <w:instrText xml:space="preserve"> PAGEREF _Toc19930 \h </w:instrText>
          </w:r>
          <w:r>
            <w:fldChar w:fldCharType="separate"/>
          </w:r>
          <w:r>
            <w:t>3</w:t>
          </w:r>
          <w:r>
            <w:fldChar w:fldCharType="end"/>
          </w:r>
          <w:r>
            <w:rPr>
              <w:rFonts w:hint="eastAsia" w:ascii="Times New Roman" w:hAnsi="Times New Roman" w:eastAsia="宋体" w:cs="Times New Roman"/>
              <w:kern w:val="2"/>
              <w:szCs w:val="21"/>
              <w:lang w:val="en-US" w:eastAsia="zh-CN" w:bidi="ar-SA"/>
              <w14:ligatures w14:val="standardContextual"/>
            </w:rPr>
            <w:fldChar w:fldCharType="end"/>
          </w:r>
        </w:p>
        <w:p w14:paraId="0A06A8C8">
          <w:pPr>
            <w:pStyle w:val="17"/>
            <w:tabs>
              <w:tab w:val="right" w:pos="8306"/>
            </w:tabs>
          </w:pPr>
          <w:r>
            <w:rPr>
              <w:rFonts w:hint="eastAsia" w:ascii="Times New Roman" w:hAnsi="Times New Roman" w:eastAsia="宋体" w:cs="Times New Roman"/>
              <w:kern w:val="2"/>
              <w:szCs w:val="21"/>
              <w:lang w:val="en-US" w:eastAsia="zh-CN" w:bidi="ar-SA"/>
              <w14:ligatures w14:val="standardContextual"/>
            </w:rPr>
            <w:fldChar w:fldCharType="begin"/>
          </w:r>
          <w:r>
            <w:rPr>
              <w:rFonts w:hint="eastAsia" w:ascii="Times New Roman" w:hAnsi="Times New Roman" w:eastAsia="宋体" w:cs="Times New Roman"/>
              <w:kern w:val="2"/>
              <w:szCs w:val="21"/>
              <w:lang w:val="en-US" w:eastAsia="zh-CN" w:bidi="ar-SA"/>
              <w14:ligatures w14:val="standardContextual"/>
            </w:rPr>
            <w:instrText xml:space="preserve"> HYPERLINK \l _Toc28626 </w:instrText>
          </w:r>
          <w:r>
            <w:rPr>
              <w:rFonts w:hint="eastAsia" w:ascii="Times New Roman" w:hAnsi="Times New Roman" w:eastAsia="宋体" w:cs="Times New Roman"/>
              <w:kern w:val="2"/>
              <w:szCs w:val="21"/>
              <w:lang w:val="en-US" w:eastAsia="zh-CN" w:bidi="ar-SA"/>
              <w14:ligatures w14:val="standardContextual"/>
            </w:rPr>
            <w:fldChar w:fldCharType="separate"/>
          </w:r>
          <w:r>
            <w:rPr>
              <w:rFonts w:hint="eastAsia"/>
              <w:lang w:val="en-US" w:eastAsia="zh-CN"/>
            </w:rPr>
            <w:t>2.1 标的资产介绍</w:t>
          </w:r>
          <w:r>
            <w:tab/>
          </w:r>
          <w:r>
            <w:fldChar w:fldCharType="begin"/>
          </w:r>
          <w:r>
            <w:instrText xml:space="preserve"> PAGEREF _Toc28626 \h </w:instrText>
          </w:r>
          <w:r>
            <w:fldChar w:fldCharType="separate"/>
          </w:r>
          <w:r>
            <w:t>3</w:t>
          </w:r>
          <w:r>
            <w:fldChar w:fldCharType="end"/>
          </w:r>
          <w:r>
            <w:rPr>
              <w:rFonts w:hint="eastAsia" w:ascii="Times New Roman" w:hAnsi="Times New Roman" w:eastAsia="宋体" w:cs="Times New Roman"/>
              <w:kern w:val="2"/>
              <w:szCs w:val="21"/>
              <w:lang w:val="en-US" w:eastAsia="zh-CN" w:bidi="ar-SA"/>
              <w14:ligatures w14:val="standardContextual"/>
            </w:rPr>
            <w:fldChar w:fldCharType="end"/>
          </w:r>
        </w:p>
        <w:p w14:paraId="72982806">
          <w:pPr>
            <w:pStyle w:val="17"/>
            <w:tabs>
              <w:tab w:val="right" w:pos="8306"/>
            </w:tabs>
          </w:pPr>
          <w:r>
            <w:rPr>
              <w:rFonts w:hint="eastAsia" w:ascii="Times New Roman" w:hAnsi="Times New Roman" w:eastAsia="宋体" w:cs="Times New Roman"/>
              <w:kern w:val="2"/>
              <w:szCs w:val="21"/>
              <w:lang w:val="en-US" w:eastAsia="zh-CN" w:bidi="ar-SA"/>
              <w14:ligatures w14:val="standardContextual"/>
            </w:rPr>
            <w:fldChar w:fldCharType="begin"/>
          </w:r>
          <w:r>
            <w:rPr>
              <w:rFonts w:hint="eastAsia" w:ascii="Times New Roman" w:hAnsi="Times New Roman" w:eastAsia="宋体" w:cs="Times New Roman"/>
              <w:kern w:val="2"/>
              <w:szCs w:val="21"/>
              <w:lang w:val="en-US" w:eastAsia="zh-CN" w:bidi="ar-SA"/>
              <w14:ligatures w14:val="standardContextual"/>
            </w:rPr>
            <w:instrText xml:space="preserve"> HYPERLINK \l _Toc15853 </w:instrText>
          </w:r>
          <w:r>
            <w:rPr>
              <w:rFonts w:hint="eastAsia" w:ascii="Times New Roman" w:hAnsi="Times New Roman" w:eastAsia="宋体" w:cs="Times New Roman"/>
              <w:kern w:val="2"/>
              <w:szCs w:val="21"/>
              <w:lang w:val="en-US" w:eastAsia="zh-CN" w:bidi="ar-SA"/>
              <w14:ligatures w14:val="standardContextual"/>
            </w:rPr>
            <w:fldChar w:fldCharType="separate"/>
          </w:r>
          <w:r>
            <w:rPr>
              <w:rFonts w:hint="eastAsia"/>
              <w:lang w:val="en-US" w:eastAsia="zh-CN"/>
            </w:rPr>
            <w:t>2.2 历史波动率</w:t>
          </w:r>
          <w:r>
            <w:tab/>
          </w:r>
          <w:r>
            <w:fldChar w:fldCharType="begin"/>
          </w:r>
          <w:r>
            <w:instrText xml:space="preserve"> PAGEREF _Toc15853 \h </w:instrText>
          </w:r>
          <w:r>
            <w:fldChar w:fldCharType="separate"/>
          </w:r>
          <w:r>
            <w:t>3</w:t>
          </w:r>
          <w:r>
            <w:fldChar w:fldCharType="end"/>
          </w:r>
          <w:r>
            <w:rPr>
              <w:rFonts w:hint="eastAsia" w:ascii="Times New Roman" w:hAnsi="Times New Roman" w:eastAsia="宋体" w:cs="Times New Roman"/>
              <w:kern w:val="2"/>
              <w:szCs w:val="21"/>
              <w:lang w:val="en-US" w:eastAsia="zh-CN" w:bidi="ar-SA"/>
              <w14:ligatures w14:val="standardContextual"/>
            </w:rPr>
            <w:fldChar w:fldCharType="end"/>
          </w:r>
        </w:p>
        <w:p w14:paraId="56B67BC2">
          <w:pPr>
            <w:pStyle w:val="17"/>
            <w:tabs>
              <w:tab w:val="right" w:pos="8306"/>
            </w:tabs>
          </w:pPr>
          <w:r>
            <w:rPr>
              <w:rFonts w:hint="eastAsia" w:ascii="Times New Roman" w:hAnsi="Times New Roman" w:eastAsia="宋体" w:cs="Times New Roman"/>
              <w:kern w:val="2"/>
              <w:szCs w:val="21"/>
              <w:lang w:val="en-US" w:eastAsia="zh-CN" w:bidi="ar-SA"/>
              <w14:ligatures w14:val="standardContextual"/>
            </w:rPr>
            <w:fldChar w:fldCharType="begin"/>
          </w:r>
          <w:r>
            <w:rPr>
              <w:rFonts w:hint="eastAsia" w:ascii="Times New Roman" w:hAnsi="Times New Roman" w:eastAsia="宋体" w:cs="Times New Roman"/>
              <w:kern w:val="2"/>
              <w:szCs w:val="21"/>
              <w:lang w:val="en-US" w:eastAsia="zh-CN" w:bidi="ar-SA"/>
              <w14:ligatures w14:val="standardContextual"/>
            </w:rPr>
            <w:instrText xml:space="preserve"> HYPERLINK \l _Toc14276 </w:instrText>
          </w:r>
          <w:r>
            <w:rPr>
              <w:rFonts w:hint="eastAsia" w:ascii="Times New Roman" w:hAnsi="Times New Roman" w:eastAsia="宋体" w:cs="Times New Roman"/>
              <w:kern w:val="2"/>
              <w:szCs w:val="21"/>
              <w:lang w:val="en-US" w:eastAsia="zh-CN" w:bidi="ar-SA"/>
              <w14:ligatures w14:val="standardContextual"/>
            </w:rPr>
            <w:fldChar w:fldCharType="separate"/>
          </w:r>
          <w:r>
            <w:rPr>
              <w:rFonts w:hint="eastAsia"/>
              <w:lang w:val="en-US" w:eastAsia="zh-CN"/>
            </w:rPr>
            <w:t>2.3 隐含波动率</w:t>
          </w:r>
          <w:r>
            <w:tab/>
          </w:r>
          <w:r>
            <w:fldChar w:fldCharType="begin"/>
          </w:r>
          <w:r>
            <w:instrText xml:space="preserve"> PAGEREF _Toc14276 \h </w:instrText>
          </w:r>
          <w:r>
            <w:fldChar w:fldCharType="separate"/>
          </w:r>
          <w:r>
            <w:t>3</w:t>
          </w:r>
          <w:r>
            <w:fldChar w:fldCharType="end"/>
          </w:r>
          <w:r>
            <w:rPr>
              <w:rFonts w:hint="eastAsia" w:ascii="Times New Roman" w:hAnsi="Times New Roman" w:eastAsia="宋体" w:cs="Times New Roman"/>
              <w:kern w:val="2"/>
              <w:szCs w:val="21"/>
              <w:lang w:val="en-US" w:eastAsia="zh-CN" w:bidi="ar-SA"/>
              <w14:ligatures w14:val="standardContextual"/>
            </w:rPr>
            <w:fldChar w:fldCharType="end"/>
          </w:r>
        </w:p>
        <w:p w14:paraId="2A349B35">
          <w:pPr>
            <w:pStyle w:val="17"/>
            <w:tabs>
              <w:tab w:val="right" w:pos="8306"/>
            </w:tabs>
          </w:pPr>
          <w:r>
            <w:rPr>
              <w:rFonts w:hint="eastAsia" w:ascii="Times New Roman" w:hAnsi="Times New Roman" w:eastAsia="宋体" w:cs="Times New Roman"/>
              <w:kern w:val="2"/>
              <w:szCs w:val="21"/>
              <w:lang w:val="en-US" w:eastAsia="zh-CN" w:bidi="ar-SA"/>
              <w14:ligatures w14:val="standardContextual"/>
            </w:rPr>
            <w:fldChar w:fldCharType="begin"/>
          </w:r>
          <w:r>
            <w:rPr>
              <w:rFonts w:hint="eastAsia" w:ascii="Times New Roman" w:hAnsi="Times New Roman" w:eastAsia="宋体" w:cs="Times New Roman"/>
              <w:kern w:val="2"/>
              <w:szCs w:val="21"/>
              <w:lang w:val="en-US" w:eastAsia="zh-CN" w:bidi="ar-SA"/>
              <w14:ligatures w14:val="standardContextual"/>
            </w:rPr>
            <w:instrText xml:space="preserve"> HYPERLINK \l _Toc23860 </w:instrText>
          </w:r>
          <w:r>
            <w:rPr>
              <w:rFonts w:hint="eastAsia" w:ascii="Times New Roman" w:hAnsi="Times New Roman" w:eastAsia="宋体" w:cs="Times New Roman"/>
              <w:kern w:val="2"/>
              <w:szCs w:val="21"/>
              <w:lang w:val="en-US" w:eastAsia="zh-CN" w:bidi="ar-SA"/>
              <w14:ligatures w14:val="standardContextual"/>
            </w:rPr>
            <w:fldChar w:fldCharType="separate"/>
          </w:r>
          <w:r>
            <w:rPr>
              <w:rFonts w:hint="eastAsia"/>
              <w:lang w:val="en-US" w:eastAsia="zh-CN"/>
            </w:rPr>
            <w:t>2.4股息收益率</w:t>
          </w:r>
          <w:r>
            <w:tab/>
          </w:r>
          <w:r>
            <w:fldChar w:fldCharType="begin"/>
          </w:r>
          <w:r>
            <w:instrText xml:space="preserve"> PAGEREF _Toc23860 \h </w:instrText>
          </w:r>
          <w:r>
            <w:fldChar w:fldCharType="separate"/>
          </w:r>
          <w:r>
            <w:t>3</w:t>
          </w:r>
          <w:r>
            <w:fldChar w:fldCharType="end"/>
          </w:r>
          <w:r>
            <w:rPr>
              <w:rFonts w:hint="eastAsia" w:ascii="Times New Roman" w:hAnsi="Times New Roman" w:eastAsia="宋体" w:cs="Times New Roman"/>
              <w:kern w:val="2"/>
              <w:szCs w:val="21"/>
              <w:lang w:val="en-US" w:eastAsia="zh-CN" w:bidi="ar-SA"/>
              <w14:ligatures w14:val="standardContextual"/>
            </w:rPr>
            <w:fldChar w:fldCharType="end"/>
          </w:r>
        </w:p>
        <w:p w14:paraId="72AE6DE5">
          <w:pPr>
            <w:pStyle w:val="17"/>
            <w:tabs>
              <w:tab w:val="right" w:pos="8306"/>
            </w:tabs>
          </w:pPr>
          <w:r>
            <w:rPr>
              <w:rFonts w:hint="eastAsia" w:ascii="Times New Roman" w:hAnsi="Times New Roman" w:eastAsia="宋体" w:cs="Times New Roman"/>
              <w:kern w:val="2"/>
              <w:szCs w:val="21"/>
              <w:lang w:val="en-US" w:eastAsia="zh-CN" w:bidi="ar-SA"/>
              <w14:ligatures w14:val="standardContextual"/>
            </w:rPr>
            <w:fldChar w:fldCharType="begin"/>
          </w:r>
          <w:r>
            <w:rPr>
              <w:rFonts w:hint="eastAsia" w:ascii="Times New Roman" w:hAnsi="Times New Roman" w:eastAsia="宋体" w:cs="Times New Roman"/>
              <w:kern w:val="2"/>
              <w:szCs w:val="21"/>
              <w:lang w:val="en-US" w:eastAsia="zh-CN" w:bidi="ar-SA"/>
              <w14:ligatures w14:val="standardContextual"/>
            </w:rPr>
            <w:instrText xml:space="preserve"> HYPERLINK \l _Toc13751 </w:instrText>
          </w:r>
          <w:r>
            <w:rPr>
              <w:rFonts w:hint="eastAsia" w:ascii="Times New Roman" w:hAnsi="Times New Roman" w:eastAsia="宋体" w:cs="Times New Roman"/>
              <w:kern w:val="2"/>
              <w:szCs w:val="21"/>
              <w:lang w:val="en-US" w:eastAsia="zh-CN" w:bidi="ar-SA"/>
              <w14:ligatures w14:val="standardContextual"/>
            </w:rPr>
            <w:fldChar w:fldCharType="separate"/>
          </w:r>
          <w:r>
            <w:rPr>
              <w:rFonts w:hint="eastAsia"/>
              <w:lang w:val="en-US" w:eastAsia="zh-CN"/>
            </w:rPr>
            <w:t>2.5无风险收益率</w:t>
          </w:r>
          <w:r>
            <w:tab/>
          </w:r>
          <w:r>
            <w:fldChar w:fldCharType="begin"/>
          </w:r>
          <w:r>
            <w:instrText xml:space="preserve"> PAGEREF _Toc13751 \h </w:instrText>
          </w:r>
          <w:r>
            <w:fldChar w:fldCharType="separate"/>
          </w:r>
          <w:r>
            <w:t>4</w:t>
          </w:r>
          <w:r>
            <w:fldChar w:fldCharType="end"/>
          </w:r>
          <w:r>
            <w:rPr>
              <w:rFonts w:hint="eastAsia" w:ascii="Times New Roman" w:hAnsi="Times New Roman" w:eastAsia="宋体" w:cs="Times New Roman"/>
              <w:kern w:val="2"/>
              <w:szCs w:val="21"/>
              <w:lang w:val="en-US" w:eastAsia="zh-CN" w:bidi="ar-SA"/>
              <w14:ligatures w14:val="standardContextual"/>
            </w:rPr>
            <w:fldChar w:fldCharType="end"/>
          </w:r>
        </w:p>
        <w:p w14:paraId="3AACFFE0">
          <w:pPr>
            <w:pStyle w:val="15"/>
            <w:tabs>
              <w:tab w:val="right" w:pos="8306"/>
            </w:tabs>
          </w:pPr>
          <w:r>
            <w:rPr>
              <w:rFonts w:hint="eastAsia" w:ascii="Times New Roman" w:hAnsi="Times New Roman" w:eastAsia="宋体" w:cs="Times New Roman"/>
              <w:kern w:val="2"/>
              <w:szCs w:val="21"/>
              <w:lang w:val="en-US" w:eastAsia="zh-CN" w:bidi="ar-SA"/>
              <w14:ligatures w14:val="standardContextual"/>
            </w:rPr>
            <w:fldChar w:fldCharType="begin"/>
          </w:r>
          <w:r>
            <w:rPr>
              <w:rFonts w:hint="eastAsia" w:ascii="Times New Roman" w:hAnsi="Times New Roman" w:eastAsia="宋体" w:cs="Times New Roman"/>
              <w:kern w:val="2"/>
              <w:szCs w:val="21"/>
              <w:lang w:val="en-US" w:eastAsia="zh-CN" w:bidi="ar-SA"/>
              <w14:ligatures w14:val="standardContextual"/>
            </w:rPr>
            <w:instrText xml:space="preserve"> HYPERLINK \l _Toc3240 </w:instrText>
          </w:r>
          <w:r>
            <w:rPr>
              <w:rFonts w:hint="eastAsia" w:ascii="Times New Roman" w:hAnsi="Times New Roman" w:eastAsia="宋体" w:cs="Times New Roman"/>
              <w:kern w:val="2"/>
              <w:szCs w:val="21"/>
              <w:lang w:val="en-US" w:eastAsia="zh-CN" w:bidi="ar-SA"/>
              <w14:ligatures w14:val="standardContextual"/>
            </w:rPr>
            <w:fldChar w:fldCharType="separate"/>
          </w:r>
          <w:r>
            <w:rPr>
              <w:rFonts w:hint="eastAsia"/>
              <w:lang w:val="en-US" w:eastAsia="zh-CN"/>
            </w:rPr>
            <w:t>三、 二项式定价</w:t>
          </w:r>
          <w:r>
            <w:tab/>
          </w:r>
          <w:r>
            <w:fldChar w:fldCharType="begin"/>
          </w:r>
          <w:r>
            <w:instrText xml:space="preserve"> PAGEREF _Toc3240 \h </w:instrText>
          </w:r>
          <w:r>
            <w:fldChar w:fldCharType="separate"/>
          </w:r>
          <w:r>
            <w:t>4</w:t>
          </w:r>
          <w:r>
            <w:fldChar w:fldCharType="end"/>
          </w:r>
          <w:r>
            <w:rPr>
              <w:rFonts w:hint="eastAsia" w:ascii="Times New Roman" w:hAnsi="Times New Roman" w:eastAsia="宋体" w:cs="Times New Roman"/>
              <w:kern w:val="2"/>
              <w:szCs w:val="21"/>
              <w:lang w:val="en-US" w:eastAsia="zh-CN" w:bidi="ar-SA"/>
              <w14:ligatures w14:val="standardContextual"/>
            </w:rPr>
            <w:fldChar w:fldCharType="end"/>
          </w:r>
        </w:p>
        <w:p w14:paraId="7579E2C7">
          <w:pPr>
            <w:pStyle w:val="17"/>
            <w:tabs>
              <w:tab w:val="right" w:pos="8306"/>
            </w:tabs>
          </w:pPr>
          <w:r>
            <w:rPr>
              <w:rFonts w:hint="eastAsia" w:ascii="Times New Roman" w:hAnsi="Times New Roman" w:eastAsia="宋体" w:cs="Times New Roman"/>
              <w:kern w:val="2"/>
              <w:szCs w:val="21"/>
              <w:lang w:val="en-US" w:eastAsia="zh-CN" w:bidi="ar-SA"/>
              <w14:ligatures w14:val="standardContextual"/>
            </w:rPr>
            <w:fldChar w:fldCharType="begin"/>
          </w:r>
          <w:r>
            <w:rPr>
              <w:rFonts w:hint="eastAsia" w:ascii="Times New Roman" w:hAnsi="Times New Roman" w:eastAsia="宋体" w:cs="Times New Roman"/>
              <w:kern w:val="2"/>
              <w:szCs w:val="21"/>
              <w:lang w:val="en-US" w:eastAsia="zh-CN" w:bidi="ar-SA"/>
              <w14:ligatures w14:val="standardContextual"/>
            </w:rPr>
            <w:instrText xml:space="preserve"> HYPERLINK \l _Toc30102 </w:instrText>
          </w:r>
          <w:r>
            <w:rPr>
              <w:rFonts w:hint="eastAsia" w:ascii="Times New Roman" w:hAnsi="Times New Roman" w:eastAsia="宋体" w:cs="Times New Roman"/>
              <w:kern w:val="2"/>
              <w:szCs w:val="21"/>
              <w:lang w:val="en-US" w:eastAsia="zh-CN" w:bidi="ar-SA"/>
              <w14:ligatures w14:val="standardContextual"/>
            </w:rPr>
            <w:fldChar w:fldCharType="separate"/>
          </w:r>
          <w:r>
            <w:rPr>
              <w:rFonts w:hint="eastAsia"/>
              <w:lang w:val="en-US" w:eastAsia="zh-CN"/>
            </w:rPr>
            <w:t>3.1 二项式定价原理</w:t>
          </w:r>
          <w:r>
            <w:tab/>
          </w:r>
          <w:r>
            <w:fldChar w:fldCharType="begin"/>
          </w:r>
          <w:r>
            <w:instrText xml:space="preserve"> PAGEREF _Toc30102 \h </w:instrText>
          </w:r>
          <w:r>
            <w:fldChar w:fldCharType="separate"/>
          </w:r>
          <w:r>
            <w:t>4</w:t>
          </w:r>
          <w:r>
            <w:fldChar w:fldCharType="end"/>
          </w:r>
          <w:r>
            <w:rPr>
              <w:rFonts w:hint="eastAsia" w:ascii="Times New Roman" w:hAnsi="Times New Roman" w:eastAsia="宋体" w:cs="Times New Roman"/>
              <w:kern w:val="2"/>
              <w:szCs w:val="21"/>
              <w:lang w:val="en-US" w:eastAsia="zh-CN" w:bidi="ar-SA"/>
              <w14:ligatures w14:val="standardContextual"/>
            </w:rPr>
            <w:fldChar w:fldCharType="end"/>
          </w:r>
        </w:p>
        <w:p w14:paraId="1C4F8062">
          <w:pPr>
            <w:pStyle w:val="12"/>
            <w:tabs>
              <w:tab w:val="right" w:pos="8306"/>
            </w:tabs>
          </w:pPr>
          <w:r>
            <w:rPr>
              <w:rFonts w:hint="eastAsia" w:ascii="Times New Roman" w:hAnsi="Times New Roman" w:eastAsia="宋体" w:cs="Times New Roman"/>
              <w:kern w:val="2"/>
              <w:szCs w:val="21"/>
              <w:lang w:val="en-US" w:eastAsia="zh-CN" w:bidi="ar-SA"/>
              <w14:ligatures w14:val="standardContextual"/>
            </w:rPr>
            <w:fldChar w:fldCharType="begin"/>
          </w:r>
          <w:r>
            <w:rPr>
              <w:rFonts w:hint="eastAsia" w:ascii="Times New Roman" w:hAnsi="Times New Roman" w:eastAsia="宋体" w:cs="Times New Roman"/>
              <w:kern w:val="2"/>
              <w:szCs w:val="21"/>
              <w:lang w:val="en-US" w:eastAsia="zh-CN" w:bidi="ar-SA"/>
              <w14:ligatures w14:val="standardContextual"/>
            </w:rPr>
            <w:instrText xml:space="preserve"> HYPERLINK \l _Toc1016 </w:instrText>
          </w:r>
          <w:r>
            <w:rPr>
              <w:rFonts w:hint="eastAsia" w:ascii="Times New Roman" w:hAnsi="Times New Roman" w:eastAsia="宋体" w:cs="Times New Roman"/>
              <w:kern w:val="2"/>
              <w:szCs w:val="21"/>
              <w:lang w:val="en-US" w:eastAsia="zh-CN" w:bidi="ar-SA"/>
              <w14:ligatures w14:val="standardContextual"/>
            </w:rPr>
            <w:fldChar w:fldCharType="separate"/>
          </w:r>
          <w:r>
            <w:rPr>
              <w:rFonts w:hint="eastAsia"/>
              <w:lang w:val="en-US" w:eastAsia="zh-CN"/>
            </w:rPr>
            <w:t>3.1.1 美式期权的二项式定价</w:t>
          </w:r>
          <w:r>
            <w:tab/>
          </w:r>
          <w:r>
            <w:fldChar w:fldCharType="begin"/>
          </w:r>
          <w:r>
            <w:instrText xml:space="preserve"> PAGEREF _Toc1016 \h </w:instrText>
          </w:r>
          <w:r>
            <w:fldChar w:fldCharType="separate"/>
          </w:r>
          <w:r>
            <w:t>5</w:t>
          </w:r>
          <w:r>
            <w:fldChar w:fldCharType="end"/>
          </w:r>
          <w:r>
            <w:rPr>
              <w:rFonts w:hint="eastAsia" w:ascii="Times New Roman" w:hAnsi="Times New Roman" w:eastAsia="宋体" w:cs="Times New Roman"/>
              <w:kern w:val="2"/>
              <w:szCs w:val="21"/>
              <w:lang w:val="en-US" w:eastAsia="zh-CN" w:bidi="ar-SA"/>
              <w14:ligatures w14:val="standardContextual"/>
            </w:rPr>
            <w:fldChar w:fldCharType="end"/>
          </w:r>
        </w:p>
        <w:p w14:paraId="24DA9279">
          <w:pPr>
            <w:pStyle w:val="12"/>
            <w:tabs>
              <w:tab w:val="right" w:pos="8306"/>
            </w:tabs>
          </w:pPr>
          <w:r>
            <w:rPr>
              <w:rFonts w:hint="eastAsia" w:ascii="Times New Roman" w:hAnsi="Times New Roman" w:eastAsia="宋体" w:cs="Times New Roman"/>
              <w:kern w:val="2"/>
              <w:szCs w:val="21"/>
              <w:lang w:val="en-US" w:eastAsia="zh-CN" w:bidi="ar-SA"/>
              <w14:ligatures w14:val="standardContextual"/>
            </w:rPr>
            <w:fldChar w:fldCharType="begin"/>
          </w:r>
          <w:r>
            <w:rPr>
              <w:rFonts w:hint="eastAsia" w:ascii="Times New Roman" w:hAnsi="Times New Roman" w:eastAsia="宋体" w:cs="Times New Roman"/>
              <w:kern w:val="2"/>
              <w:szCs w:val="21"/>
              <w:lang w:val="en-US" w:eastAsia="zh-CN" w:bidi="ar-SA"/>
              <w14:ligatures w14:val="standardContextual"/>
            </w:rPr>
            <w:instrText xml:space="preserve"> HYPERLINK \l _Toc1539 </w:instrText>
          </w:r>
          <w:r>
            <w:rPr>
              <w:rFonts w:hint="eastAsia" w:ascii="Times New Roman" w:hAnsi="Times New Roman" w:eastAsia="宋体" w:cs="Times New Roman"/>
              <w:kern w:val="2"/>
              <w:szCs w:val="21"/>
              <w:lang w:val="en-US" w:eastAsia="zh-CN" w:bidi="ar-SA"/>
              <w14:ligatures w14:val="standardContextual"/>
            </w:rPr>
            <w:fldChar w:fldCharType="separate"/>
          </w:r>
          <w:r>
            <w:rPr>
              <w:rFonts w:hint="eastAsia"/>
              <w:lang w:val="en-US" w:eastAsia="zh-CN"/>
            </w:rPr>
            <w:t>3.1.2 复合期权X的二项式定价模型实现</w:t>
          </w:r>
          <w:r>
            <w:tab/>
          </w:r>
          <w:r>
            <w:fldChar w:fldCharType="begin"/>
          </w:r>
          <w:r>
            <w:instrText xml:space="preserve"> PAGEREF _Toc1539 \h </w:instrText>
          </w:r>
          <w:r>
            <w:fldChar w:fldCharType="separate"/>
          </w:r>
          <w:r>
            <w:t>5</w:t>
          </w:r>
          <w:r>
            <w:fldChar w:fldCharType="end"/>
          </w:r>
          <w:r>
            <w:rPr>
              <w:rFonts w:hint="eastAsia" w:ascii="Times New Roman" w:hAnsi="Times New Roman" w:eastAsia="宋体" w:cs="Times New Roman"/>
              <w:kern w:val="2"/>
              <w:szCs w:val="21"/>
              <w:lang w:val="en-US" w:eastAsia="zh-CN" w:bidi="ar-SA"/>
              <w14:ligatures w14:val="standardContextual"/>
            </w:rPr>
            <w:fldChar w:fldCharType="end"/>
          </w:r>
        </w:p>
        <w:p w14:paraId="786215F9">
          <w:pPr>
            <w:pStyle w:val="17"/>
            <w:tabs>
              <w:tab w:val="right" w:pos="8306"/>
            </w:tabs>
          </w:pPr>
          <w:r>
            <w:rPr>
              <w:rFonts w:hint="eastAsia" w:ascii="Times New Roman" w:hAnsi="Times New Roman" w:eastAsia="宋体" w:cs="Times New Roman"/>
              <w:kern w:val="2"/>
              <w:szCs w:val="21"/>
              <w:lang w:val="en-US" w:eastAsia="zh-CN" w:bidi="ar-SA"/>
              <w14:ligatures w14:val="standardContextual"/>
            </w:rPr>
            <w:fldChar w:fldCharType="begin"/>
          </w:r>
          <w:r>
            <w:rPr>
              <w:rFonts w:hint="eastAsia" w:ascii="Times New Roman" w:hAnsi="Times New Roman" w:eastAsia="宋体" w:cs="Times New Roman"/>
              <w:kern w:val="2"/>
              <w:szCs w:val="21"/>
              <w:lang w:val="en-US" w:eastAsia="zh-CN" w:bidi="ar-SA"/>
              <w14:ligatures w14:val="standardContextual"/>
            </w:rPr>
            <w:instrText xml:space="preserve"> HYPERLINK \l _Toc7742 </w:instrText>
          </w:r>
          <w:r>
            <w:rPr>
              <w:rFonts w:hint="eastAsia" w:ascii="Times New Roman" w:hAnsi="Times New Roman" w:eastAsia="宋体" w:cs="Times New Roman"/>
              <w:kern w:val="2"/>
              <w:szCs w:val="21"/>
              <w:lang w:val="en-US" w:eastAsia="zh-CN" w:bidi="ar-SA"/>
              <w14:ligatures w14:val="standardContextual"/>
            </w:rPr>
            <w:fldChar w:fldCharType="separate"/>
          </w:r>
          <w:r>
            <w:rPr>
              <w:rFonts w:hint="eastAsia"/>
              <w:lang w:val="en-US" w:eastAsia="zh-CN"/>
            </w:rPr>
            <w:t>3.2 二项式定价结果</w:t>
          </w:r>
          <w:r>
            <w:tab/>
          </w:r>
          <w:r>
            <w:fldChar w:fldCharType="begin"/>
          </w:r>
          <w:r>
            <w:instrText xml:space="preserve"> PAGEREF _Toc7742 \h </w:instrText>
          </w:r>
          <w:r>
            <w:fldChar w:fldCharType="separate"/>
          </w:r>
          <w:r>
            <w:t>5</w:t>
          </w:r>
          <w:r>
            <w:fldChar w:fldCharType="end"/>
          </w:r>
          <w:r>
            <w:rPr>
              <w:rFonts w:hint="eastAsia" w:ascii="Times New Roman" w:hAnsi="Times New Roman" w:eastAsia="宋体" w:cs="Times New Roman"/>
              <w:kern w:val="2"/>
              <w:szCs w:val="21"/>
              <w:lang w:val="en-US" w:eastAsia="zh-CN" w:bidi="ar-SA"/>
              <w14:ligatures w14:val="standardContextual"/>
            </w:rPr>
            <w:fldChar w:fldCharType="end"/>
          </w:r>
        </w:p>
        <w:p w14:paraId="789422B7">
          <w:pPr>
            <w:pStyle w:val="12"/>
            <w:tabs>
              <w:tab w:val="right" w:pos="8306"/>
            </w:tabs>
          </w:pPr>
          <w:r>
            <w:rPr>
              <w:rFonts w:hint="eastAsia" w:ascii="Times New Roman" w:hAnsi="Times New Roman" w:eastAsia="宋体" w:cs="Times New Roman"/>
              <w:kern w:val="2"/>
              <w:szCs w:val="21"/>
              <w:lang w:val="en-US" w:eastAsia="zh-CN" w:bidi="ar-SA"/>
              <w14:ligatures w14:val="standardContextual"/>
            </w:rPr>
            <w:fldChar w:fldCharType="begin"/>
          </w:r>
          <w:r>
            <w:rPr>
              <w:rFonts w:hint="eastAsia" w:ascii="Times New Roman" w:hAnsi="Times New Roman" w:eastAsia="宋体" w:cs="Times New Roman"/>
              <w:kern w:val="2"/>
              <w:szCs w:val="21"/>
              <w:lang w:val="en-US" w:eastAsia="zh-CN" w:bidi="ar-SA"/>
              <w14:ligatures w14:val="standardContextual"/>
            </w:rPr>
            <w:instrText xml:space="preserve"> HYPERLINK \l _Toc18595 </w:instrText>
          </w:r>
          <w:r>
            <w:rPr>
              <w:rFonts w:hint="eastAsia" w:ascii="Times New Roman" w:hAnsi="Times New Roman" w:eastAsia="宋体" w:cs="Times New Roman"/>
              <w:kern w:val="2"/>
              <w:szCs w:val="21"/>
              <w:lang w:val="en-US" w:eastAsia="zh-CN" w:bidi="ar-SA"/>
              <w14:ligatures w14:val="standardContextual"/>
            </w:rPr>
            <w:fldChar w:fldCharType="separate"/>
          </w:r>
          <w:r>
            <w:rPr>
              <w:rFonts w:hint="eastAsia"/>
              <w:lang w:val="en-US" w:eastAsia="zh-CN"/>
            </w:rPr>
            <w:t>3.2.1 期权合约及二项式参数</w:t>
          </w:r>
          <w:r>
            <w:tab/>
          </w:r>
          <w:r>
            <w:fldChar w:fldCharType="begin"/>
          </w:r>
          <w:r>
            <w:instrText xml:space="preserve"> PAGEREF _Toc18595 \h </w:instrText>
          </w:r>
          <w:r>
            <w:fldChar w:fldCharType="separate"/>
          </w:r>
          <w:r>
            <w:t>5</w:t>
          </w:r>
          <w:r>
            <w:fldChar w:fldCharType="end"/>
          </w:r>
          <w:r>
            <w:rPr>
              <w:rFonts w:hint="eastAsia" w:ascii="Times New Roman" w:hAnsi="Times New Roman" w:eastAsia="宋体" w:cs="Times New Roman"/>
              <w:kern w:val="2"/>
              <w:szCs w:val="21"/>
              <w:lang w:val="en-US" w:eastAsia="zh-CN" w:bidi="ar-SA"/>
              <w14:ligatures w14:val="standardContextual"/>
            </w:rPr>
            <w:fldChar w:fldCharType="end"/>
          </w:r>
        </w:p>
        <w:p w14:paraId="62BAB9A5">
          <w:pPr>
            <w:pStyle w:val="17"/>
            <w:tabs>
              <w:tab w:val="right" w:pos="8306"/>
            </w:tabs>
          </w:pPr>
          <w:r>
            <w:rPr>
              <w:rFonts w:hint="eastAsia" w:ascii="Times New Roman" w:hAnsi="Times New Roman" w:eastAsia="宋体" w:cs="Times New Roman"/>
              <w:kern w:val="2"/>
              <w:szCs w:val="21"/>
              <w:lang w:val="en-US" w:eastAsia="zh-CN" w:bidi="ar-SA"/>
              <w14:ligatures w14:val="standardContextual"/>
            </w:rPr>
            <w:fldChar w:fldCharType="begin"/>
          </w:r>
          <w:r>
            <w:rPr>
              <w:rFonts w:hint="eastAsia" w:ascii="Times New Roman" w:hAnsi="Times New Roman" w:eastAsia="宋体" w:cs="Times New Roman"/>
              <w:kern w:val="2"/>
              <w:szCs w:val="21"/>
              <w:lang w:val="en-US" w:eastAsia="zh-CN" w:bidi="ar-SA"/>
              <w14:ligatures w14:val="standardContextual"/>
            </w:rPr>
            <w:instrText xml:space="preserve"> HYPERLINK \l _Toc17825 </w:instrText>
          </w:r>
          <w:r>
            <w:rPr>
              <w:rFonts w:hint="eastAsia" w:ascii="Times New Roman" w:hAnsi="Times New Roman" w:eastAsia="宋体" w:cs="Times New Roman"/>
              <w:kern w:val="2"/>
              <w:szCs w:val="21"/>
              <w:lang w:val="en-US" w:eastAsia="zh-CN" w:bidi="ar-SA"/>
              <w14:ligatures w14:val="standardContextual"/>
            </w:rPr>
            <w:fldChar w:fldCharType="separate"/>
          </w:r>
          <w:r>
            <w:rPr>
              <w:rFonts w:hint="eastAsia"/>
              <w:lang w:val="en-US" w:eastAsia="zh-CN"/>
            </w:rPr>
            <w:t>3.3 二项式定价敏感性分析</w:t>
          </w:r>
          <w:r>
            <w:tab/>
          </w:r>
          <w:r>
            <w:fldChar w:fldCharType="begin"/>
          </w:r>
          <w:r>
            <w:instrText xml:space="preserve"> PAGEREF _Toc17825 \h </w:instrText>
          </w:r>
          <w:r>
            <w:fldChar w:fldCharType="separate"/>
          </w:r>
          <w:r>
            <w:t>6</w:t>
          </w:r>
          <w:r>
            <w:fldChar w:fldCharType="end"/>
          </w:r>
          <w:r>
            <w:rPr>
              <w:rFonts w:hint="eastAsia" w:ascii="Times New Roman" w:hAnsi="Times New Roman" w:eastAsia="宋体" w:cs="Times New Roman"/>
              <w:kern w:val="2"/>
              <w:szCs w:val="21"/>
              <w:lang w:val="en-US" w:eastAsia="zh-CN" w:bidi="ar-SA"/>
              <w14:ligatures w14:val="standardContextual"/>
            </w:rPr>
            <w:fldChar w:fldCharType="end"/>
          </w:r>
        </w:p>
        <w:p w14:paraId="7DE93412">
          <w:pPr>
            <w:pStyle w:val="15"/>
            <w:tabs>
              <w:tab w:val="right" w:pos="8306"/>
            </w:tabs>
          </w:pPr>
          <w:r>
            <w:rPr>
              <w:rFonts w:hint="eastAsia" w:ascii="Times New Roman" w:hAnsi="Times New Roman" w:eastAsia="宋体" w:cs="Times New Roman"/>
              <w:kern w:val="2"/>
              <w:szCs w:val="21"/>
              <w:lang w:val="en-US" w:eastAsia="zh-CN" w:bidi="ar-SA"/>
              <w14:ligatures w14:val="standardContextual"/>
            </w:rPr>
            <w:fldChar w:fldCharType="begin"/>
          </w:r>
          <w:r>
            <w:rPr>
              <w:rFonts w:hint="eastAsia" w:ascii="Times New Roman" w:hAnsi="Times New Roman" w:eastAsia="宋体" w:cs="Times New Roman"/>
              <w:kern w:val="2"/>
              <w:szCs w:val="21"/>
              <w:lang w:val="en-US" w:eastAsia="zh-CN" w:bidi="ar-SA"/>
              <w14:ligatures w14:val="standardContextual"/>
            </w:rPr>
            <w:instrText xml:space="preserve"> HYPERLINK \l _Toc6612 </w:instrText>
          </w:r>
          <w:r>
            <w:rPr>
              <w:rFonts w:hint="eastAsia" w:ascii="Times New Roman" w:hAnsi="Times New Roman" w:eastAsia="宋体" w:cs="Times New Roman"/>
              <w:kern w:val="2"/>
              <w:szCs w:val="21"/>
              <w:lang w:val="en-US" w:eastAsia="zh-CN" w:bidi="ar-SA"/>
              <w14:ligatures w14:val="standardContextual"/>
            </w:rPr>
            <w:fldChar w:fldCharType="separate"/>
          </w:r>
          <w:r>
            <w:rPr>
              <w:rFonts w:hint="eastAsia"/>
              <w:lang w:val="en-US" w:eastAsia="zh-CN"/>
            </w:rPr>
            <w:t>四、 蒙特卡洛模拟定价</w:t>
          </w:r>
          <w:r>
            <w:tab/>
          </w:r>
          <w:r>
            <w:fldChar w:fldCharType="begin"/>
          </w:r>
          <w:r>
            <w:instrText xml:space="preserve"> PAGEREF _Toc6612 \h </w:instrText>
          </w:r>
          <w:r>
            <w:fldChar w:fldCharType="separate"/>
          </w:r>
          <w:r>
            <w:t>6</w:t>
          </w:r>
          <w:r>
            <w:fldChar w:fldCharType="end"/>
          </w:r>
          <w:r>
            <w:rPr>
              <w:rFonts w:hint="eastAsia" w:ascii="Times New Roman" w:hAnsi="Times New Roman" w:eastAsia="宋体" w:cs="Times New Roman"/>
              <w:kern w:val="2"/>
              <w:szCs w:val="21"/>
              <w:lang w:val="en-US" w:eastAsia="zh-CN" w:bidi="ar-SA"/>
              <w14:ligatures w14:val="standardContextual"/>
            </w:rPr>
            <w:fldChar w:fldCharType="end"/>
          </w:r>
        </w:p>
        <w:p w14:paraId="00D64158">
          <w:pPr>
            <w:pStyle w:val="15"/>
            <w:tabs>
              <w:tab w:val="right" w:pos="8306"/>
            </w:tabs>
          </w:pPr>
          <w:r>
            <w:rPr>
              <w:rFonts w:hint="eastAsia" w:ascii="Times New Roman" w:hAnsi="Times New Roman" w:eastAsia="宋体" w:cs="Times New Roman"/>
              <w:kern w:val="2"/>
              <w:szCs w:val="21"/>
              <w:lang w:val="en-US" w:eastAsia="zh-CN" w:bidi="ar-SA"/>
              <w14:ligatures w14:val="standardContextual"/>
            </w:rPr>
            <w:fldChar w:fldCharType="begin"/>
          </w:r>
          <w:r>
            <w:rPr>
              <w:rFonts w:hint="eastAsia" w:ascii="Times New Roman" w:hAnsi="Times New Roman" w:eastAsia="宋体" w:cs="Times New Roman"/>
              <w:kern w:val="2"/>
              <w:szCs w:val="21"/>
              <w:lang w:val="en-US" w:eastAsia="zh-CN" w:bidi="ar-SA"/>
              <w14:ligatures w14:val="standardContextual"/>
            </w:rPr>
            <w:instrText xml:space="preserve"> HYPERLINK \l _Toc15528 </w:instrText>
          </w:r>
          <w:r>
            <w:rPr>
              <w:rFonts w:hint="eastAsia" w:ascii="Times New Roman" w:hAnsi="Times New Roman" w:eastAsia="宋体" w:cs="Times New Roman"/>
              <w:kern w:val="2"/>
              <w:szCs w:val="21"/>
              <w:lang w:val="en-US" w:eastAsia="zh-CN" w:bidi="ar-SA"/>
              <w14:ligatures w14:val="standardContextual"/>
            </w:rPr>
            <w:fldChar w:fldCharType="separate"/>
          </w:r>
          <w:r>
            <w:rPr>
              <w:rFonts w:hint="eastAsia"/>
              <w:lang w:val="en-US" w:eastAsia="zh-CN"/>
            </w:rPr>
            <w:t>五、 希腊值与隐含波动率</w:t>
          </w:r>
          <w:r>
            <w:tab/>
          </w:r>
          <w:r>
            <w:fldChar w:fldCharType="begin"/>
          </w:r>
          <w:r>
            <w:instrText xml:space="preserve"> PAGEREF _Toc15528 \h </w:instrText>
          </w:r>
          <w:r>
            <w:fldChar w:fldCharType="separate"/>
          </w:r>
          <w:r>
            <w:t>6</w:t>
          </w:r>
          <w:r>
            <w:fldChar w:fldCharType="end"/>
          </w:r>
          <w:r>
            <w:rPr>
              <w:rFonts w:hint="eastAsia" w:ascii="Times New Roman" w:hAnsi="Times New Roman" w:eastAsia="宋体" w:cs="Times New Roman"/>
              <w:kern w:val="2"/>
              <w:szCs w:val="21"/>
              <w:lang w:val="en-US" w:eastAsia="zh-CN" w:bidi="ar-SA"/>
              <w14:ligatures w14:val="standardContextual"/>
            </w:rPr>
            <w:fldChar w:fldCharType="end"/>
          </w:r>
        </w:p>
        <w:p w14:paraId="0F09C843">
          <w:pPr>
            <w:pStyle w:val="15"/>
            <w:tabs>
              <w:tab w:val="right" w:pos="8306"/>
            </w:tabs>
          </w:pPr>
          <w:r>
            <w:rPr>
              <w:rFonts w:hint="eastAsia" w:ascii="Times New Roman" w:hAnsi="Times New Roman" w:eastAsia="宋体" w:cs="Times New Roman"/>
              <w:kern w:val="2"/>
              <w:szCs w:val="21"/>
              <w:lang w:val="en-US" w:eastAsia="zh-CN" w:bidi="ar-SA"/>
              <w14:ligatures w14:val="standardContextual"/>
            </w:rPr>
            <w:fldChar w:fldCharType="begin"/>
          </w:r>
          <w:r>
            <w:rPr>
              <w:rFonts w:hint="eastAsia" w:ascii="Times New Roman" w:hAnsi="Times New Roman" w:eastAsia="宋体" w:cs="Times New Roman"/>
              <w:kern w:val="2"/>
              <w:szCs w:val="21"/>
              <w:lang w:val="en-US" w:eastAsia="zh-CN" w:bidi="ar-SA"/>
              <w14:ligatures w14:val="standardContextual"/>
            </w:rPr>
            <w:instrText xml:space="preserve"> HYPERLINK \l _Toc13074 </w:instrText>
          </w:r>
          <w:r>
            <w:rPr>
              <w:rFonts w:hint="eastAsia" w:ascii="Times New Roman" w:hAnsi="Times New Roman" w:eastAsia="宋体" w:cs="Times New Roman"/>
              <w:kern w:val="2"/>
              <w:szCs w:val="21"/>
              <w:lang w:val="en-US" w:eastAsia="zh-CN" w:bidi="ar-SA"/>
              <w14:ligatures w14:val="standardContextual"/>
            </w:rPr>
            <w:fldChar w:fldCharType="separate"/>
          </w:r>
          <w:r>
            <w:rPr>
              <w:rFonts w:hint="eastAsia"/>
              <w:lang w:val="en-US" w:eastAsia="zh-CN"/>
            </w:rPr>
            <w:t>六、 总结</w:t>
          </w:r>
          <w:r>
            <w:tab/>
          </w:r>
          <w:r>
            <w:fldChar w:fldCharType="begin"/>
          </w:r>
          <w:r>
            <w:instrText xml:space="preserve"> PAGEREF _Toc13074 \h </w:instrText>
          </w:r>
          <w:r>
            <w:fldChar w:fldCharType="separate"/>
          </w:r>
          <w:r>
            <w:t>6</w:t>
          </w:r>
          <w:r>
            <w:fldChar w:fldCharType="end"/>
          </w:r>
          <w:r>
            <w:rPr>
              <w:rFonts w:hint="eastAsia" w:ascii="Times New Roman" w:hAnsi="Times New Roman" w:eastAsia="宋体" w:cs="Times New Roman"/>
              <w:kern w:val="2"/>
              <w:szCs w:val="21"/>
              <w:lang w:val="en-US" w:eastAsia="zh-CN" w:bidi="ar-SA"/>
              <w14:ligatures w14:val="standardContextual"/>
            </w:rPr>
            <w:fldChar w:fldCharType="end"/>
          </w:r>
        </w:p>
        <w:p w14:paraId="441EEB65">
          <w:pPr>
            <w:pStyle w:val="15"/>
            <w:tabs>
              <w:tab w:val="right" w:pos="8306"/>
            </w:tabs>
          </w:pPr>
          <w:r>
            <w:rPr>
              <w:rFonts w:hint="eastAsia" w:ascii="Times New Roman" w:hAnsi="Times New Roman" w:eastAsia="宋体" w:cs="Times New Roman"/>
              <w:kern w:val="2"/>
              <w:szCs w:val="21"/>
              <w:lang w:val="en-US" w:eastAsia="zh-CN" w:bidi="ar-SA"/>
              <w14:ligatures w14:val="standardContextual"/>
            </w:rPr>
            <w:fldChar w:fldCharType="begin"/>
          </w:r>
          <w:r>
            <w:rPr>
              <w:rFonts w:hint="eastAsia" w:ascii="Times New Roman" w:hAnsi="Times New Roman" w:eastAsia="宋体" w:cs="Times New Roman"/>
              <w:kern w:val="2"/>
              <w:szCs w:val="21"/>
              <w:lang w:val="en-US" w:eastAsia="zh-CN" w:bidi="ar-SA"/>
              <w14:ligatures w14:val="standardContextual"/>
            </w:rPr>
            <w:instrText xml:space="preserve"> HYPERLINK \l _Toc15246 </w:instrText>
          </w:r>
          <w:r>
            <w:rPr>
              <w:rFonts w:hint="eastAsia" w:ascii="Times New Roman" w:hAnsi="Times New Roman" w:eastAsia="宋体" w:cs="Times New Roman"/>
              <w:kern w:val="2"/>
              <w:szCs w:val="21"/>
              <w:lang w:val="en-US" w:eastAsia="zh-CN" w:bidi="ar-SA"/>
              <w14:ligatures w14:val="standardContextual"/>
            </w:rPr>
            <w:fldChar w:fldCharType="separate"/>
          </w:r>
          <w:r>
            <w:rPr>
              <w:rFonts w:hint="eastAsia"/>
              <w:lang w:val="en-US" w:eastAsia="zh-CN"/>
            </w:rPr>
            <w:t>七、 参考</w:t>
          </w:r>
          <w:r>
            <w:tab/>
          </w:r>
          <w:r>
            <w:fldChar w:fldCharType="begin"/>
          </w:r>
          <w:r>
            <w:instrText xml:space="preserve"> PAGEREF _Toc15246 \h </w:instrText>
          </w:r>
          <w:r>
            <w:fldChar w:fldCharType="separate"/>
          </w:r>
          <w:r>
            <w:t>6</w:t>
          </w:r>
          <w:r>
            <w:fldChar w:fldCharType="end"/>
          </w:r>
          <w:r>
            <w:rPr>
              <w:rFonts w:hint="eastAsia" w:ascii="Times New Roman" w:hAnsi="Times New Roman" w:eastAsia="宋体" w:cs="Times New Roman"/>
              <w:kern w:val="2"/>
              <w:szCs w:val="21"/>
              <w:lang w:val="en-US" w:eastAsia="zh-CN" w:bidi="ar-SA"/>
              <w14:ligatures w14:val="standardContextual"/>
            </w:rPr>
            <w:fldChar w:fldCharType="end"/>
          </w:r>
        </w:p>
        <w:p w14:paraId="45B3DA43">
          <w:pPr>
            <w:pStyle w:val="15"/>
            <w:tabs>
              <w:tab w:val="right" w:pos="8306"/>
            </w:tabs>
          </w:pPr>
          <w:r>
            <w:rPr>
              <w:rFonts w:hint="eastAsia" w:ascii="Times New Roman" w:hAnsi="Times New Roman" w:eastAsia="宋体" w:cs="Times New Roman"/>
              <w:kern w:val="2"/>
              <w:szCs w:val="21"/>
              <w:lang w:val="en-US" w:eastAsia="zh-CN" w:bidi="ar-SA"/>
              <w14:ligatures w14:val="standardContextual"/>
            </w:rPr>
            <w:fldChar w:fldCharType="begin"/>
          </w:r>
          <w:r>
            <w:rPr>
              <w:rFonts w:hint="eastAsia" w:ascii="Times New Roman" w:hAnsi="Times New Roman" w:eastAsia="宋体" w:cs="Times New Roman"/>
              <w:kern w:val="2"/>
              <w:szCs w:val="21"/>
              <w:lang w:val="en-US" w:eastAsia="zh-CN" w:bidi="ar-SA"/>
              <w14:ligatures w14:val="standardContextual"/>
            </w:rPr>
            <w:instrText xml:space="preserve"> HYPERLINK \l _Toc1436 </w:instrText>
          </w:r>
          <w:r>
            <w:rPr>
              <w:rFonts w:hint="eastAsia" w:ascii="Times New Roman" w:hAnsi="Times New Roman" w:eastAsia="宋体" w:cs="Times New Roman"/>
              <w:kern w:val="2"/>
              <w:szCs w:val="21"/>
              <w:lang w:val="en-US" w:eastAsia="zh-CN" w:bidi="ar-SA"/>
              <w14:ligatures w14:val="standardContextual"/>
            </w:rPr>
            <w:fldChar w:fldCharType="separate"/>
          </w:r>
          <w:r>
            <w:rPr>
              <w:rFonts w:hint="eastAsia"/>
              <w:lang w:val="en-US" w:eastAsia="zh-CN"/>
            </w:rPr>
            <w:t>八、 附录</w:t>
          </w:r>
          <w:r>
            <w:tab/>
          </w:r>
          <w:r>
            <w:fldChar w:fldCharType="begin"/>
          </w:r>
          <w:r>
            <w:instrText xml:space="preserve"> PAGEREF _Toc1436 \h </w:instrText>
          </w:r>
          <w:r>
            <w:fldChar w:fldCharType="separate"/>
          </w:r>
          <w:r>
            <w:t>6</w:t>
          </w:r>
          <w:r>
            <w:fldChar w:fldCharType="end"/>
          </w:r>
          <w:r>
            <w:rPr>
              <w:rFonts w:hint="eastAsia" w:ascii="Times New Roman" w:hAnsi="Times New Roman" w:eastAsia="宋体" w:cs="Times New Roman"/>
              <w:kern w:val="2"/>
              <w:szCs w:val="21"/>
              <w:lang w:val="en-US" w:eastAsia="zh-CN" w:bidi="ar-SA"/>
              <w14:ligatures w14:val="standardContextual"/>
            </w:rPr>
            <w:fldChar w:fldCharType="end"/>
          </w:r>
        </w:p>
        <w:p w14:paraId="0E3573AB">
          <w:pPr>
            <w:pStyle w:val="17"/>
            <w:tabs>
              <w:tab w:val="right" w:pos="8306"/>
            </w:tabs>
          </w:pPr>
          <w:r>
            <w:rPr>
              <w:rFonts w:hint="eastAsia" w:ascii="Times New Roman" w:hAnsi="Times New Roman" w:eastAsia="宋体" w:cs="Times New Roman"/>
              <w:kern w:val="2"/>
              <w:szCs w:val="21"/>
              <w:lang w:val="en-US" w:eastAsia="zh-CN" w:bidi="ar-SA"/>
              <w14:ligatures w14:val="standardContextual"/>
            </w:rPr>
            <w:fldChar w:fldCharType="begin"/>
          </w:r>
          <w:r>
            <w:rPr>
              <w:rFonts w:hint="eastAsia" w:ascii="Times New Roman" w:hAnsi="Times New Roman" w:eastAsia="宋体" w:cs="Times New Roman"/>
              <w:kern w:val="2"/>
              <w:szCs w:val="21"/>
              <w:lang w:val="en-US" w:eastAsia="zh-CN" w:bidi="ar-SA"/>
              <w14:ligatures w14:val="standardContextual"/>
            </w:rPr>
            <w:instrText xml:space="preserve"> HYPERLINK \l _Toc18652 </w:instrText>
          </w:r>
          <w:r>
            <w:rPr>
              <w:rFonts w:hint="eastAsia" w:ascii="Times New Roman" w:hAnsi="Times New Roman" w:eastAsia="宋体" w:cs="Times New Roman"/>
              <w:kern w:val="2"/>
              <w:szCs w:val="21"/>
              <w:lang w:val="en-US" w:eastAsia="zh-CN" w:bidi="ar-SA"/>
              <w14:ligatures w14:val="standardContextual"/>
            </w:rPr>
            <w:fldChar w:fldCharType="separate"/>
          </w:r>
          <w:r>
            <w:rPr>
              <w:rFonts w:hint="eastAsia"/>
              <w:lang w:val="en-US" w:eastAsia="zh-CN"/>
            </w:rPr>
            <w:t>8.1 二项式定价代码</w:t>
          </w:r>
          <w:r>
            <w:tab/>
          </w:r>
          <w:r>
            <w:fldChar w:fldCharType="begin"/>
          </w:r>
          <w:r>
            <w:instrText xml:space="preserve"> PAGEREF _Toc18652 \h </w:instrText>
          </w:r>
          <w:r>
            <w:fldChar w:fldCharType="separate"/>
          </w:r>
          <w:r>
            <w:t>6</w:t>
          </w:r>
          <w:r>
            <w:fldChar w:fldCharType="end"/>
          </w:r>
          <w:r>
            <w:rPr>
              <w:rFonts w:hint="eastAsia" w:ascii="Times New Roman" w:hAnsi="Times New Roman" w:eastAsia="宋体" w:cs="Times New Roman"/>
              <w:kern w:val="2"/>
              <w:szCs w:val="21"/>
              <w:lang w:val="en-US" w:eastAsia="zh-CN" w:bidi="ar-SA"/>
              <w14:ligatures w14:val="standardContextual"/>
            </w:rPr>
            <w:fldChar w:fldCharType="end"/>
          </w:r>
        </w:p>
        <w:p w14:paraId="01AA8722">
          <w:pPr>
            <w:pStyle w:val="17"/>
            <w:tabs>
              <w:tab w:val="right" w:pos="8306"/>
            </w:tabs>
          </w:pPr>
          <w:r>
            <w:rPr>
              <w:rFonts w:hint="eastAsia" w:ascii="Times New Roman" w:hAnsi="Times New Roman" w:eastAsia="宋体" w:cs="Times New Roman"/>
              <w:kern w:val="2"/>
              <w:szCs w:val="21"/>
              <w:lang w:val="en-US" w:eastAsia="zh-CN" w:bidi="ar-SA"/>
              <w14:ligatures w14:val="standardContextual"/>
            </w:rPr>
            <w:fldChar w:fldCharType="begin"/>
          </w:r>
          <w:r>
            <w:rPr>
              <w:rFonts w:hint="eastAsia" w:ascii="Times New Roman" w:hAnsi="Times New Roman" w:eastAsia="宋体" w:cs="Times New Roman"/>
              <w:kern w:val="2"/>
              <w:szCs w:val="21"/>
              <w:lang w:val="en-US" w:eastAsia="zh-CN" w:bidi="ar-SA"/>
              <w14:ligatures w14:val="standardContextual"/>
            </w:rPr>
            <w:instrText xml:space="preserve"> HYPERLINK \l _Toc30481 </w:instrText>
          </w:r>
          <w:r>
            <w:rPr>
              <w:rFonts w:hint="eastAsia" w:ascii="Times New Roman" w:hAnsi="Times New Roman" w:eastAsia="宋体" w:cs="Times New Roman"/>
              <w:kern w:val="2"/>
              <w:szCs w:val="21"/>
              <w:lang w:val="en-US" w:eastAsia="zh-CN" w:bidi="ar-SA"/>
              <w14:ligatures w14:val="standardContextual"/>
            </w:rPr>
            <w:fldChar w:fldCharType="separate"/>
          </w:r>
          <w:r>
            <w:rPr>
              <w:rFonts w:hint="eastAsia"/>
              <w:lang w:val="en-US" w:eastAsia="zh-CN"/>
            </w:rPr>
            <w:t>8.2 蒙特卡洛模拟定价代码</w:t>
          </w:r>
          <w:r>
            <w:tab/>
          </w:r>
          <w:r>
            <w:fldChar w:fldCharType="begin"/>
          </w:r>
          <w:r>
            <w:instrText xml:space="preserve"> PAGEREF _Toc30481 \h </w:instrText>
          </w:r>
          <w:r>
            <w:fldChar w:fldCharType="separate"/>
          </w:r>
          <w:r>
            <w:t>6</w:t>
          </w:r>
          <w:r>
            <w:fldChar w:fldCharType="end"/>
          </w:r>
          <w:r>
            <w:rPr>
              <w:rFonts w:hint="eastAsia" w:ascii="Times New Roman" w:hAnsi="Times New Roman" w:eastAsia="宋体" w:cs="Times New Roman"/>
              <w:kern w:val="2"/>
              <w:szCs w:val="21"/>
              <w:lang w:val="en-US" w:eastAsia="zh-CN" w:bidi="ar-SA"/>
              <w14:ligatures w14:val="standardContextual"/>
            </w:rPr>
            <w:fldChar w:fldCharType="end"/>
          </w:r>
        </w:p>
        <w:p w14:paraId="72722B95">
          <w:pPr>
            <w:tabs>
              <w:tab w:val="left" w:pos="3597"/>
            </w:tabs>
            <w:bidi w:val="0"/>
            <w:jc w:val="left"/>
            <w:rPr>
              <w:rFonts w:hint="eastAsia" w:ascii="Times New Roman" w:hAnsi="Times New Roman" w:eastAsia="宋体" w:cs="Times New Roman"/>
              <w:kern w:val="2"/>
              <w:sz w:val="24"/>
              <w:szCs w:val="21"/>
              <w:lang w:val="en-US" w:eastAsia="zh-CN" w:bidi="ar-SA"/>
              <w14:ligatures w14:val="standardContextual"/>
            </w:rPr>
          </w:pPr>
          <w:r>
            <w:rPr>
              <w:rFonts w:hint="eastAsia" w:ascii="Times New Roman" w:hAnsi="Times New Roman" w:eastAsia="宋体" w:cs="Times New Roman"/>
              <w:kern w:val="2"/>
              <w:szCs w:val="21"/>
              <w:lang w:val="en-US" w:eastAsia="zh-CN" w:bidi="ar-SA"/>
              <w14:ligatures w14:val="standardContextual"/>
            </w:rPr>
            <w:fldChar w:fldCharType="end"/>
          </w:r>
        </w:p>
      </w:sdtContent>
    </w:sdt>
    <w:p w14:paraId="2EEBDFC7">
      <w:pPr>
        <w:tabs>
          <w:tab w:val="left" w:pos="3597"/>
        </w:tabs>
        <w:bidi w:val="0"/>
        <w:jc w:val="left"/>
        <w:rPr>
          <w:rFonts w:hint="eastAsia" w:ascii="Times New Roman" w:hAnsi="Times New Roman" w:eastAsia="宋体" w:cs="Times New Roman"/>
          <w:kern w:val="2"/>
          <w:sz w:val="24"/>
          <w:szCs w:val="21"/>
          <w:lang w:val="en-US" w:eastAsia="zh-CN" w:bidi="ar-SA"/>
          <w14:ligatures w14:val="standardContextual"/>
        </w:rPr>
      </w:pPr>
    </w:p>
    <w:p w14:paraId="6DC55211">
      <w:pPr>
        <w:tabs>
          <w:tab w:val="left" w:pos="3597"/>
        </w:tabs>
        <w:bidi w:val="0"/>
        <w:jc w:val="left"/>
        <w:rPr>
          <w:rFonts w:hint="eastAsia"/>
          <w:lang w:val="en-US" w:eastAsia="zh-CN"/>
        </w:rPr>
      </w:pPr>
    </w:p>
    <w:p w14:paraId="22C1B9B6">
      <w:pPr>
        <w:pStyle w:val="2"/>
        <w:numPr>
          <w:ilvl w:val="0"/>
          <w:numId w:val="1"/>
        </w:numPr>
        <w:bidi w:val="0"/>
        <w:rPr>
          <w:rFonts w:hint="default"/>
          <w:lang w:val="en-US" w:eastAsia="zh-CN"/>
        </w:rPr>
      </w:pPr>
      <w:bookmarkStart w:id="0" w:name="_Toc23182"/>
      <w:r>
        <w:rPr>
          <w:rFonts w:hint="eastAsia"/>
          <w:lang w:val="en-US" w:eastAsia="zh-CN"/>
        </w:rPr>
        <w:t>引言</w:t>
      </w:r>
      <w:bookmarkEnd w:id="0"/>
    </w:p>
    <w:p w14:paraId="1FB56CB8">
      <w:pPr>
        <w:pStyle w:val="3"/>
        <w:bidi w:val="0"/>
      </w:pPr>
      <w:bookmarkStart w:id="1" w:name="_Toc28634"/>
      <w:r>
        <w:t xml:space="preserve">1.1 </w:t>
      </w:r>
      <w:r>
        <w:rPr>
          <w:rFonts w:hint="eastAsia"/>
        </w:rPr>
        <w:t>项目背景与衍生品结构</w:t>
      </w:r>
      <w:bookmarkEnd w:id="1"/>
    </w:p>
    <w:p w14:paraId="01E95D40">
      <w:pPr>
        <w:pStyle w:val="11"/>
        <w:keepNext w:val="0"/>
        <w:keepLines w:val="0"/>
        <w:pageBreakBefore w:val="0"/>
        <w:widowControl/>
        <w:kinsoku w:val="0"/>
        <w:wordWrap/>
        <w:overflowPunct/>
        <w:topLinePunct w:val="0"/>
        <w:autoSpaceDE w:val="0"/>
        <w:autoSpaceDN w:val="0"/>
        <w:bidi w:val="0"/>
        <w:adjustRightInd w:val="0"/>
        <w:snapToGrid w:val="0"/>
        <w:spacing w:line="300" w:lineRule="auto"/>
        <w:ind w:firstLine="420" w:firstLineChars="0"/>
        <w:textAlignment w:val="baseline"/>
        <w:rPr>
          <w:rFonts w:hint="eastAsia" w:ascii="Times New Roman" w:hAnsi="Times New Roman" w:eastAsia="宋体" w:cs="Times New Roman"/>
          <w:kern w:val="2"/>
          <w:sz w:val="24"/>
          <w:szCs w:val="21"/>
          <w:lang w:val="en-US" w:eastAsia="zh-CN" w:bidi="ar-SA"/>
          <w14:ligatures w14:val="standardContextual"/>
        </w:rPr>
      </w:pPr>
      <w:r>
        <w:rPr>
          <w:rFonts w:hint="eastAsia" w:ascii="Times New Roman" w:hAnsi="Times New Roman" w:eastAsia="宋体" w:cs="Times New Roman"/>
          <w:kern w:val="2"/>
          <w:sz w:val="24"/>
          <w:szCs w:val="21"/>
          <w:lang w:val="en-US" w:eastAsia="zh-CN" w:bidi="ar-SA"/>
          <w14:ligatures w14:val="standardContextual"/>
        </w:rPr>
        <w:t>期权定价是金融衍生品领域的核心问题。本</w:t>
      </w:r>
      <w:r>
        <w:rPr>
          <w:rFonts w:hint="eastAsia" w:ascii="Times New Roman" w:hAnsi="Times New Roman" w:cs="Times New Roman"/>
          <w:kern w:val="2"/>
          <w:sz w:val="24"/>
          <w:szCs w:val="21"/>
          <w:lang w:val="en-US" w:eastAsia="zh-CN" w:bidi="ar-SA"/>
          <w14:ligatures w14:val="standardContextual"/>
        </w:rPr>
        <w:t>文</w:t>
      </w:r>
      <w:r>
        <w:rPr>
          <w:rFonts w:hint="eastAsia" w:ascii="Times New Roman" w:hAnsi="Times New Roman" w:eastAsia="宋体" w:cs="Times New Roman"/>
          <w:kern w:val="2"/>
          <w:sz w:val="24"/>
          <w:szCs w:val="21"/>
          <w:lang w:val="en-US" w:eastAsia="zh-CN" w:bidi="ar-SA"/>
          <w14:ligatures w14:val="standardContextual"/>
        </w:rPr>
        <w:t>关注一个具有两层复杂性的衍生品 X (</w:t>
      </w:r>
      <m:oMath>
        <m:sSub>
          <m:sSubPr>
            <m:ctrlPr>
              <w:rPr>
                <w:rFonts w:hint="eastAsia" w:ascii="Cambria Math" w:hAnsi="Cambria Math" w:eastAsia="宋体" w:cs="Times New Roman"/>
                <w:kern w:val="2"/>
                <w:sz w:val="24"/>
                <w:szCs w:val="21"/>
                <w:lang w:val="en-US" w:eastAsia="zh-CN" w:bidi="ar-SA"/>
                <w14:ligatures w14:val="standardContextual"/>
              </w:rPr>
            </m:ctrlPr>
          </m:sSubPr>
          <m:e>
            <m:r>
              <m:rPr>
                <m:sty m:val="p"/>
              </m:rPr>
              <w:rPr>
                <w:rFonts w:hint="eastAsia" w:ascii="Times New Roman" w:hAnsi="Times New Roman" w:eastAsia="宋体" w:cs="Times New Roman"/>
                <w:kern w:val="2"/>
                <w:sz w:val="24"/>
                <w:szCs w:val="21"/>
                <w:lang w:val="en-US" w:eastAsia="zh-CN" w:bidi="ar-SA"/>
                <w14:ligatures w14:val="standardContextual"/>
              </w:rPr>
              <m:t>V</m:t>
            </m:r>
            <m:ctrlPr>
              <w:rPr>
                <w:rFonts w:hint="eastAsia" w:ascii="Cambria Math" w:hAnsi="Cambria Math" w:eastAsia="宋体" w:cs="Times New Roman"/>
                <w:kern w:val="2"/>
                <w:sz w:val="24"/>
                <w:szCs w:val="21"/>
                <w:lang w:val="en-US" w:eastAsia="zh-CN" w:bidi="ar-SA"/>
                <w14:ligatures w14:val="standardContextual"/>
              </w:rPr>
            </m:ctrlPr>
          </m:e>
          <m:sub>
            <m:r>
              <m:rPr>
                <m:sty m:val="p"/>
              </m:rPr>
              <w:rPr>
                <w:rFonts w:hint="eastAsia" w:ascii="Times New Roman" w:hAnsi="Times New Roman" w:eastAsia="宋体" w:cs="Times New Roman"/>
                <w:kern w:val="2"/>
                <w:sz w:val="24"/>
                <w:szCs w:val="21"/>
                <w:lang w:val="en-US" w:eastAsia="zh-CN" w:bidi="ar-SA"/>
                <w14:ligatures w14:val="standardContextual"/>
              </w:rPr>
              <m:t>2</m:t>
            </m:r>
            <m:ctrlPr>
              <w:rPr>
                <w:rFonts w:hint="eastAsia" w:ascii="Cambria Math" w:hAnsi="Cambria Math" w:eastAsia="宋体" w:cs="Times New Roman"/>
                <w:kern w:val="2"/>
                <w:sz w:val="24"/>
                <w:szCs w:val="21"/>
                <w:lang w:val="en-US" w:eastAsia="zh-CN" w:bidi="ar-SA"/>
                <w14:ligatures w14:val="standardContextual"/>
              </w:rPr>
            </m:ctrlPr>
          </m:sub>
        </m:sSub>
      </m:oMath>
      <w:r>
        <w:rPr>
          <w:rFonts w:hint="eastAsia" w:ascii="Times New Roman" w:hAnsi="Times New Roman" w:eastAsia="宋体" w:cs="Times New Roman"/>
          <w:kern w:val="2"/>
          <w:sz w:val="24"/>
          <w:szCs w:val="21"/>
          <w:lang w:val="en-US" w:eastAsia="zh-CN" w:bidi="ar-SA"/>
          <w14:ligatures w14:val="standardContextual"/>
        </w:rPr>
        <w:t>)：</w:t>
      </w:r>
    </w:p>
    <w:p w14:paraId="3B9030A5">
      <w:pPr>
        <w:pStyle w:val="11"/>
        <w:keepNext w:val="0"/>
        <w:keepLines w:val="0"/>
        <w:pageBreakBefore w:val="0"/>
        <w:widowControl/>
        <w:kinsoku w:val="0"/>
        <w:wordWrap/>
        <w:overflowPunct/>
        <w:topLinePunct w:val="0"/>
        <w:autoSpaceDE w:val="0"/>
        <w:autoSpaceDN w:val="0"/>
        <w:bidi w:val="0"/>
        <w:adjustRightInd w:val="0"/>
        <w:snapToGrid w:val="0"/>
        <w:spacing w:line="300" w:lineRule="auto"/>
        <w:ind w:firstLine="420" w:firstLineChars="0"/>
        <w:textAlignment w:val="baseline"/>
        <w:rPr>
          <w:rFonts w:hint="eastAsia" w:ascii="Times New Roman" w:hAnsi="Times New Roman" w:eastAsia="宋体" w:cs="Times New Roman"/>
          <w:kern w:val="2"/>
          <w:sz w:val="24"/>
          <w:szCs w:val="21"/>
          <w:lang w:val="en-US" w:eastAsia="zh-CN" w:bidi="ar-SA"/>
          <w14:ligatures w14:val="standardContextual"/>
        </w:rPr>
      </w:pPr>
      <w:r>
        <w:rPr>
          <w:rFonts w:hint="eastAsia" w:ascii="Times New Roman" w:hAnsi="Times New Roman" w:eastAsia="宋体" w:cs="Times New Roman"/>
          <w:kern w:val="2"/>
          <w:sz w:val="24"/>
          <w:szCs w:val="21"/>
          <w:lang w:val="en-US" w:eastAsia="zh-CN" w:bidi="ar-SA"/>
          <w14:ligatures w14:val="standardContextual"/>
        </w:rPr>
        <w:t>内层期权 (</w:t>
      </w:r>
      <m:oMath>
        <m:sSub>
          <m:sSubPr>
            <m:ctrlPr>
              <w:rPr>
                <w:rFonts w:hint="eastAsia" w:ascii="Cambria Math" w:hAnsi="Cambria Math" w:eastAsia="宋体" w:cs="Times New Roman"/>
                <w:kern w:val="2"/>
                <w:sz w:val="24"/>
                <w:szCs w:val="21"/>
                <w:lang w:val="en-US" w:eastAsia="zh-CN" w:bidi="ar-SA"/>
                <w14:ligatures w14:val="standardContextual"/>
              </w:rPr>
            </m:ctrlPr>
          </m:sSubPr>
          <m:e>
            <m:r>
              <m:rPr>
                <m:sty m:val="p"/>
              </m:rPr>
              <w:rPr>
                <w:rFonts w:hint="eastAsia" w:ascii="Times New Roman" w:hAnsi="Times New Roman" w:eastAsia="宋体" w:cs="Times New Roman"/>
                <w:kern w:val="2"/>
                <w:sz w:val="24"/>
                <w:szCs w:val="21"/>
                <w:lang w:val="en-US" w:eastAsia="zh-CN" w:bidi="ar-SA"/>
                <w14:ligatures w14:val="standardContextual"/>
              </w:rPr>
              <m:t>V</m:t>
            </m:r>
            <m:ctrlPr>
              <w:rPr>
                <w:rFonts w:hint="eastAsia" w:ascii="Cambria Math" w:hAnsi="Cambria Math" w:eastAsia="宋体" w:cs="Times New Roman"/>
                <w:kern w:val="2"/>
                <w:sz w:val="24"/>
                <w:szCs w:val="21"/>
                <w:lang w:val="en-US" w:eastAsia="zh-CN" w:bidi="ar-SA"/>
                <w14:ligatures w14:val="standardContextual"/>
              </w:rPr>
            </m:ctrlPr>
          </m:e>
          <m:sub>
            <m:r>
              <m:rPr>
                <m:sty m:val="p"/>
              </m:rPr>
              <w:rPr>
                <w:rFonts w:hint="eastAsia" w:ascii="Times New Roman" w:hAnsi="Times New Roman" w:eastAsia="宋体" w:cs="Times New Roman"/>
                <w:kern w:val="2"/>
                <w:sz w:val="24"/>
                <w:szCs w:val="21"/>
                <w:lang w:val="en-US" w:eastAsia="zh-CN" w:bidi="ar-SA"/>
                <w14:ligatures w14:val="standardContextual"/>
              </w:rPr>
              <m:t>1</m:t>
            </m:r>
            <m:ctrlPr>
              <w:rPr>
                <w:rFonts w:hint="eastAsia" w:ascii="Cambria Math" w:hAnsi="Cambria Math" w:eastAsia="宋体" w:cs="Times New Roman"/>
                <w:kern w:val="2"/>
                <w:sz w:val="24"/>
                <w:szCs w:val="21"/>
                <w:lang w:val="en-US" w:eastAsia="zh-CN" w:bidi="ar-SA"/>
                <w14:ligatures w14:val="standardContextual"/>
              </w:rPr>
            </m:ctrlPr>
          </m:sub>
        </m:sSub>
      </m:oMath>
      <w:r>
        <w:rPr>
          <w:rFonts w:hint="eastAsia" w:ascii="Times New Roman" w:hAnsi="Times New Roman" w:eastAsia="宋体" w:cs="Times New Roman"/>
          <w:kern w:val="2"/>
          <w:sz w:val="24"/>
          <w:szCs w:val="21"/>
          <w:lang w:val="en-US" w:eastAsia="zh-CN" w:bidi="ar-SA"/>
          <w14:ligatures w14:val="standardContextual"/>
        </w:rPr>
        <w:t xml:space="preserve">): 一个以标的资产 </w:t>
      </w:r>
      <m:oMath>
        <m:r>
          <m:rPr>
            <m:sty m:val="p"/>
          </m:rPr>
          <w:rPr>
            <w:rFonts w:hint="eastAsia" w:ascii="Times New Roman" w:hAnsi="Times New Roman" w:eastAsia="宋体" w:cs="Times New Roman"/>
            <w:kern w:val="2"/>
            <w:sz w:val="24"/>
            <w:szCs w:val="21"/>
            <w:lang w:val="en-US" w:eastAsia="zh-CN" w:bidi="ar-SA"/>
            <w14:ligatures w14:val="standardContextual"/>
          </w:rPr>
          <m:t>S</m:t>
        </m:r>
      </m:oMath>
      <w:r>
        <w:rPr>
          <w:rFonts w:hint="eastAsia" w:ascii="Times New Roman" w:hAnsi="Times New Roman" w:eastAsia="宋体" w:cs="Times New Roman"/>
          <w:kern w:val="2"/>
          <w:sz w:val="24"/>
          <w:szCs w:val="21"/>
          <w:lang w:val="en-US" w:eastAsia="zh-CN" w:bidi="ar-SA"/>
          <w14:ligatures w14:val="standardContextual"/>
        </w:rPr>
        <w:t xml:space="preserve"> 为基础的奇异看跌期权。其到期日为 </w:t>
      </w:r>
      <m:oMath>
        <m:sSub>
          <m:sSubPr>
            <m:ctrlPr>
              <w:rPr>
                <w:rFonts w:hint="eastAsia" w:ascii="Cambria Math" w:hAnsi="Cambria Math" w:eastAsia="宋体" w:cs="Times New Roman"/>
                <w:kern w:val="2"/>
                <w:sz w:val="24"/>
                <w:szCs w:val="21"/>
                <w:lang w:val="en-US" w:eastAsia="zh-CN" w:bidi="ar-SA"/>
                <w14:ligatures w14:val="standardContextual"/>
              </w:rPr>
            </m:ctrlPr>
          </m:sSubPr>
          <m:e>
            <m:r>
              <m:rPr>
                <m:sty m:val="p"/>
              </m:rPr>
              <w:rPr>
                <w:rFonts w:hint="eastAsia" w:ascii="Times New Roman" w:hAnsi="Times New Roman" w:eastAsia="宋体" w:cs="Times New Roman"/>
                <w:kern w:val="2"/>
                <w:sz w:val="24"/>
                <w:szCs w:val="21"/>
                <w:lang w:val="en-US" w:eastAsia="zh-CN" w:bidi="ar-SA"/>
                <w14:ligatures w14:val="standardContextual"/>
              </w:rPr>
              <m:t>T</m:t>
            </m:r>
            <m:ctrlPr>
              <w:rPr>
                <w:rFonts w:hint="eastAsia" w:ascii="Cambria Math" w:hAnsi="Cambria Math" w:eastAsia="宋体" w:cs="Times New Roman"/>
                <w:kern w:val="2"/>
                <w:sz w:val="24"/>
                <w:szCs w:val="21"/>
                <w:lang w:val="en-US" w:eastAsia="zh-CN" w:bidi="ar-SA"/>
                <w14:ligatures w14:val="standardContextual"/>
              </w:rPr>
            </m:ctrlPr>
          </m:e>
          <m:sub>
            <m:r>
              <m:rPr>
                <m:sty m:val="p"/>
              </m:rPr>
              <w:rPr>
                <w:rFonts w:hint="eastAsia" w:ascii="Times New Roman" w:hAnsi="Times New Roman" w:eastAsia="宋体" w:cs="Times New Roman"/>
                <w:kern w:val="2"/>
                <w:sz w:val="24"/>
                <w:szCs w:val="21"/>
                <w:lang w:val="en-US" w:eastAsia="zh-CN" w:bidi="ar-SA"/>
                <w14:ligatures w14:val="standardContextual"/>
              </w:rPr>
              <m:t>V1</m:t>
            </m:r>
            <m:ctrlPr>
              <w:rPr>
                <w:rFonts w:hint="eastAsia" w:ascii="Cambria Math" w:hAnsi="Cambria Math" w:eastAsia="宋体" w:cs="Times New Roman"/>
                <w:kern w:val="2"/>
                <w:sz w:val="24"/>
                <w:szCs w:val="21"/>
                <w:lang w:val="en-US" w:eastAsia="zh-CN" w:bidi="ar-SA"/>
                <w14:ligatures w14:val="standardContextual"/>
              </w:rPr>
            </m:ctrlPr>
          </m:sub>
        </m:sSub>
      </m:oMath>
      <w:r>
        <w:rPr>
          <w:rFonts w:hint="eastAsia" w:ascii="Times New Roman" w:hAnsi="Times New Roman" w:eastAsia="宋体" w:cs="Times New Roman"/>
          <w:kern w:val="2"/>
          <w:sz w:val="24"/>
          <w:szCs w:val="21"/>
          <w:lang w:val="en-US" w:eastAsia="zh-CN" w:bidi="ar-SA"/>
          <w14:ligatures w14:val="standardContextual"/>
        </w:rPr>
        <w:t xml:space="preserve">，行权价为 </w:t>
      </w:r>
      <m:oMath>
        <m:sSub>
          <m:sSubPr>
            <m:ctrlPr>
              <w:rPr>
                <w:rFonts w:hint="eastAsia" w:ascii="Cambria Math" w:hAnsi="Cambria Math" w:eastAsia="宋体" w:cs="Times New Roman"/>
                <w:kern w:val="2"/>
                <w:sz w:val="24"/>
                <w:szCs w:val="21"/>
                <w:lang w:val="en-US" w:eastAsia="zh-CN" w:bidi="ar-SA"/>
                <w14:ligatures w14:val="standardContextual"/>
              </w:rPr>
            </m:ctrlPr>
          </m:sSubPr>
          <m:e>
            <m:r>
              <m:rPr>
                <m:sty m:val="p"/>
              </m:rPr>
              <w:rPr>
                <w:rFonts w:hint="eastAsia" w:ascii="Times New Roman" w:hAnsi="Times New Roman" w:eastAsia="宋体" w:cs="Times New Roman"/>
                <w:kern w:val="2"/>
                <w:sz w:val="24"/>
                <w:szCs w:val="21"/>
                <w:lang w:val="en-US" w:eastAsia="zh-CN" w:bidi="ar-SA"/>
                <w14:ligatures w14:val="standardContextual"/>
              </w:rPr>
              <m:t>K</m:t>
            </m:r>
            <m:ctrlPr>
              <w:rPr>
                <w:rFonts w:hint="eastAsia" w:ascii="Cambria Math" w:hAnsi="Cambria Math" w:eastAsia="宋体" w:cs="Times New Roman"/>
                <w:kern w:val="2"/>
                <w:sz w:val="24"/>
                <w:szCs w:val="21"/>
                <w:lang w:val="en-US" w:eastAsia="zh-CN" w:bidi="ar-SA"/>
                <w14:ligatures w14:val="standardContextual"/>
              </w:rPr>
            </m:ctrlPr>
          </m:e>
          <m:sub>
            <m:r>
              <m:rPr>
                <m:sty m:val="p"/>
              </m:rPr>
              <w:rPr>
                <w:rFonts w:hint="eastAsia" w:ascii="Times New Roman" w:hAnsi="Times New Roman" w:eastAsia="宋体" w:cs="Times New Roman"/>
                <w:kern w:val="2"/>
                <w:sz w:val="24"/>
                <w:szCs w:val="21"/>
                <w:lang w:val="en-US" w:eastAsia="zh-CN" w:bidi="ar-SA"/>
                <w14:ligatures w14:val="standardContextual"/>
              </w:rPr>
              <m:t>2</m:t>
            </m:r>
            <m:ctrlPr>
              <w:rPr>
                <w:rFonts w:hint="eastAsia" w:ascii="Cambria Math" w:hAnsi="Cambria Math" w:eastAsia="宋体" w:cs="Times New Roman"/>
                <w:kern w:val="2"/>
                <w:sz w:val="24"/>
                <w:szCs w:val="21"/>
                <w:lang w:val="en-US" w:eastAsia="zh-CN" w:bidi="ar-SA"/>
                <w14:ligatures w14:val="standardContextual"/>
              </w:rPr>
            </m:ctrlPr>
          </m:sub>
        </m:sSub>
      </m:oMath>
      <w:r>
        <w:rPr>
          <w:rFonts w:hint="eastAsia" w:ascii="Times New Roman" w:hAnsi="Times New Roman" w:eastAsia="宋体" w:cs="Times New Roman"/>
          <w:kern w:val="2"/>
          <w:sz w:val="24"/>
          <w:szCs w:val="21"/>
          <w:lang w:val="en-US" w:eastAsia="zh-CN" w:bidi="ar-SA"/>
          <w14:ligatures w14:val="standardContextual"/>
        </w:rPr>
        <w:t xml:space="preserve">，收益结构为 </w:t>
      </w:r>
      <m:oMath>
        <m:sSub>
          <m:sSubPr>
            <m:ctrlPr>
              <w:rPr>
                <w:rFonts w:hint="eastAsia" w:ascii="Cambria Math" w:hAnsi="Cambria Math" w:eastAsia="宋体" w:cs="Times New Roman"/>
                <w:kern w:val="2"/>
                <w:sz w:val="24"/>
                <w:szCs w:val="21"/>
                <w:lang w:val="en-US" w:eastAsia="zh-CN" w:bidi="ar-SA"/>
                <w14:ligatures w14:val="standardContextual"/>
              </w:rPr>
            </m:ctrlPr>
          </m:sSubPr>
          <m:e>
            <m:r>
              <m:rPr>
                <m:sty m:val="p"/>
              </m:rPr>
              <w:rPr>
                <w:rFonts w:hint="eastAsia" w:ascii="Times New Roman" w:hAnsi="Times New Roman" w:eastAsia="宋体" w:cs="Times New Roman"/>
                <w:kern w:val="2"/>
                <w:sz w:val="24"/>
                <w:szCs w:val="21"/>
                <w:lang w:val="en-US" w:eastAsia="zh-CN" w:bidi="ar-SA"/>
                <w14:ligatures w14:val="standardContextual"/>
              </w:rPr>
              <m:t>V</m:t>
            </m:r>
            <m:ctrlPr>
              <w:rPr>
                <w:rFonts w:hint="eastAsia" w:ascii="Cambria Math" w:hAnsi="Cambria Math" w:eastAsia="宋体" w:cs="Times New Roman"/>
                <w:kern w:val="2"/>
                <w:sz w:val="24"/>
                <w:szCs w:val="21"/>
                <w:lang w:val="en-US" w:eastAsia="zh-CN" w:bidi="ar-SA"/>
                <w14:ligatures w14:val="standardContextual"/>
              </w:rPr>
            </m:ctrlPr>
          </m:e>
          <m:sub>
            <m:r>
              <m:rPr>
                <m:sty m:val="p"/>
              </m:rPr>
              <w:rPr>
                <w:rFonts w:hint="eastAsia" w:ascii="Times New Roman" w:hAnsi="Times New Roman" w:eastAsia="宋体" w:cs="Times New Roman"/>
                <w:kern w:val="2"/>
                <w:sz w:val="24"/>
                <w:szCs w:val="21"/>
                <w:lang w:val="en-US" w:eastAsia="zh-CN" w:bidi="ar-SA"/>
                <w14:ligatures w14:val="standardContextual"/>
              </w:rPr>
              <m:t>1</m:t>
            </m:r>
            <m:ctrlPr>
              <w:rPr>
                <w:rFonts w:hint="eastAsia" w:ascii="Cambria Math" w:hAnsi="Cambria Math" w:eastAsia="宋体" w:cs="Times New Roman"/>
                <w:kern w:val="2"/>
                <w:sz w:val="24"/>
                <w:szCs w:val="21"/>
                <w:lang w:val="en-US" w:eastAsia="zh-CN" w:bidi="ar-SA"/>
                <w14:ligatures w14:val="standardContextual"/>
              </w:rPr>
            </m:ctrlPr>
          </m:sub>
        </m:sSub>
        <m:r>
          <m:rPr>
            <m:sty m:val="p"/>
          </m:rPr>
          <w:rPr>
            <w:rFonts w:hint="eastAsia" w:ascii="Times New Roman" w:hAnsi="Times New Roman" w:eastAsia="宋体" w:cs="Times New Roman"/>
            <w:kern w:val="2"/>
            <w:sz w:val="24"/>
            <w:szCs w:val="21"/>
            <w:lang w:val="en-US" w:eastAsia="zh-CN" w:bidi="ar-SA"/>
            <w14:ligatures w14:val="standardContextual"/>
          </w:rPr>
          <m:t>(S(</m:t>
        </m:r>
        <m:sSub>
          <m:sSubPr>
            <m:ctrlPr>
              <w:rPr>
                <w:rFonts w:hint="eastAsia" w:ascii="Cambria Math" w:hAnsi="Cambria Math" w:eastAsia="宋体" w:cs="Times New Roman"/>
                <w:kern w:val="2"/>
                <w:sz w:val="24"/>
                <w:szCs w:val="21"/>
                <w:lang w:val="en-US" w:eastAsia="zh-CN" w:bidi="ar-SA"/>
                <w14:ligatures w14:val="standardContextual"/>
              </w:rPr>
            </m:ctrlPr>
          </m:sSubPr>
          <m:e>
            <m:r>
              <m:rPr>
                <m:sty m:val="p"/>
              </m:rPr>
              <w:rPr>
                <w:rFonts w:hint="eastAsia" w:ascii="Times New Roman" w:hAnsi="Times New Roman" w:eastAsia="宋体" w:cs="Times New Roman"/>
                <w:kern w:val="2"/>
                <w:sz w:val="24"/>
                <w:szCs w:val="21"/>
                <w:lang w:val="en-US" w:eastAsia="zh-CN" w:bidi="ar-SA"/>
                <w14:ligatures w14:val="standardContextual"/>
              </w:rPr>
              <m:t>T</m:t>
            </m:r>
            <m:ctrlPr>
              <w:rPr>
                <w:rFonts w:hint="eastAsia" w:ascii="Cambria Math" w:hAnsi="Cambria Math" w:eastAsia="宋体" w:cs="Times New Roman"/>
                <w:kern w:val="2"/>
                <w:sz w:val="24"/>
                <w:szCs w:val="21"/>
                <w:lang w:val="en-US" w:eastAsia="zh-CN" w:bidi="ar-SA"/>
                <w14:ligatures w14:val="standardContextual"/>
              </w:rPr>
            </m:ctrlPr>
          </m:e>
          <m:sub>
            <m:r>
              <m:rPr>
                <m:sty m:val="p"/>
              </m:rPr>
              <w:rPr>
                <w:rFonts w:hint="eastAsia" w:ascii="Times New Roman" w:hAnsi="Times New Roman" w:eastAsia="宋体" w:cs="Times New Roman"/>
                <w:kern w:val="2"/>
                <w:sz w:val="24"/>
                <w:szCs w:val="21"/>
                <w:lang w:val="en-US" w:eastAsia="zh-CN" w:bidi="ar-SA"/>
                <w14:ligatures w14:val="standardContextual"/>
              </w:rPr>
              <m:t>V1</m:t>
            </m:r>
            <m:ctrlPr>
              <w:rPr>
                <w:rFonts w:hint="eastAsia" w:ascii="Cambria Math" w:hAnsi="Cambria Math" w:eastAsia="宋体" w:cs="Times New Roman"/>
                <w:kern w:val="2"/>
                <w:sz w:val="24"/>
                <w:szCs w:val="21"/>
                <w:lang w:val="en-US" w:eastAsia="zh-CN" w:bidi="ar-SA"/>
                <w14:ligatures w14:val="standardContextual"/>
              </w:rPr>
            </m:ctrlPr>
          </m:sub>
        </m:sSub>
        <m:r>
          <m:rPr>
            <m:sty m:val="p"/>
          </m:rPr>
          <w:rPr>
            <w:rFonts w:hint="eastAsia" w:ascii="Times New Roman" w:hAnsi="Times New Roman" w:eastAsia="宋体" w:cs="Times New Roman"/>
            <w:kern w:val="2"/>
            <w:sz w:val="24"/>
            <w:szCs w:val="21"/>
            <w:lang w:val="en-US" w:eastAsia="zh-CN" w:bidi="ar-SA"/>
            <w14:ligatures w14:val="standardContextual"/>
          </w:rPr>
          <m:t>))=max{</m:t>
        </m:r>
        <m:sSub>
          <m:sSubPr>
            <m:ctrlPr>
              <w:rPr>
                <w:rFonts w:hint="eastAsia" w:ascii="Cambria Math" w:hAnsi="Cambria Math" w:eastAsia="宋体" w:cs="Times New Roman"/>
                <w:kern w:val="2"/>
                <w:sz w:val="24"/>
                <w:szCs w:val="21"/>
                <w:lang w:val="en-US" w:eastAsia="zh-CN" w:bidi="ar-SA"/>
                <w14:ligatures w14:val="standardContextual"/>
              </w:rPr>
            </m:ctrlPr>
          </m:sSubPr>
          <m:e>
            <m:r>
              <m:rPr>
                <m:sty m:val="p"/>
              </m:rPr>
              <w:rPr>
                <w:rFonts w:hint="eastAsia" w:ascii="Times New Roman" w:hAnsi="Times New Roman" w:eastAsia="宋体" w:cs="Times New Roman"/>
                <w:kern w:val="2"/>
                <w:sz w:val="24"/>
                <w:szCs w:val="21"/>
                <w:lang w:val="en-US" w:eastAsia="zh-CN" w:bidi="ar-SA"/>
                <w14:ligatures w14:val="standardContextual"/>
              </w:rPr>
              <m:t>K</m:t>
            </m:r>
            <m:ctrlPr>
              <w:rPr>
                <w:rFonts w:hint="eastAsia" w:ascii="Cambria Math" w:hAnsi="Cambria Math" w:eastAsia="宋体" w:cs="Times New Roman"/>
                <w:kern w:val="2"/>
                <w:sz w:val="24"/>
                <w:szCs w:val="21"/>
                <w:lang w:val="en-US" w:eastAsia="zh-CN" w:bidi="ar-SA"/>
                <w14:ligatures w14:val="standardContextual"/>
              </w:rPr>
            </m:ctrlPr>
          </m:e>
          <m:sub>
            <m:r>
              <m:rPr>
                <m:sty m:val="p"/>
              </m:rPr>
              <w:rPr>
                <w:rFonts w:hint="eastAsia" w:ascii="Times New Roman" w:hAnsi="Times New Roman" w:eastAsia="宋体" w:cs="Times New Roman"/>
                <w:kern w:val="2"/>
                <w:sz w:val="24"/>
                <w:szCs w:val="21"/>
                <w:lang w:val="en-US" w:eastAsia="zh-CN" w:bidi="ar-SA"/>
                <w14:ligatures w14:val="standardContextual"/>
              </w:rPr>
              <m:t>2</m:t>
            </m:r>
            <m:ctrlPr>
              <w:rPr>
                <w:rFonts w:hint="eastAsia" w:ascii="Cambria Math" w:hAnsi="Cambria Math" w:eastAsia="宋体" w:cs="Times New Roman"/>
                <w:kern w:val="2"/>
                <w:sz w:val="24"/>
                <w:szCs w:val="21"/>
                <w:lang w:val="en-US" w:eastAsia="zh-CN" w:bidi="ar-SA"/>
                <w14:ligatures w14:val="standardContextual"/>
              </w:rPr>
            </m:ctrlPr>
          </m:sub>
        </m:sSub>
        <m:r>
          <m:rPr>
            <m:sty m:val="p"/>
          </m:rPr>
          <w:rPr>
            <w:rFonts w:hint="eastAsia" w:ascii="Times New Roman" w:hAnsi="Times New Roman" w:eastAsia="宋体" w:cs="Times New Roman"/>
            <w:kern w:val="2"/>
            <w:sz w:val="24"/>
            <w:szCs w:val="21"/>
            <w:lang w:val="en-US" w:eastAsia="zh-CN" w:bidi="ar-SA"/>
            <w14:ligatures w14:val="standardContextual"/>
          </w:rPr>
          <m:t>−(S(</m:t>
        </m:r>
        <m:sSub>
          <m:sSubPr>
            <m:ctrlPr>
              <w:rPr>
                <w:rFonts w:hint="eastAsia" w:ascii="Cambria Math" w:hAnsi="Cambria Math" w:eastAsia="宋体" w:cs="Times New Roman"/>
                <w:kern w:val="2"/>
                <w:sz w:val="24"/>
                <w:szCs w:val="21"/>
                <w:lang w:val="en-US" w:eastAsia="zh-CN" w:bidi="ar-SA"/>
                <w14:ligatures w14:val="standardContextual"/>
              </w:rPr>
            </m:ctrlPr>
          </m:sSubPr>
          <m:e>
            <m:r>
              <m:rPr>
                <m:sty m:val="p"/>
              </m:rPr>
              <w:rPr>
                <w:rFonts w:hint="eastAsia" w:ascii="Times New Roman" w:hAnsi="Times New Roman" w:eastAsia="宋体" w:cs="Times New Roman"/>
                <w:kern w:val="2"/>
                <w:sz w:val="24"/>
                <w:szCs w:val="21"/>
                <w:lang w:val="en-US" w:eastAsia="zh-CN" w:bidi="ar-SA"/>
                <w14:ligatures w14:val="standardContextual"/>
              </w:rPr>
              <m:t>t</m:t>
            </m:r>
            <m:ctrlPr>
              <w:rPr>
                <w:rFonts w:hint="eastAsia" w:ascii="Cambria Math" w:hAnsi="Cambria Math" w:eastAsia="宋体" w:cs="Times New Roman"/>
                <w:kern w:val="2"/>
                <w:sz w:val="24"/>
                <w:szCs w:val="21"/>
                <w:lang w:val="en-US" w:eastAsia="zh-CN" w:bidi="ar-SA"/>
                <w14:ligatures w14:val="standardContextual"/>
              </w:rPr>
            </m:ctrlPr>
          </m:e>
          <m:sub>
            <m:r>
              <m:rPr>
                <m:sty m:val="p"/>
              </m:rPr>
              <w:rPr>
                <w:rFonts w:hint="eastAsia" w:ascii="Times New Roman" w:hAnsi="Times New Roman" w:eastAsia="宋体" w:cs="Times New Roman"/>
                <w:kern w:val="2"/>
                <w:sz w:val="24"/>
                <w:szCs w:val="21"/>
                <w:lang w:val="en-US" w:eastAsia="zh-CN" w:bidi="ar-SA"/>
                <w14:ligatures w14:val="standardContextual"/>
              </w:rPr>
              <m:t>ex</m:t>
            </m:r>
            <m:ctrlPr>
              <w:rPr>
                <w:rFonts w:hint="eastAsia" w:ascii="Cambria Math" w:hAnsi="Cambria Math" w:eastAsia="宋体" w:cs="Times New Roman"/>
                <w:kern w:val="2"/>
                <w:sz w:val="24"/>
                <w:szCs w:val="21"/>
                <w:lang w:val="en-US" w:eastAsia="zh-CN" w:bidi="ar-SA"/>
                <w14:ligatures w14:val="standardContextual"/>
              </w:rPr>
            </m:ctrlPr>
          </m:sub>
        </m:sSub>
        <m:r>
          <m:rPr>
            <m:sty m:val="p"/>
          </m:rPr>
          <w:rPr>
            <w:rFonts w:hint="eastAsia" w:ascii="Times New Roman" w:hAnsi="Times New Roman" w:eastAsia="宋体" w:cs="Times New Roman"/>
            <w:kern w:val="2"/>
            <w:sz w:val="24"/>
            <w:szCs w:val="21"/>
            <w:lang w:val="en-US" w:eastAsia="zh-CN" w:bidi="ar-SA"/>
            <w14:ligatures w14:val="standardContextual"/>
          </w:rPr>
          <m:t>)</m:t>
        </m:r>
        <m:sSup>
          <m:sSupPr>
            <m:ctrlPr>
              <w:rPr>
                <w:rFonts w:hint="eastAsia" w:ascii="Cambria Math" w:hAnsi="Cambria Math" w:eastAsia="宋体" w:cs="Times New Roman"/>
                <w:kern w:val="2"/>
                <w:sz w:val="24"/>
                <w:szCs w:val="21"/>
                <w:lang w:val="en-US" w:eastAsia="zh-CN" w:bidi="ar-SA"/>
                <w14:ligatures w14:val="standardContextual"/>
              </w:rPr>
            </m:ctrlPr>
          </m:sSupPr>
          <m:e>
            <m:r>
              <m:rPr>
                <m:sty m:val="p"/>
              </m:rPr>
              <w:rPr>
                <w:rFonts w:hint="eastAsia" w:ascii="Times New Roman" w:hAnsi="Times New Roman" w:eastAsia="宋体" w:cs="Times New Roman"/>
                <w:kern w:val="2"/>
                <w:sz w:val="24"/>
                <w:szCs w:val="21"/>
                <w:lang w:val="en-US" w:eastAsia="zh-CN" w:bidi="ar-SA"/>
                <w14:ligatures w14:val="standardContextual"/>
              </w:rPr>
              <m:t>)</m:t>
            </m:r>
            <m:ctrlPr>
              <w:rPr>
                <w:rFonts w:hint="eastAsia" w:ascii="Cambria Math" w:hAnsi="Cambria Math" w:eastAsia="宋体" w:cs="Times New Roman"/>
                <w:kern w:val="2"/>
                <w:sz w:val="24"/>
                <w:szCs w:val="21"/>
                <w:lang w:val="en-US" w:eastAsia="zh-CN" w:bidi="ar-SA"/>
                <w14:ligatures w14:val="standardContextual"/>
              </w:rPr>
            </m:ctrlPr>
          </m:e>
          <m:sup>
            <m:r>
              <m:rPr>
                <m:sty m:val="p"/>
              </m:rPr>
              <w:rPr>
                <w:rFonts w:hint="eastAsia" w:ascii="Times New Roman" w:hAnsi="Times New Roman" w:eastAsia="宋体" w:cs="Times New Roman"/>
                <w:kern w:val="2"/>
                <w:sz w:val="24"/>
                <w:szCs w:val="21"/>
                <w:lang w:val="en-US" w:eastAsia="zh-CN" w:bidi="ar-SA"/>
                <w14:ligatures w14:val="standardContextual"/>
              </w:rPr>
              <m:t>3/2</m:t>
            </m:r>
            <m:ctrlPr>
              <w:rPr>
                <w:rFonts w:hint="eastAsia" w:ascii="Cambria Math" w:hAnsi="Cambria Math" w:eastAsia="宋体" w:cs="Times New Roman"/>
                <w:kern w:val="2"/>
                <w:sz w:val="24"/>
                <w:szCs w:val="21"/>
                <w:lang w:val="en-US" w:eastAsia="zh-CN" w:bidi="ar-SA"/>
                <w14:ligatures w14:val="standardContextual"/>
              </w:rPr>
            </m:ctrlPr>
          </m:sup>
        </m:sSup>
        <m:r>
          <m:rPr>
            <m:sty m:val="p"/>
          </m:rPr>
          <w:rPr>
            <w:rFonts w:hint="eastAsia" w:ascii="Times New Roman" w:hAnsi="Times New Roman" w:eastAsia="宋体" w:cs="Times New Roman"/>
            <w:kern w:val="2"/>
            <w:sz w:val="24"/>
            <w:szCs w:val="21"/>
            <w:lang w:val="en-US" w:eastAsia="zh-CN" w:bidi="ar-SA"/>
            <w14:ligatures w14:val="standardContextual"/>
          </w:rPr>
          <m:t>,0}</m:t>
        </m:r>
      </m:oMath>
      <w:r>
        <w:rPr>
          <w:rFonts w:hint="eastAsia" w:ascii="Times New Roman" w:hAnsi="Times New Roman" w:eastAsia="宋体" w:cs="Times New Roman"/>
          <w:kern w:val="2"/>
          <w:sz w:val="24"/>
          <w:szCs w:val="21"/>
          <w:lang w:val="en-US" w:eastAsia="zh-CN" w:bidi="ar-SA"/>
          <w14:ligatures w14:val="standardContextual"/>
        </w:rPr>
        <w:t xml:space="preserve">，其中 </w:t>
      </w:r>
      <m:oMath>
        <m:sSub>
          <m:sSubPr>
            <m:ctrlPr>
              <w:rPr>
                <w:rFonts w:hint="eastAsia" w:ascii="Cambria Math" w:hAnsi="Cambria Math" w:eastAsia="宋体" w:cs="Times New Roman"/>
                <w:kern w:val="2"/>
                <w:sz w:val="24"/>
                <w:szCs w:val="21"/>
                <w:lang w:val="en-US" w:eastAsia="zh-CN" w:bidi="ar-SA"/>
                <w14:ligatures w14:val="standardContextual"/>
              </w:rPr>
            </m:ctrlPr>
          </m:sSubPr>
          <m:e>
            <m:r>
              <m:rPr>
                <m:sty m:val="p"/>
              </m:rPr>
              <w:rPr>
                <w:rFonts w:hint="eastAsia" w:ascii="Times New Roman" w:hAnsi="Times New Roman" w:eastAsia="宋体" w:cs="Times New Roman"/>
                <w:kern w:val="2"/>
                <w:sz w:val="24"/>
                <w:szCs w:val="21"/>
                <w:lang w:val="en-US" w:eastAsia="zh-CN" w:bidi="ar-SA"/>
                <w14:ligatures w14:val="standardContextual"/>
              </w:rPr>
              <m:t>t</m:t>
            </m:r>
            <m:ctrlPr>
              <w:rPr>
                <w:rFonts w:hint="eastAsia" w:ascii="Cambria Math" w:hAnsi="Cambria Math" w:eastAsia="宋体" w:cs="Times New Roman"/>
                <w:kern w:val="2"/>
                <w:sz w:val="24"/>
                <w:szCs w:val="21"/>
                <w:lang w:val="en-US" w:eastAsia="zh-CN" w:bidi="ar-SA"/>
                <w14:ligatures w14:val="standardContextual"/>
              </w:rPr>
            </m:ctrlPr>
          </m:e>
          <m:sub>
            <m:r>
              <m:rPr>
                <m:sty m:val="p"/>
              </m:rPr>
              <w:rPr>
                <w:rFonts w:hint="eastAsia" w:ascii="Times New Roman" w:hAnsi="Times New Roman" w:eastAsia="宋体" w:cs="Times New Roman"/>
                <w:kern w:val="2"/>
                <w:sz w:val="24"/>
                <w:szCs w:val="21"/>
                <w:lang w:val="en-US" w:eastAsia="zh-CN" w:bidi="ar-SA"/>
                <w14:ligatures w14:val="standardContextual"/>
              </w:rPr>
              <m:t>ex</m:t>
            </m:r>
            <m:ctrlPr>
              <w:rPr>
                <w:rFonts w:hint="eastAsia" w:ascii="Cambria Math" w:hAnsi="Cambria Math" w:eastAsia="宋体" w:cs="Times New Roman"/>
                <w:kern w:val="2"/>
                <w:sz w:val="24"/>
                <w:szCs w:val="21"/>
                <w:lang w:val="en-US" w:eastAsia="zh-CN" w:bidi="ar-SA"/>
                <w14:ligatures w14:val="standardContextual"/>
              </w:rPr>
            </m:ctrlPr>
          </m:sub>
        </m:sSub>
        <m:r>
          <m:rPr>
            <m:sty m:val="p"/>
          </m:rPr>
          <w:rPr>
            <w:rFonts w:hint="eastAsia" w:ascii="Times New Roman" w:hAnsi="Times New Roman" w:eastAsia="宋体" w:cs="Times New Roman"/>
            <w:kern w:val="2"/>
            <w:sz w:val="24"/>
            <w:szCs w:val="21"/>
            <w:lang w:val="en-US" w:eastAsia="zh-CN" w:bidi="ar-SA"/>
            <w14:ligatures w14:val="standardContextual"/>
          </w:rPr>
          <m:t>=</m:t>
        </m:r>
        <m:sSub>
          <m:sSubPr>
            <m:ctrlPr>
              <w:rPr>
                <w:rFonts w:hint="eastAsia" w:ascii="Cambria Math" w:hAnsi="Cambria Math" w:eastAsia="宋体" w:cs="Times New Roman"/>
                <w:kern w:val="2"/>
                <w:sz w:val="24"/>
                <w:szCs w:val="21"/>
                <w:lang w:val="en-US" w:eastAsia="zh-CN" w:bidi="ar-SA"/>
                <w14:ligatures w14:val="standardContextual"/>
              </w:rPr>
            </m:ctrlPr>
          </m:sSubPr>
          <m:e>
            <m:r>
              <m:rPr>
                <m:sty m:val="p"/>
              </m:rPr>
              <w:rPr>
                <w:rFonts w:hint="eastAsia" w:ascii="Times New Roman" w:hAnsi="Times New Roman" w:eastAsia="宋体" w:cs="Times New Roman"/>
                <w:kern w:val="2"/>
                <w:sz w:val="24"/>
                <w:szCs w:val="21"/>
                <w:lang w:val="en-US" w:eastAsia="zh-CN" w:bidi="ar-SA"/>
                <w14:ligatures w14:val="standardContextual"/>
              </w:rPr>
              <m:t>T</m:t>
            </m:r>
            <m:ctrlPr>
              <w:rPr>
                <w:rFonts w:hint="eastAsia" w:ascii="Cambria Math" w:hAnsi="Cambria Math" w:eastAsia="宋体" w:cs="Times New Roman"/>
                <w:kern w:val="2"/>
                <w:sz w:val="24"/>
                <w:szCs w:val="21"/>
                <w:lang w:val="en-US" w:eastAsia="zh-CN" w:bidi="ar-SA"/>
                <w14:ligatures w14:val="standardContextual"/>
              </w:rPr>
            </m:ctrlPr>
          </m:e>
          <m:sub>
            <m:r>
              <m:rPr>
                <m:sty m:val="p"/>
              </m:rPr>
              <w:rPr>
                <w:rFonts w:hint="eastAsia" w:ascii="Times New Roman" w:hAnsi="Times New Roman" w:eastAsia="宋体" w:cs="Times New Roman"/>
                <w:kern w:val="2"/>
                <w:sz w:val="24"/>
                <w:szCs w:val="21"/>
                <w:lang w:val="en-US" w:eastAsia="zh-CN" w:bidi="ar-SA"/>
                <w14:ligatures w14:val="standardContextual"/>
              </w:rPr>
              <m:t>V1</m:t>
            </m:r>
            <m:ctrlPr>
              <w:rPr>
                <w:rFonts w:hint="eastAsia" w:ascii="Cambria Math" w:hAnsi="Cambria Math" w:eastAsia="宋体" w:cs="Times New Roman"/>
                <w:kern w:val="2"/>
                <w:sz w:val="24"/>
                <w:szCs w:val="21"/>
                <w:lang w:val="en-US" w:eastAsia="zh-CN" w:bidi="ar-SA"/>
                <w14:ligatures w14:val="standardContextual"/>
              </w:rPr>
            </m:ctrlPr>
          </m:sub>
        </m:sSub>
      </m:oMath>
      <w:r>
        <w:rPr>
          <w:rFonts w:hint="eastAsia" w:ascii="Times New Roman" w:hAnsi="Times New Roman" w:eastAsia="宋体" w:cs="Times New Roman"/>
          <w:kern w:val="2"/>
          <w:sz w:val="24"/>
          <w:szCs w:val="21"/>
          <w:lang w:val="en-US" w:eastAsia="zh-CN" w:bidi="ar-SA"/>
          <w14:ligatures w14:val="standardContextual"/>
        </w:rPr>
        <w:t xml:space="preserve">（欧式）或 </w:t>
      </w:r>
      <m:oMath>
        <m:sSub>
          <m:sSubPr>
            <m:ctrlPr>
              <w:rPr>
                <w:rFonts w:hint="eastAsia" w:ascii="Cambria Math" w:hAnsi="Cambria Math" w:eastAsia="宋体" w:cs="Times New Roman"/>
                <w:kern w:val="2"/>
                <w:sz w:val="24"/>
                <w:szCs w:val="21"/>
                <w:lang w:val="en-US" w:eastAsia="zh-CN" w:bidi="ar-SA"/>
                <w14:ligatures w14:val="standardContextual"/>
              </w:rPr>
            </m:ctrlPr>
          </m:sSubPr>
          <m:e>
            <m:r>
              <m:rPr>
                <m:sty m:val="p"/>
              </m:rPr>
              <w:rPr>
                <w:rFonts w:hint="eastAsia" w:ascii="Times New Roman" w:hAnsi="Times New Roman" w:eastAsia="宋体" w:cs="Times New Roman"/>
                <w:kern w:val="2"/>
                <w:sz w:val="24"/>
                <w:szCs w:val="21"/>
                <w:lang w:val="en-US" w:eastAsia="zh-CN" w:bidi="ar-SA"/>
                <w14:ligatures w14:val="standardContextual"/>
              </w:rPr>
              <m:t>t</m:t>
            </m:r>
            <m:ctrlPr>
              <w:rPr>
                <w:rFonts w:hint="eastAsia" w:ascii="Cambria Math" w:hAnsi="Cambria Math" w:eastAsia="宋体" w:cs="Times New Roman"/>
                <w:kern w:val="2"/>
                <w:sz w:val="24"/>
                <w:szCs w:val="21"/>
                <w:lang w:val="en-US" w:eastAsia="zh-CN" w:bidi="ar-SA"/>
                <w14:ligatures w14:val="standardContextual"/>
              </w:rPr>
            </m:ctrlPr>
          </m:e>
          <m:sub>
            <m:r>
              <m:rPr>
                <m:sty m:val="p"/>
              </m:rPr>
              <w:rPr>
                <w:rFonts w:hint="eastAsia" w:ascii="Times New Roman" w:hAnsi="Times New Roman" w:eastAsia="宋体" w:cs="Times New Roman"/>
                <w:kern w:val="2"/>
                <w:sz w:val="24"/>
                <w:szCs w:val="21"/>
                <w:lang w:val="en-US" w:eastAsia="zh-CN" w:bidi="ar-SA"/>
                <w14:ligatures w14:val="standardContextual"/>
              </w:rPr>
              <m:t>ex</m:t>
            </m:r>
            <m:ctrlPr>
              <w:rPr>
                <w:rFonts w:hint="eastAsia" w:ascii="Cambria Math" w:hAnsi="Cambria Math" w:eastAsia="宋体" w:cs="Times New Roman"/>
                <w:kern w:val="2"/>
                <w:sz w:val="24"/>
                <w:szCs w:val="21"/>
                <w:lang w:val="en-US" w:eastAsia="zh-CN" w:bidi="ar-SA"/>
                <w14:ligatures w14:val="standardContextual"/>
              </w:rPr>
            </m:ctrlPr>
          </m:sub>
        </m:sSub>
        <m:r>
          <m:rPr>
            <m:sty m:val="p"/>
          </m:rPr>
          <w:rPr>
            <w:rFonts w:hint="eastAsia" w:ascii="Times New Roman" w:hAnsi="Times New Roman" w:eastAsia="宋体" w:cs="Times New Roman"/>
            <w:kern w:val="2"/>
            <w:sz w:val="24"/>
            <w:szCs w:val="21"/>
            <w:lang w:val="en-US" w:eastAsia="zh-CN" w:bidi="ar-SA"/>
            <w14:ligatures w14:val="standardContextual"/>
          </w:rPr>
          <m:t>≤</m:t>
        </m:r>
        <m:sSub>
          <m:sSubPr>
            <m:ctrlPr>
              <w:rPr>
                <w:rFonts w:hint="eastAsia" w:ascii="Cambria Math" w:hAnsi="Cambria Math" w:eastAsia="宋体" w:cs="Times New Roman"/>
                <w:kern w:val="2"/>
                <w:sz w:val="24"/>
                <w:szCs w:val="21"/>
                <w:lang w:val="en-US" w:eastAsia="zh-CN" w:bidi="ar-SA"/>
                <w14:ligatures w14:val="standardContextual"/>
              </w:rPr>
            </m:ctrlPr>
          </m:sSubPr>
          <m:e>
            <m:r>
              <m:rPr>
                <m:sty m:val="p"/>
              </m:rPr>
              <w:rPr>
                <w:rFonts w:hint="eastAsia" w:ascii="Times New Roman" w:hAnsi="Times New Roman" w:eastAsia="宋体" w:cs="Times New Roman"/>
                <w:kern w:val="2"/>
                <w:sz w:val="24"/>
                <w:szCs w:val="21"/>
                <w:lang w:val="en-US" w:eastAsia="zh-CN" w:bidi="ar-SA"/>
                <w14:ligatures w14:val="standardContextual"/>
              </w:rPr>
              <m:t>T</m:t>
            </m:r>
            <m:ctrlPr>
              <w:rPr>
                <w:rFonts w:hint="eastAsia" w:ascii="Cambria Math" w:hAnsi="Cambria Math" w:eastAsia="宋体" w:cs="Times New Roman"/>
                <w:kern w:val="2"/>
                <w:sz w:val="24"/>
                <w:szCs w:val="21"/>
                <w:lang w:val="en-US" w:eastAsia="zh-CN" w:bidi="ar-SA"/>
                <w14:ligatures w14:val="standardContextual"/>
              </w:rPr>
            </m:ctrlPr>
          </m:e>
          <m:sub>
            <m:r>
              <m:rPr>
                <m:sty m:val="p"/>
              </m:rPr>
              <w:rPr>
                <w:rFonts w:hint="eastAsia" w:ascii="Times New Roman" w:hAnsi="Times New Roman" w:eastAsia="宋体" w:cs="Times New Roman"/>
                <w:kern w:val="2"/>
                <w:sz w:val="24"/>
                <w:szCs w:val="21"/>
                <w:lang w:val="en-US" w:eastAsia="zh-CN" w:bidi="ar-SA"/>
                <w14:ligatures w14:val="standardContextual"/>
              </w:rPr>
              <m:t>V1</m:t>
            </m:r>
            <m:ctrlPr>
              <w:rPr>
                <w:rFonts w:hint="eastAsia" w:ascii="Cambria Math" w:hAnsi="Cambria Math" w:eastAsia="宋体" w:cs="Times New Roman"/>
                <w:kern w:val="2"/>
                <w:sz w:val="24"/>
                <w:szCs w:val="21"/>
                <w:lang w:val="en-US" w:eastAsia="zh-CN" w:bidi="ar-SA"/>
                <w14:ligatures w14:val="standardContextual"/>
              </w:rPr>
            </m:ctrlPr>
          </m:sub>
        </m:sSub>
      </m:oMath>
      <w:r>
        <w:rPr>
          <w:rFonts w:hint="eastAsia" w:ascii="Times New Roman" w:hAnsi="Times New Roman" w:eastAsia="宋体" w:cs="Times New Roman"/>
          <w:kern w:val="2"/>
          <w:sz w:val="24"/>
          <w:szCs w:val="21"/>
          <w:lang w:val="en-US" w:eastAsia="zh-CN" w:bidi="ar-SA"/>
          <w14:ligatures w14:val="standardContextual"/>
        </w:rPr>
        <w:t xml:space="preserve">（美式）。收益中的幂函数 </w:t>
      </w:r>
      <m:oMath>
        <m:sSup>
          <m:sSupPr>
            <m:ctrlPr>
              <w:rPr>
                <w:rFonts w:hint="eastAsia" w:ascii="Cambria Math" w:hAnsi="Cambria Math" w:eastAsia="宋体" w:cs="Times New Roman"/>
                <w:kern w:val="2"/>
                <w:sz w:val="24"/>
                <w:szCs w:val="21"/>
                <w:lang w:val="en-US" w:eastAsia="zh-CN" w:bidi="ar-SA"/>
                <w14:ligatures w14:val="standardContextual"/>
              </w:rPr>
            </m:ctrlPr>
          </m:sSupPr>
          <m:e>
            <m:r>
              <m:rPr>
                <m:sty m:val="p"/>
              </m:rPr>
              <w:rPr>
                <w:rFonts w:hint="eastAsia" w:ascii="Times New Roman" w:hAnsi="Times New Roman" w:eastAsia="宋体" w:cs="Times New Roman"/>
                <w:kern w:val="2"/>
                <w:sz w:val="24"/>
                <w:szCs w:val="21"/>
                <w:lang w:val="en-US" w:eastAsia="zh-CN" w:bidi="ar-SA"/>
                <w14:ligatures w14:val="standardContextual"/>
              </w:rPr>
              <m:t>S</m:t>
            </m:r>
            <m:ctrlPr>
              <w:rPr>
                <w:rFonts w:hint="eastAsia" w:ascii="Cambria Math" w:hAnsi="Cambria Math" w:eastAsia="宋体" w:cs="Times New Roman"/>
                <w:kern w:val="2"/>
                <w:sz w:val="24"/>
                <w:szCs w:val="21"/>
                <w:lang w:val="en-US" w:eastAsia="zh-CN" w:bidi="ar-SA"/>
                <w14:ligatures w14:val="standardContextual"/>
              </w:rPr>
            </m:ctrlPr>
          </m:e>
          <m:sup>
            <m:r>
              <m:rPr>
                <m:sty m:val="p"/>
              </m:rPr>
              <w:rPr>
                <w:rFonts w:hint="eastAsia" w:ascii="Times New Roman" w:hAnsi="Times New Roman" w:eastAsia="宋体" w:cs="Times New Roman"/>
                <w:kern w:val="2"/>
                <w:sz w:val="24"/>
                <w:szCs w:val="21"/>
                <w:lang w:val="en-US" w:eastAsia="zh-CN" w:bidi="ar-SA"/>
                <w14:ligatures w14:val="standardContextual"/>
              </w:rPr>
              <m:t>3/2</m:t>
            </m:r>
            <m:ctrlPr>
              <w:rPr>
                <w:rFonts w:hint="eastAsia" w:ascii="Cambria Math" w:hAnsi="Cambria Math" w:eastAsia="宋体" w:cs="Times New Roman"/>
                <w:kern w:val="2"/>
                <w:sz w:val="24"/>
                <w:szCs w:val="21"/>
                <w:lang w:val="en-US" w:eastAsia="zh-CN" w:bidi="ar-SA"/>
                <w14:ligatures w14:val="standardContextual"/>
              </w:rPr>
            </m:ctrlPr>
          </m:sup>
        </m:sSup>
      </m:oMath>
      <w:r>
        <w:rPr>
          <w:rFonts w:hint="eastAsia" w:ascii="Times New Roman" w:hAnsi="Times New Roman" w:eastAsia="宋体" w:cs="Times New Roman"/>
          <w:kern w:val="2"/>
          <w:sz w:val="24"/>
          <w:szCs w:val="21"/>
          <w:lang w:val="en-US" w:eastAsia="zh-CN" w:bidi="ar-SA"/>
          <w14:ligatures w14:val="standardContextual"/>
        </w:rPr>
        <w:t xml:space="preserve"> 引入了奇异特征。</w:t>
      </w:r>
    </w:p>
    <w:p w14:paraId="623E233A">
      <w:pPr>
        <w:pStyle w:val="11"/>
        <w:keepNext w:val="0"/>
        <w:keepLines w:val="0"/>
        <w:pageBreakBefore w:val="0"/>
        <w:widowControl/>
        <w:kinsoku w:val="0"/>
        <w:wordWrap/>
        <w:overflowPunct/>
        <w:topLinePunct w:val="0"/>
        <w:autoSpaceDE w:val="0"/>
        <w:autoSpaceDN w:val="0"/>
        <w:bidi w:val="0"/>
        <w:adjustRightInd w:val="0"/>
        <w:snapToGrid w:val="0"/>
        <w:spacing w:line="300" w:lineRule="auto"/>
        <w:ind w:firstLine="420" w:firstLineChars="0"/>
        <w:textAlignment w:val="baseline"/>
        <w:rPr>
          <w:rFonts w:hint="eastAsia" w:ascii="Times New Roman" w:hAnsi="Times New Roman" w:eastAsia="宋体" w:cs="Times New Roman"/>
          <w:kern w:val="2"/>
          <w:sz w:val="24"/>
          <w:szCs w:val="21"/>
          <w:lang w:val="en-US" w:eastAsia="zh-CN" w:bidi="ar-SA"/>
          <w14:ligatures w14:val="standardContextual"/>
        </w:rPr>
      </w:pPr>
      <w:r>
        <w:rPr>
          <w:rFonts w:hint="eastAsia" w:ascii="Times New Roman" w:hAnsi="Times New Roman" w:eastAsia="宋体" w:cs="Times New Roman"/>
          <w:kern w:val="2"/>
          <w:sz w:val="24"/>
          <w:szCs w:val="21"/>
          <w:lang w:val="en-US" w:eastAsia="zh-CN" w:bidi="ar-SA"/>
          <w14:ligatures w14:val="standardContextual"/>
        </w:rPr>
        <w:t>外层期权 (</w:t>
      </w:r>
      <m:oMath>
        <m:sSub>
          <m:sSubPr>
            <m:ctrlPr>
              <w:rPr>
                <w:rFonts w:hint="eastAsia" w:ascii="Cambria Math" w:hAnsi="Cambria Math" w:eastAsia="宋体" w:cs="Times New Roman"/>
                <w:kern w:val="2"/>
                <w:sz w:val="24"/>
                <w:szCs w:val="21"/>
                <w:lang w:val="en-US" w:eastAsia="zh-CN" w:bidi="ar-SA"/>
                <w14:ligatures w14:val="standardContextual"/>
              </w:rPr>
            </m:ctrlPr>
          </m:sSubPr>
          <m:e>
            <m:r>
              <m:rPr>
                <m:sty m:val="p"/>
              </m:rPr>
              <w:rPr>
                <w:rFonts w:hint="eastAsia" w:ascii="Times New Roman" w:hAnsi="Times New Roman" w:eastAsia="宋体" w:cs="Times New Roman"/>
                <w:kern w:val="2"/>
                <w:sz w:val="24"/>
                <w:szCs w:val="21"/>
                <w:lang w:val="en-US" w:eastAsia="zh-CN" w:bidi="ar-SA"/>
                <w14:ligatures w14:val="standardContextual"/>
              </w:rPr>
              <m:t>V</m:t>
            </m:r>
            <m:ctrlPr>
              <w:rPr>
                <w:rFonts w:hint="eastAsia" w:ascii="Cambria Math" w:hAnsi="Cambria Math" w:eastAsia="宋体" w:cs="Times New Roman"/>
                <w:kern w:val="2"/>
                <w:sz w:val="24"/>
                <w:szCs w:val="21"/>
                <w:lang w:val="en-US" w:eastAsia="zh-CN" w:bidi="ar-SA"/>
                <w14:ligatures w14:val="standardContextual"/>
              </w:rPr>
            </m:ctrlPr>
          </m:e>
          <m:sub>
            <m:r>
              <m:rPr>
                <m:sty m:val="p"/>
              </m:rPr>
              <w:rPr>
                <w:rFonts w:hint="eastAsia" w:ascii="Times New Roman" w:hAnsi="Times New Roman" w:eastAsia="宋体" w:cs="Times New Roman"/>
                <w:kern w:val="2"/>
                <w:sz w:val="24"/>
                <w:szCs w:val="21"/>
                <w:lang w:val="en-US" w:eastAsia="zh-CN" w:bidi="ar-SA"/>
                <w14:ligatures w14:val="standardContextual"/>
              </w:rPr>
              <m:t>2</m:t>
            </m:r>
            <m:ctrlPr>
              <w:rPr>
                <w:rFonts w:hint="eastAsia" w:ascii="Cambria Math" w:hAnsi="Cambria Math" w:eastAsia="宋体" w:cs="Times New Roman"/>
                <w:kern w:val="2"/>
                <w:sz w:val="24"/>
                <w:szCs w:val="21"/>
                <w:lang w:val="en-US" w:eastAsia="zh-CN" w:bidi="ar-SA"/>
                <w14:ligatures w14:val="standardContextual"/>
              </w:rPr>
            </m:ctrlPr>
          </m:sub>
        </m:sSub>
      </m:oMath>
      <w:r>
        <w:rPr>
          <w:rFonts w:hint="eastAsia" w:ascii="Times New Roman" w:hAnsi="Times New Roman" w:eastAsia="宋体" w:cs="Times New Roman"/>
          <w:kern w:val="2"/>
          <w:sz w:val="24"/>
          <w:szCs w:val="21"/>
          <w:lang w:val="en-US" w:eastAsia="zh-CN" w:bidi="ar-SA"/>
          <w14:ligatures w14:val="standardContextual"/>
        </w:rPr>
        <w:t xml:space="preserve">): 一个以 </w:t>
      </w:r>
      <m:oMath>
        <m:sSub>
          <m:sSubPr>
            <m:ctrlPr>
              <w:rPr>
                <w:rFonts w:hint="eastAsia" w:ascii="Cambria Math" w:hAnsi="Cambria Math" w:eastAsia="宋体" w:cs="Times New Roman"/>
                <w:kern w:val="2"/>
                <w:sz w:val="24"/>
                <w:szCs w:val="21"/>
                <w:lang w:val="en-US" w:eastAsia="zh-CN" w:bidi="ar-SA"/>
                <w14:ligatures w14:val="standardContextual"/>
              </w:rPr>
            </m:ctrlPr>
          </m:sSubPr>
          <m:e>
            <m:r>
              <m:rPr>
                <m:sty m:val="p"/>
              </m:rPr>
              <w:rPr>
                <w:rFonts w:hint="eastAsia" w:ascii="Times New Roman" w:hAnsi="Times New Roman" w:eastAsia="宋体" w:cs="Times New Roman"/>
                <w:kern w:val="2"/>
                <w:sz w:val="24"/>
                <w:szCs w:val="21"/>
                <w:lang w:val="en-US" w:eastAsia="zh-CN" w:bidi="ar-SA"/>
                <w14:ligatures w14:val="standardContextual"/>
              </w:rPr>
              <m:t>V</m:t>
            </m:r>
            <m:ctrlPr>
              <w:rPr>
                <w:rFonts w:hint="eastAsia" w:ascii="Cambria Math" w:hAnsi="Cambria Math" w:eastAsia="宋体" w:cs="Times New Roman"/>
                <w:kern w:val="2"/>
                <w:sz w:val="24"/>
                <w:szCs w:val="21"/>
                <w:lang w:val="en-US" w:eastAsia="zh-CN" w:bidi="ar-SA"/>
                <w14:ligatures w14:val="standardContextual"/>
              </w:rPr>
            </m:ctrlPr>
          </m:e>
          <m:sub>
            <m:r>
              <m:rPr>
                <m:sty m:val="p"/>
              </m:rPr>
              <w:rPr>
                <w:rFonts w:hint="eastAsia" w:ascii="Times New Roman" w:hAnsi="Times New Roman" w:eastAsia="宋体" w:cs="Times New Roman"/>
                <w:kern w:val="2"/>
                <w:sz w:val="24"/>
                <w:szCs w:val="21"/>
                <w:lang w:val="en-US" w:eastAsia="zh-CN" w:bidi="ar-SA"/>
                <w14:ligatures w14:val="standardContextual"/>
              </w:rPr>
              <m:t>1</m:t>
            </m:r>
            <m:ctrlPr>
              <w:rPr>
                <w:rFonts w:hint="eastAsia" w:ascii="Cambria Math" w:hAnsi="Cambria Math" w:eastAsia="宋体" w:cs="Times New Roman"/>
                <w:kern w:val="2"/>
                <w:sz w:val="24"/>
                <w:szCs w:val="21"/>
                <w:lang w:val="en-US" w:eastAsia="zh-CN" w:bidi="ar-SA"/>
                <w14:ligatures w14:val="standardContextual"/>
              </w:rPr>
            </m:ctrlPr>
          </m:sub>
        </m:sSub>
      </m:oMath>
      <w:r>
        <w:rPr>
          <w:rFonts w:hint="eastAsia" w:ascii="Times New Roman" w:hAnsi="Times New Roman" w:eastAsia="宋体" w:cs="Times New Roman"/>
          <w:kern w:val="2"/>
          <w:sz w:val="24"/>
          <w:szCs w:val="21"/>
          <w:lang w:val="en-US" w:eastAsia="zh-CN" w:bidi="ar-SA"/>
          <w14:ligatures w14:val="standardContextual"/>
        </w:rPr>
        <w:t xml:space="preserve"> 作为标的资产的欧式期权。其到期日为 </w:t>
      </w:r>
      <m:oMath>
        <m:sSub>
          <m:sSubPr>
            <m:ctrlPr>
              <w:rPr>
                <w:rFonts w:hint="eastAsia" w:ascii="Cambria Math" w:hAnsi="Cambria Math" w:eastAsia="宋体" w:cs="Times New Roman"/>
                <w:kern w:val="2"/>
                <w:sz w:val="24"/>
                <w:szCs w:val="21"/>
                <w:lang w:val="en-US" w:eastAsia="zh-CN" w:bidi="ar-SA"/>
                <w14:ligatures w14:val="standardContextual"/>
              </w:rPr>
            </m:ctrlPr>
          </m:sSubPr>
          <m:e>
            <m:r>
              <m:rPr>
                <m:sty m:val="p"/>
              </m:rPr>
              <w:rPr>
                <w:rFonts w:hint="eastAsia" w:ascii="Times New Roman" w:hAnsi="Times New Roman" w:eastAsia="宋体" w:cs="Times New Roman"/>
                <w:kern w:val="2"/>
                <w:sz w:val="24"/>
                <w:szCs w:val="21"/>
                <w:lang w:val="en-US" w:eastAsia="zh-CN" w:bidi="ar-SA"/>
                <w14:ligatures w14:val="standardContextual"/>
              </w:rPr>
              <m:t>T</m:t>
            </m:r>
            <m:ctrlPr>
              <w:rPr>
                <w:rFonts w:hint="eastAsia" w:ascii="Cambria Math" w:hAnsi="Cambria Math" w:eastAsia="宋体" w:cs="Times New Roman"/>
                <w:kern w:val="2"/>
                <w:sz w:val="24"/>
                <w:szCs w:val="21"/>
                <w:lang w:val="en-US" w:eastAsia="zh-CN" w:bidi="ar-SA"/>
                <w14:ligatures w14:val="standardContextual"/>
              </w:rPr>
            </m:ctrlPr>
          </m:e>
          <m:sub>
            <m:r>
              <m:rPr>
                <m:sty m:val="p"/>
              </m:rPr>
              <w:rPr>
                <w:rFonts w:hint="eastAsia" w:ascii="Times New Roman" w:hAnsi="Times New Roman" w:eastAsia="宋体" w:cs="Times New Roman"/>
                <w:kern w:val="2"/>
                <w:sz w:val="24"/>
                <w:szCs w:val="21"/>
                <w:lang w:val="en-US" w:eastAsia="zh-CN" w:bidi="ar-SA"/>
                <w14:ligatures w14:val="standardContextual"/>
              </w:rPr>
              <m:t>V2</m:t>
            </m:r>
            <m:ctrlPr>
              <w:rPr>
                <w:rFonts w:hint="eastAsia" w:ascii="Cambria Math" w:hAnsi="Cambria Math" w:eastAsia="宋体" w:cs="Times New Roman"/>
                <w:kern w:val="2"/>
                <w:sz w:val="24"/>
                <w:szCs w:val="21"/>
                <w:lang w:val="en-US" w:eastAsia="zh-CN" w:bidi="ar-SA"/>
                <w14:ligatures w14:val="standardContextual"/>
              </w:rPr>
            </m:ctrlPr>
          </m:sub>
        </m:sSub>
      </m:oMath>
      <w:r>
        <w:rPr>
          <w:rFonts w:hint="eastAsia" w:ascii="Times New Roman" w:hAnsi="Times New Roman" w:eastAsia="宋体" w:cs="Times New Roman"/>
          <w:kern w:val="2"/>
          <w:sz w:val="24"/>
          <w:szCs w:val="21"/>
          <w:lang w:val="en-US" w:eastAsia="zh-CN" w:bidi="ar-SA"/>
          <w14:ligatures w14:val="standardContextual"/>
        </w:rPr>
        <w:t xml:space="preserve">，行权价为 </w:t>
      </w:r>
      <m:oMath>
        <m:sSub>
          <m:sSubPr>
            <m:ctrlPr>
              <w:rPr>
                <w:rFonts w:hint="eastAsia" w:ascii="Cambria Math" w:hAnsi="Cambria Math" w:eastAsia="宋体" w:cs="Times New Roman"/>
                <w:kern w:val="2"/>
                <w:sz w:val="24"/>
                <w:szCs w:val="21"/>
                <w:lang w:val="en-US" w:eastAsia="zh-CN" w:bidi="ar-SA"/>
                <w14:ligatures w14:val="standardContextual"/>
              </w:rPr>
            </m:ctrlPr>
          </m:sSubPr>
          <m:e>
            <m:r>
              <m:rPr>
                <m:sty m:val="p"/>
              </m:rPr>
              <w:rPr>
                <w:rFonts w:hint="eastAsia" w:ascii="Times New Roman" w:hAnsi="Times New Roman" w:eastAsia="宋体" w:cs="Times New Roman"/>
                <w:kern w:val="2"/>
                <w:sz w:val="24"/>
                <w:szCs w:val="21"/>
                <w:lang w:val="en-US" w:eastAsia="zh-CN" w:bidi="ar-SA"/>
                <w14:ligatures w14:val="standardContextual"/>
              </w:rPr>
              <m:t>K</m:t>
            </m:r>
            <m:ctrlPr>
              <w:rPr>
                <w:rFonts w:hint="eastAsia" w:ascii="Cambria Math" w:hAnsi="Cambria Math" w:eastAsia="宋体" w:cs="Times New Roman"/>
                <w:kern w:val="2"/>
                <w:sz w:val="24"/>
                <w:szCs w:val="21"/>
                <w:lang w:val="en-US" w:eastAsia="zh-CN" w:bidi="ar-SA"/>
                <w14:ligatures w14:val="standardContextual"/>
              </w:rPr>
            </m:ctrlPr>
          </m:e>
          <m:sub>
            <m:r>
              <m:rPr>
                <m:sty m:val="p"/>
              </m:rPr>
              <w:rPr>
                <w:rFonts w:hint="eastAsia" w:ascii="Times New Roman" w:hAnsi="Times New Roman" w:eastAsia="宋体" w:cs="Times New Roman"/>
                <w:kern w:val="2"/>
                <w:sz w:val="24"/>
                <w:szCs w:val="21"/>
                <w:lang w:val="en-US" w:eastAsia="zh-CN" w:bidi="ar-SA"/>
                <w14:ligatures w14:val="standardContextual"/>
              </w:rPr>
              <m:t>1</m:t>
            </m:r>
            <m:ctrlPr>
              <w:rPr>
                <w:rFonts w:hint="eastAsia" w:ascii="Cambria Math" w:hAnsi="Cambria Math" w:eastAsia="宋体" w:cs="Times New Roman"/>
                <w:kern w:val="2"/>
                <w:sz w:val="24"/>
                <w:szCs w:val="21"/>
                <w:lang w:val="en-US" w:eastAsia="zh-CN" w:bidi="ar-SA"/>
                <w14:ligatures w14:val="standardContextual"/>
              </w:rPr>
            </m:ctrlPr>
          </m:sub>
        </m:sSub>
      </m:oMath>
      <w:r>
        <w:rPr>
          <w:rFonts w:hint="eastAsia" w:ascii="Times New Roman" w:hAnsi="Times New Roman" w:eastAsia="宋体" w:cs="Times New Roman"/>
          <w:kern w:val="2"/>
          <w:sz w:val="24"/>
          <w:szCs w:val="21"/>
          <w:lang w:val="en-US" w:eastAsia="zh-CN" w:bidi="ar-SA"/>
          <w14:ligatures w14:val="standardContextual"/>
        </w:rPr>
        <w:t xml:space="preserve">，收益为 </w:t>
      </w:r>
      <m:oMath>
        <m:sSub>
          <m:sSubPr>
            <m:ctrlPr>
              <w:rPr>
                <w:rFonts w:hint="eastAsia" w:ascii="Cambria Math" w:hAnsi="Cambria Math" w:eastAsia="宋体" w:cs="Times New Roman"/>
                <w:kern w:val="2"/>
                <w:sz w:val="24"/>
                <w:szCs w:val="21"/>
                <w:lang w:val="en-US" w:eastAsia="zh-CN" w:bidi="ar-SA"/>
                <w14:ligatures w14:val="standardContextual"/>
              </w:rPr>
            </m:ctrlPr>
          </m:sSubPr>
          <m:e>
            <m:r>
              <m:rPr>
                <m:sty m:val="p"/>
              </m:rPr>
              <w:rPr>
                <w:rFonts w:hint="eastAsia" w:ascii="Times New Roman" w:hAnsi="Times New Roman" w:eastAsia="宋体" w:cs="Times New Roman"/>
                <w:kern w:val="2"/>
                <w:sz w:val="24"/>
                <w:szCs w:val="21"/>
                <w:lang w:val="en-US" w:eastAsia="zh-CN" w:bidi="ar-SA"/>
                <w14:ligatures w14:val="standardContextual"/>
              </w:rPr>
              <m:t>V</m:t>
            </m:r>
            <m:ctrlPr>
              <w:rPr>
                <w:rFonts w:hint="eastAsia" w:ascii="Cambria Math" w:hAnsi="Cambria Math" w:eastAsia="宋体" w:cs="Times New Roman"/>
                <w:kern w:val="2"/>
                <w:sz w:val="24"/>
                <w:szCs w:val="21"/>
                <w:lang w:val="en-US" w:eastAsia="zh-CN" w:bidi="ar-SA"/>
                <w14:ligatures w14:val="standardContextual"/>
              </w:rPr>
            </m:ctrlPr>
          </m:e>
          <m:sub>
            <m:r>
              <m:rPr>
                <m:sty m:val="p"/>
              </m:rPr>
              <w:rPr>
                <w:rFonts w:hint="eastAsia" w:ascii="Times New Roman" w:hAnsi="Times New Roman" w:eastAsia="宋体" w:cs="Times New Roman"/>
                <w:kern w:val="2"/>
                <w:sz w:val="24"/>
                <w:szCs w:val="21"/>
                <w:lang w:val="en-US" w:eastAsia="zh-CN" w:bidi="ar-SA"/>
                <w14:ligatures w14:val="standardContextual"/>
              </w:rPr>
              <m:t>2</m:t>
            </m:r>
            <m:ctrlPr>
              <w:rPr>
                <w:rFonts w:hint="eastAsia" w:ascii="Cambria Math" w:hAnsi="Cambria Math" w:eastAsia="宋体" w:cs="Times New Roman"/>
                <w:kern w:val="2"/>
                <w:sz w:val="24"/>
                <w:szCs w:val="21"/>
                <w:lang w:val="en-US" w:eastAsia="zh-CN" w:bidi="ar-SA"/>
                <w14:ligatures w14:val="standardContextual"/>
              </w:rPr>
            </m:ctrlPr>
          </m:sub>
        </m:sSub>
        <m:r>
          <m:rPr>
            <m:sty m:val="p"/>
          </m:rPr>
          <w:rPr>
            <w:rFonts w:hint="eastAsia" w:ascii="Times New Roman" w:hAnsi="Times New Roman" w:eastAsia="宋体" w:cs="Times New Roman"/>
            <w:kern w:val="2"/>
            <w:sz w:val="24"/>
            <w:szCs w:val="21"/>
            <w:lang w:val="en-US" w:eastAsia="zh-CN" w:bidi="ar-SA"/>
            <w14:ligatures w14:val="standardContextual"/>
          </w:rPr>
          <m:t>=max{</m:t>
        </m:r>
        <m:sSub>
          <m:sSubPr>
            <m:ctrlPr>
              <w:rPr>
                <w:rFonts w:hint="eastAsia" w:ascii="Cambria Math" w:hAnsi="Cambria Math" w:eastAsia="宋体" w:cs="Times New Roman"/>
                <w:kern w:val="2"/>
                <w:sz w:val="24"/>
                <w:szCs w:val="21"/>
                <w:lang w:val="en-US" w:eastAsia="zh-CN" w:bidi="ar-SA"/>
                <w14:ligatures w14:val="standardContextual"/>
              </w:rPr>
            </m:ctrlPr>
          </m:sSubPr>
          <m:e>
            <m:r>
              <m:rPr>
                <m:sty m:val="p"/>
              </m:rPr>
              <w:rPr>
                <w:rFonts w:hint="eastAsia" w:ascii="Times New Roman" w:hAnsi="Times New Roman" w:eastAsia="宋体" w:cs="Times New Roman"/>
                <w:kern w:val="2"/>
                <w:sz w:val="24"/>
                <w:szCs w:val="21"/>
                <w:lang w:val="en-US" w:eastAsia="zh-CN" w:bidi="ar-SA"/>
                <w14:ligatures w14:val="standardContextual"/>
              </w:rPr>
              <m:t>N</m:t>
            </m:r>
            <m:ctrlPr>
              <w:rPr>
                <w:rFonts w:hint="eastAsia" w:ascii="Cambria Math" w:hAnsi="Cambria Math" w:eastAsia="宋体" w:cs="Times New Roman"/>
                <w:kern w:val="2"/>
                <w:sz w:val="24"/>
                <w:szCs w:val="21"/>
                <w:lang w:val="en-US" w:eastAsia="zh-CN" w:bidi="ar-SA"/>
                <w14:ligatures w14:val="standardContextual"/>
              </w:rPr>
            </m:ctrlPr>
          </m:e>
          <m:sub>
            <m:r>
              <m:rPr>
                <m:sty m:val="p"/>
              </m:rPr>
              <w:rPr>
                <w:rFonts w:hint="eastAsia" w:ascii="Times New Roman" w:hAnsi="Times New Roman" w:eastAsia="宋体" w:cs="Times New Roman"/>
                <w:kern w:val="2"/>
                <w:sz w:val="24"/>
                <w:szCs w:val="21"/>
                <w:lang w:val="en-US" w:eastAsia="zh-CN" w:bidi="ar-SA"/>
                <w14:ligatures w14:val="standardContextual"/>
              </w:rPr>
              <m:t>1</m:t>
            </m:r>
            <m:ctrlPr>
              <w:rPr>
                <w:rFonts w:hint="eastAsia" w:ascii="Cambria Math" w:hAnsi="Cambria Math" w:eastAsia="宋体" w:cs="Times New Roman"/>
                <w:kern w:val="2"/>
                <w:sz w:val="24"/>
                <w:szCs w:val="21"/>
                <w:lang w:val="en-US" w:eastAsia="zh-CN" w:bidi="ar-SA"/>
                <w14:ligatures w14:val="standardContextual"/>
              </w:rPr>
            </m:ctrlPr>
          </m:sub>
        </m:sSub>
        <m:r>
          <m:rPr>
            <m:sty m:val="p"/>
          </m:rPr>
          <w:rPr>
            <w:rFonts w:hint="eastAsia" w:ascii="Times New Roman" w:hAnsi="Times New Roman" w:eastAsia="宋体" w:cs="Times New Roman"/>
            <w:kern w:val="2"/>
            <w:sz w:val="24"/>
            <w:szCs w:val="21"/>
            <w:lang w:val="en-US" w:eastAsia="zh-CN" w:bidi="ar-SA"/>
            <w14:ligatures w14:val="standardContextual"/>
          </w:rPr>
          <m:t>(</m:t>
        </m:r>
        <m:sSub>
          <m:sSubPr>
            <m:ctrlPr>
              <w:rPr>
                <w:rFonts w:hint="eastAsia" w:ascii="Cambria Math" w:hAnsi="Cambria Math" w:eastAsia="宋体" w:cs="Times New Roman"/>
                <w:kern w:val="2"/>
                <w:sz w:val="24"/>
                <w:szCs w:val="21"/>
                <w:lang w:val="en-US" w:eastAsia="zh-CN" w:bidi="ar-SA"/>
                <w14:ligatures w14:val="standardContextual"/>
              </w:rPr>
            </m:ctrlPr>
          </m:sSubPr>
          <m:e>
            <m:r>
              <m:rPr>
                <m:sty m:val="p"/>
              </m:rPr>
              <w:rPr>
                <w:rFonts w:hint="eastAsia" w:ascii="Times New Roman" w:hAnsi="Times New Roman" w:eastAsia="宋体" w:cs="Times New Roman"/>
                <w:kern w:val="2"/>
                <w:sz w:val="24"/>
                <w:szCs w:val="21"/>
                <w:lang w:val="en-US" w:eastAsia="zh-CN" w:bidi="ar-SA"/>
                <w14:ligatures w14:val="standardContextual"/>
              </w:rPr>
              <m:t>V</m:t>
            </m:r>
            <m:ctrlPr>
              <w:rPr>
                <w:rFonts w:hint="eastAsia" w:ascii="Cambria Math" w:hAnsi="Cambria Math" w:eastAsia="宋体" w:cs="Times New Roman"/>
                <w:kern w:val="2"/>
                <w:sz w:val="24"/>
                <w:szCs w:val="21"/>
                <w:lang w:val="en-US" w:eastAsia="zh-CN" w:bidi="ar-SA"/>
                <w14:ligatures w14:val="standardContextual"/>
              </w:rPr>
            </m:ctrlPr>
          </m:e>
          <m:sub>
            <m:r>
              <m:rPr>
                <m:sty m:val="p"/>
              </m:rPr>
              <w:rPr>
                <w:rFonts w:hint="eastAsia" w:ascii="Times New Roman" w:hAnsi="Times New Roman" w:eastAsia="宋体" w:cs="Times New Roman"/>
                <w:kern w:val="2"/>
                <w:sz w:val="24"/>
                <w:szCs w:val="21"/>
                <w:lang w:val="en-US" w:eastAsia="zh-CN" w:bidi="ar-SA"/>
                <w14:ligatures w14:val="standardContextual"/>
              </w:rPr>
              <m:t>1</m:t>
            </m:r>
            <m:ctrlPr>
              <w:rPr>
                <w:rFonts w:hint="eastAsia" w:ascii="Cambria Math" w:hAnsi="Cambria Math" w:eastAsia="宋体" w:cs="Times New Roman"/>
                <w:kern w:val="2"/>
                <w:sz w:val="24"/>
                <w:szCs w:val="21"/>
                <w:lang w:val="en-US" w:eastAsia="zh-CN" w:bidi="ar-SA"/>
                <w14:ligatures w14:val="standardContextual"/>
              </w:rPr>
            </m:ctrlPr>
          </m:sub>
        </m:sSub>
        <m:r>
          <m:rPr>
            <m:sty m:val="p"/>
          </m:rPr>
          <w:rPr>
            <w:rFonts w:hint="eastAsia" w:ascii="Times New Roman" w:hAnsi="Times New Roman" w:eastAsia="宋体" w:cs="Times New Roman"/>
            <w:kern w:val="2"/>
            <w:sz w:val="24"/>
            <w:szCs w:val="21"/>
            <w:lang w:val="en-US" w:eastAsia="zh-CN" w:bidi="ar-SA"/>
            <w14:ligatures w14:val="standardContextual"/>
          </w:rPr>
          <m:t>(</m:t>
        </m:r>
        <m:sSub>
          <m:sSubPr>
            <m:ctrlPr>
              <w:rPr>
                <w:rFonts w:hint="eastAsia" w:ascii="Cambria Math" w:hAnsi="Cambria Math" w:eastAsia="宋体" w:cs="Times New Roman"/>
                <w:kern w:val="2"/>
                <w:sz w:val="24"/>
                <w:szCs w:val="21"/>
                <w:lang w:val="en-US" w:eastAsia="zh-CN" w:bidi="ar-SA"/>
                <w14:ligatures w14:val="standardContextual"/>
              </w:rPr>
            </m:ctrlPr>
          </m:sSubPr>
          <m:e>
            <m:r>
              <m:rPr>
                <m:sty m:val="p"/>
              </m:rPr>
              <w:rPr>
                <w:rFonts w:hint="eastAsia" w:ascii="Times New Roman" w:hAnsi="Times New Roman" w:eastAsia="宋体" w:cs="Times New Roman"/>
                <w:kern w:val="2"/>
                <w:sz w:val="24"/>
                <w:szCs w:val="21"/>
                <w:lang w:val="en-US" w:eastAsia="zh-CN" w:bidi="ar-SA"/>
                <w14:ligatures w14:val="standardContextual"/>
              </w:rPr>
              <m:t>T</m:t>
            </m:r>
            <m:ctrlPr>
              <w:rPr>
                <w:rFonts w:hint="eastAsia" w:ascii="Cambria Math" w:hAnsi="Cambria Math" w:eastAsia="宋体" w:cs="Times New Roman"/>
                <w:kern w:val="2"/>
                <w:sz w:val="24"/>
                <w:szCs w:val="21"/>
                <w:lang w:val="en-US" w:eastAsia="zh-CN" w:bidi="ar-SA"/>
                <w14:ligatures w14:val="standardContextual"/>
              </w:rPr>
            </m:ctrlPr>
          </m:e>
          <m:sub>
            <m:r>
              <m:rPr>
                <m:sty m:val="p"/>
              </m:rPr>
              <w:rPr>
                <w:rFonts w:hint="eastAsia" w:ascii="Times New Roman" w:hAnsi="Times New Roman" w:eastAsia="宋体" w:cs="Times New Roman"/>
                <w:kern w:val="2"/>
                <w:sz w:val="24"/>
                <w:szCs w:val="21"/>
                <w:lang w:val="en-US" w:eastAsia="zh-CN" w:bidi="ar-SA"/>
                <w14:ligatures w14:val="standardContextual"/>
              </w:rPr>
              <m:t>V2</m:t>
            </m:r>
            <m:ctrlPr>
              <w:rPr>
                <w:rFonts w:hint="eastAsia" w:ascii="Cambria Math" w:hAnsi="Cambria Math" w:eastAsia="宋体" w:cs="Times New Roman"/>
                <w:kern w:val="2"/>
                <w:sz w:val="24"/>
                <w:szCs w:val="21"/>
                <w:lang w:val="en-US" w:eastAsia="zh-CN" w:bidi="ar-SA"/>
                <w14:ligatures w14:val="standardContextual"/>
              </w:rPr>
            </m:ctrlPr>
          </m:sub>
        </m:sSub>
        <m:r>
          <m:rPr>
            <m:sty m:val="p"/>
          </m:rPr>
          <w:rPr>
            <w:rFonts w:hint="eastAsia" w:ascii="Times New Roman" w:hAnsi="Times New Roman" w:eastAsia="宋体" w:cs="Times New Roman"/>
            <w:kern w:val="2"/>
            <w:sz w:val="24"/>
            <w:szCs w:val="21"/>
            <w:lang w:val="en-US" w:eastAsia="zh-CN" w:bidi="ar-SA"/>
            <w14:ligatures w14:val="standardContextual"/>
          </w:rPr>
          <m:t>,⋅,⋅)−</m:t>
        </m:r>
        <m:sSub>
          <m:sSubPr>
            <m:ctrlPr>
              <w:rPr>
                <w:rFonts w:hint="eastAsia" w:ascii="Cambria Math" w:hAnsi="Cambria Math" w:eastAsia="宋体" w:cs="Times New Roman"/>
                <w:kern w:val="2"/>
                <w:sz w:val="24"/>
                <w:szCs w:val="21"/>
                <w:lang w:val="en-US" w:eastAsia="zh-CN" w:bidi="ar-SA"/>
                <w14:ligatures w14:val="standardContextual"/>
              </w:rPr>
            </m:ctrlPr>
          </m:sSubPr>
          <m:e>
            <m:r>
              <m:rPr>
                <m:sty m:val="p"/>
              </m:rPr>
              <w:rPr>
                <w:rFonts w:hint="eastAsia" w:ascii="Times New Roman" w:hAnsi="Times New Roman" w:eastAsia="宋体" w:cs="Times New Roman"/>
                <w:kern w:val="2"/>
                <w:sz w:val="24"/>
                <w:szCs w:val="21"/>
                <w:lang w:val="en-US" w:eastAsia="zh-CN" w:bidi="ar-SA"/>
                <w14:ligatures w14:val="standardContextual"/>
              </w:rPr>
              <m:t>K</m:t>
            </m:r>
            <m:ctrlPr>
              <w:rPr>
                <w:rFonts w:hint="eastAsia" w:ascii="Cambria Math" w:hAnsi="Cambria Math" w:eastAsia="宋体" w:cs="Times New Roman"/>
                <w:kern w:val="2"/>
                <w:sz w:val="24"/>
                <w:szCs w:val="21"/>
                <w:lang w:val="en-US" w:eastAsia="zh-CN" w:bidi="ar-SA"/>
                <w14:ligatures w14:val="standardContextual"/>
              </w:rPr>
            </m:ctrlPr>
          </m:e>
          <m:sub>
            <m:r>
              <m:rPr>
                <m:sty m:val="p"/>
              </m:rPr>
              <w:rPr>
                <w:rFonts w:hint="eastAsia" w:ascii="Times New Roman" w:hAnsi="Times New Roman" w:eastAsia="宋体" w:cs="Times New Roman"/>
                <w:kern w:val="2"/>
                <w:sz w:val="24"/>
                <w:szCs w:val="21"/>
                <w:lang w:val="en-US" w:eastAsia="zh-CN" w:bidi="ar-SA"/>
                <w14:ligatures w14:val="standardContextual"/>
              </w:rPr>
              <m:t>1</m:t>
            </m:r>
            <m:ctrlPr>
              <w:rPr>
                <w:rFonts w:hint="eastAsia" w:ascii="Cambria Math" w:hAnsi="Cambria Math" w:eastAsia="宋体" w:cs="Times New Roman"/>
                <w:kern w:val="2"/>
                <w:sz w:val="24"/>
                <w:szCs w:val="21"/>
                <w:lang w:val="en-US" w:eastAsia="zh-CN" w:bidi="ar-SA"/>
                <w14:ligatures w14:val="standardContextual"/>
              </w:rPr>
            </m:ctrlPr>
          </m:sub>
        </m:sSub>
        <m:r>
          <m:rPr>
            <m:sty m:val="p"/>
          </m:rPr>
          <w:rPr>
            <w:rFonts w:hint="eastAsia" w:ascii="Times New Roman" w:hAnsi="Times New Roman" w:eastAsia="宋体" w:cs="Times New Roman"/>
            <w:kern w:val="2"/>
            <w:sz w:val="24"/>
            <w:szCs w:val="21"/>
            <w:lang w:val="en-US" w:eastAsia="zh-CN" w:bidi="ar-SA"/>
            <w14:ligatures w14:val="standardContextual"/>
          </w:rPr>
          <m:t>),0}</m:t>
        </m:r>
      </m:oMath>
      <w:r>
        <w:rPr>
          <w:rFonts w:hint="eastAsia" w:ascii="Times New Roman" w:hAnsi="Times New Roman" w:eastAsia="宋体" w:cs="Times New Roman"/>
          <w:kern w:val="2"/>
          <w:sz w:val="24"/>
          <w:szCs w:val="21"/>
          <w:lang w:val="en-US" w:eastAsia="zh-CN" w:bidi="ar-SA"/>
          <w14:ligatures w14:val="standardContextual"/>
        </w:rPr>
        <w:t xml:space="preserve">。本项目旨在为这一复杂的复合奇异期权 </w:t>
      </w:r>
      <m:oMath>
        <m:sSub>
          <m:sSubPr>
            <m:ctrlPr>
              <w:rPr>
                <w:rFonts w:hint="eastAsia" w:ascii="Cambria Math" w:hAnsi="Cambria Math" w:eastAsia="宋体" w:cs="Times New Roman"/>
                <w:kern w:val="2"/>
                <w:sz w:val="24"/>
                <w:szCs w:val="21"/>
                <w:lang w:val="en-US" w:eastAsia="zh-CN" w:bidi="ar-SA"/>
                <w14:ligatures w14:val="standardContextual"/>
              </w:rPr>
            </m:ctrlPr>
          </m:sSubPr>
          <m:e>
            <m:r>
              <m:rPr>
                <m:sty m:val="p"/>
              </m:rPr>
              <w:rPr>
                <w:rFonts w:hint="eastAsia" w:ascii="Times New Roman" w:hAnsi="Times New Roman" w:eastAsia="宋体" w:cs="Times New Roman"/>
                <w:kern w:val="2"/>
                <w:sz w:val="24"/>
                <w:szCs w:val="21"/>
                <w:lang w:val="en-US" w:eastAsia="zh-CN" w:bidi="ar-SA"/>
                <w14:ligatures w14:val="standardContextual"/>
              </w:rPr>
              <m:t>V</m:t>
            </m:r>
            <m:ctrlPr>
              <w:rPr>
                <w:rFonts w:hint="eastAsia" w:ascii="Cambria Math" w:hAnsi="Cambria Math" w:eastAsia="宋体" w:cs="Times New Roman"/>
                <w:kern w:val="2"/>
                <w:sz w:val="24"/>
                <w:szCs w:val="21"/>
                <w:lang w:val="en-US" w:eastAsia="zh-CN" w:bidi="ar-SA"/>
                <w14:ligatures w14:val="standardContextual"/>
              </w:rPr>
            </m:ctrlPr>
          </m:e>
          <m:sub>
            <m:r>
              <m:rPr>
                <m:sty m:val="p"/>
              </m:rPr>
              <w:rPr>
                <w:rFonts w:hint="eastAsia" w:ascii="Times New Roman" w:hAnsi="Times New Roman" w:eastAsia="宋体" w:cs="Times New Roman"/>
                <w:kern w:val="2"/>
                <w:sz w:val="24"/>
                <w:szCs w:val="21"/>
                <w:lang w:val="en-US" w:eastAsia="zh-CN" w:bidi="ar-SA"/>
                <w14:ligatures w14:val="standardContextual"/>
              </w:rPr>
              <m:t>2</m:t>
            </m:r>
            <m:ctrlPr>
              <w:rPr>
                <w:rFonts w:hint="eastAsia" w:ascii="Cambria Math" w:hAnsi="Cambria Math" w:eastAsia="宋体" w:cs="Times New Roman"/>
                <w:kern w:val="2"/>
                <w:sz w:val="24"/>
                <w:szCs w:val="21"/>
                <w:lang w:val="en-US" w:eastAsia="zh-CN" w:bidi="ar-SA"/>
                <w14:ligatures w14:val="standardContextual"/>
              </w:rPr>
            </m:ctrlPr>
          </m:sub>
        </m:sSub>
      </m:oMath>
      <w:r>
        <w:rPr>
          <w:rFonts w:hint="eastAsia" w:ascii="Times New Roman" w:hAnsi="Times New Roman" w:eastAsia="宋体" w:cs="Times New Roman"/>
          <w:kern w:val="2"/>
          <w:sz w:val="24"/>
          <w:szCs w:val="21"/>
          <w:lang w:val="en-US" w:eastAsia="zh-CN" w:bidi="ar-SA"/>
          <w14:ligatures w14:val="standardContextual"/>
        </w:rPr>
        <w:t xml:space="preserve"> 在当前时间 </w:t>
      </w:r>
      <m:oMath>
        <m:r>
          <m:rPr>
            <m:sty m:val="p"/>
          </m:rPr>
          <w:rPr>
            <w:rFonts w:hint="eastAsia" w:ascii="Times New Roman" w:hAnsi="Times New Roman" w:eastAsia="宋体" w:cs="Times New Roman"/>
            <w:kern w:val="2"/>
            <w:sz w:val="24"/>
            <w:szCs w:val="21"/>
            <w:lang w:val="en-US" w:eastAsia="zh-CN" w:bidi="ar-SA"/>
            <w14:ligatures w14:val="standardContextual"/>
          </w:rPr>
          <m:t>t</m:t>
        </m:r>
      </m:oMath>
      <w:r>
        <w:rPr>
          <w:rFonts w:hint="eastAsia" w:ascii="Times New Roman" w:hAnsi="Times New Roman" w:eastAsia="宋体" w:cs="Times New Roman"/>
          <w:kern w:val="2"/>
          <w:sz w:val="24"/>
          <w:szCs w:val="21"/>
          <w:lang w:val="en-US" w:eastAsia="zh-CN" w:bidi="ar-SA"/>
          <w14:ligatures w14:val="standardContextual"/>
        </w:rPr>
        <w:t xml:space="preserve"> 进行定价。</w:t>
      </w:r>
    </w:p>
    <w:p w14:paraId="77FCE85D">
      <w:pPr>
        <w:pStyle w:val="3"/>
        <w:bidi w:val="0"/>
      </w:pPr>
      <w:bookmarkStart w:id="2" w:name="_Toc25390"/>
      <w:r>
        <w:t xml:space="preserve">1.2 </w:t>
      </w:r>
      <w:r>
        <w:rPr>
          <w:rFonts w:hint="eastAsia"/>
        </w:rPr>
        <w:t>定价方法概述</w:t>
      </w:r>
      <w:bookmarkEnd w:id="2"/>
      <w:bookmarkStart w:id="24" w:name="_GoBack"/>
      <w:bookmarkEnd w:id="24"/>
    </w:p>
    <w:p w14:paraId="17A77844">
      <w:pPr>
        <w:pStyle w:val="11"/>
        <w:keepNext w:val="0"/>
        <w:keepLines w:val="0"/>
        <w:pageBreakBefore w:val="0"/>
        <w:widowControl/>
        <w:kinsoku w:val="0"/>
        <w:wordWrap/>
        <w:overflowPunct/>
        <w:topLinePunct w:val="0"/>
        <w:autoSpaceDE w:val="0"/>
        <w:autoSpaceDN w:val="0"/>
        <w:bidi w:val="0"/>
        <w:adjustRightInd w:val="0"/>
        <w:snapToGrid w:val="0"/>
        <w:spacing w:line="300" w:lineRule="auto"/>
        <w:ind w:firstLine="420" w:firstLineChars="0"/>
        <w:textAlignment w:val="baseline"/>
        <w:rPr>
          <w:rFonts w:hint="eastAsia" w:ascii="Times New Roman" w:hAnsi="Times New Roman" w:eastAsia="宋体" w:cs="Times New Roman"/>
          <w:kern w:val="2"/>
          <w:sz w:val="24"/>
          <w:szCs w:val="21"/>
          <w:lang w:val="en-US" w:eastAsia="zh-CN" w:bidi="ar-SA"/>
          <w14:ligatures w14:val="standardContextual"/>
        </w:rPr>
      </w:pPr>
      <w:r>
        <w:rPr>
          <w:rFonts w:hint="eastAsia" w:ascii="Times New Roman" w:hAnsi="Times New Roman" w:eastAsia="宋体" w:cs="Times New Roman"/>
          <w:kern w:val="2"/>
          <w:sz w:val="24"/>
          <w:szCs w:val="21"/>
          <w:lang w:val="en-US" w:eastAsia="zh-CN" w:bidi="ar-SA"/>
          <w14:ligatures w14:val="standardContextual"/>
        </w:rPr>
        <w:t>由于衍生品 X 涉及奇异收益和复合结构，传统的 Black-Scholes 模型不再适用。本项目采用两种数值方法进行定价：</w:t>
      </w:r>
    </w:p>
    <w:p w14:paraId="4FDE4101">
      <w:pPr>
        <w:pStyle w:val="11"/>
        <w:keepNext w:val="0"/>
        <w:keepLines w:val="0"/>
        <w:pageBreakBefore w:val="0"/>
        <w:widowControl/>
        <w:kinsoku w:val="0"/>
        <w:wordWrap/>
        <w:overflowPunct/>
        <w:topLinePunct w:val="0"/>
        <w:autoSpaceDE w:val="0"/>
        <w:autoSpaceDN w:val="0"/>
        <w:bidi w:val="0"/>
        <w:adjustRightInd w:val="0"/>
        <w:snapToGrid w:val="0"/>
        <w:spacing w:line="300" w:lineRule="auto"/>
        <w:ind w:firstLine="420" w:firstLineChars="0"/>
        <w:textAlignment w:val="baseline"/>
        <w:rPr>
          <w:rFonts w:hint="eastAsia" w:ascii="Times New Roman" w:hAnsi="Times New Roman" w:eastAsia="宋体" w:cs="Times New Roman"/>
          <w:kern w:val="2"/>
          <w:sz w:val="24"/>
          <w:szCs w:val="21"/>
          <w:lang w:val="en-US" w:eastAsia="zh-CN" w:bidi="ar-SA"/>
          <w14:ligatures w14:val="standardContextual"/>
        </w:rPr>
      </w:pPr>
      <w:r>
        <w:rPr>
          <w:rFonts w:hint="eastAsia" w:ascii="Times New Roman" w:hAnsi="Times New Roman" w:eastAsia="宋体" w:cs="Times New Roman"/>
          <w:kern w:val="2"/>
          <w:sz w:val="24"/>
          <w:szCs w:val="21"/>
          <w:lang w:val="en-US" w:eastAsia="zh-CN" w:bidi="ar-SA"/>
          <w14:ligatures w14:val="standardContextual"/>
        </w:rPr>
        <w:t>二项式定价模型 (Binomial Model)：基于离散时间步长，采用风险中性定价原理，通过回溯计算期权价值。</w:t>
      </w:r>
    </w:p>
    <w:p w14:paraId="3C23FF9C">
      <w:pPr>
        <w:pStyle w:val="11"/>
        <w:keepNext w:val="0"/>
        <w:keepLines w:val="0"/>
        <w:pageBreakBefore w:val="0"/>
        <w:widowControl/>
        <w:kinsoku w:val="0"/>
        <w:wordWrap/>
        <w:overflowPunct/>
        <w:topLinePunct w:val="0"/>
        <w:autoSpaceDE w:val="0"/>
        <w:autoSpaceDN w:val="0"/>
        <w:bidi w:val="0"/>
        <w:adjustRightInd w:val="0"/>
        <w:snapToGrid w:val="0"/>
        <w:spacing w:line="300" w:lineRule="auto"/>
        <w:ind w:firstLine="420" w:firstLineChars="0"/>
        <w:textAlignment w:val="baseline"/>
        <w:rPr>
          <w:rFonts w:hint="eastAsia" w:ascii="Times New Roman" w:hAnsi="Times New Roman" w:eastAsia="宋体" w:cs="Times New Roman"/>
          <w:kern w:val="2"/>
          <w:sz w:val="24"/>
          <w:szCs w:val="21"/>
          <w:lang w:val="en-US" w:eastAsia="zh-CN" w:bidi="ar-SA"/>
          <w14:ligatures w14:val="standardContextual"/>
        </w:rPr>
      </w:pPr>
      <w:r>
        <w:rPr>
          <w:rFonts w:hint="eastAsia" w:ascii="Times New Roman" w:hAnsi="Times New Roman" w:eastAsia="宋体" w:cs="Times New Roman"/>
          <w:kern w:val="2"/>
          <w:sz w:val="24"/>
          <w:szCs w:val="21"/>
          <w:lang w:val="en-US" w:eastAsia="zh-CN" w:bidi="ar-SA"/>
          <w14:ligatures w14:val="standardContextual"/>
        </w:rPr>
        <w:t xml:space="preserve">蒙特卡洛模拟 (Monte Carlo Simulation, MCS)：通过大量路径模拟标的资产价格，计算期权收益的期望值，并折现。对于内层美式期权 </w:t>
      </w:r>
      <m:oMath>
        <m:sSub>
          <m:sSubPr>
            <m:ctrlPr>
              <w:rPr>
                <w:rFonts w:hint="eastAsia" w:ascii="Cambria Math" w:hAnsi="Cambria Math" w:eastAsia="宋体" w:cs="Times New Roman"/>
                <w:kern w:val="2"/>
                <w:sz w:val="24"/>
                <w:szCs w:val="21"/>
                <w:lang w:val="en-US" w:eastAsia="zh-CN" w:bidi="ar-SA"/>
                <w14:ligatures w14:val="standardContextual"/>
              </w:rPr>
            </m:ctrlPr>
          </m:sSubPr>
          <m:e>
            <m:r>
              <m:rPr>
                <m:sty m:val="p"/>
              </m:rPr>
              <w:rPr>
                <w:rFonts w:hint="eastAsia" w:ascii="Times New Roman" w:hAnsi="Times New Roman" w:eastAsia="宋体" w:cs="Times New Roman"/>
                <w:kern w:val="2"/>
                <w:sz w:val="24"/>
                <w:szCs w:val="21"/>
                <w:lang w:val="en-US" w:eastAsia="zh-CN" w:bidi="ar-SA"/>
                <w14:ligatures w14:val="standardContextual"/>
              </w:rPr>
              <m:t>V</m:t>
            </m:r>
            <m:ctrlPr>
              <w:rPr>
                <w:rFonts w:hint="eastAsia" w:ascii="Cambria Math" w:hAnsi="Cambria Math" w:eastAsia="宋体" w:cs="Times New Roman"/>
                <w:kern w:val="2"/>
                <w:sz w:val="24"/>
                <w:szCs w:val="21"/>
                <w:lang w:val="en-US" w:eastAsia="zh-CN" w:bidi="ar-SA"/>
                <w14:ligatures w14:val="standardContextual"/>
              </w:rPr>
            </m:ctrlPr>
          </m:e>
          <m:sub>
            <m:r>
              <m:rPr>
                <m:sty m:val="p"/>
              </m:rPr>
              <w:rPr>
                <w:rFonts w:hint="eastAsia" w:ascii="Times New Roman" w:hAnsi="Times New Roman" w:eastAsia="宋体" w:cs="Times New Roman"/>
                <w:kern w:val="2"/>
                <w:sz w:val="24"/>
                <w:szCs w:val="21"/>
                <w:lang w:val="en-US" w:eastAsia="zh-CN" w:bidi="ar-SA"/>
                <w14:ligatures w14:val="standardContextual"/>
              </w:rPr>
              <m:t>1</m:t>
            </m:r>
            <m:ctrlPr>
              <w:rPr>
                <w:rFonts w:hint="eastAsia" w:ascii="Cambria Math" w:hAnsi="Cambria Math" w:eastAsia="宋体" w:cs="Times New Roman"/>
                <w:kern w:val="2"/>
                <w:sz w:val="24"/>
                <w:szCs w:val="21"/>
                <w:lang w:val="en-US" w:eastAsia="zh-CN" w:bidi="ar-SA"/>
                <w14:ligatures w14:val="standardContextual"/>
              </w:rPr>
            </m:ctrlPr>
          </m:sub>
        </m:sSub>
      </m:oMath>
      <w:r>
        <w:rPr>
          <w:rFonts w:hint="eastAsia" w:ascii="Times New Roman" w:hAnsi="Times New Roman" w:eastAsia="宋体" w:cs="Times New Roman"/>
          <w:kern w:val="2"/>
          <w:sz w:val="24"/>
          <w:szCs w:val="21"/>
          <w:lang w:val="en-US" w:eastAsia="zh-CN" w:bidi="ar-SA"/>
          <w14:ligatures w14:val="standardContextual"/>
        </w:rPr>
        <w:t>，结合了 Longstaff-Schwartz (LSM) 方法处理提前行权的优化问题。</w:t>
      </w:r>
    </w:p>
    <w:p w14:paraId="2932FF41">
      <w:pPr>
        <w:pStyle w:val="3"/>
        <w:bidi w:val="0"/>
        <w:rPr>
          <w:rFonts w:hint="default"/>
          <w:lang w:val="en-US" w:eastAsia="zh-CN"/>
        </w:rPr>
      </w:pPr>
      <w:bookmarkStart w:id="3" w:name="_Toc4285"/>
      <w:r>
        <w:rPr>
          <w:rFonts w:hint="eastAsia"/>
          <w:lang w:val="en-US" w:eastAsia="zh-CN"/>
        </w:rPr>
        <w:t>1.3 本文定价前提假设</w:t>
      </w:r>
      <w:bookmarkEnd w:id="3"/>
    </w:p>
    <w:p w14:paraId="309E78AF">
      <w:pPr>
        <w:pStyle w:val="11"/>
        <w:keepNext w:val="0"/>
        <w:keepLines w:val="0"/>
        <w:pageBreakBefore w:val="0"/>
        <w:widowControl/>
        <w:kinsoku w:val="0"/>
        <w:wordWrap/>
        <w:overflowPunct/>
        <w:topLinePunct w:val="0"/>
        <w:autoSpaceDE w:val="0"/>
        <w:autoSpaceDN w:val="0"/>
        <w:bidi w:val="0"/>
        <w:adjustRightInd w:val="0"/>
        <w:snapToGrid w:val="0"/>
        <w:spacing w:line="300" w:lineRule="auto"/>
        <w:ind w:firstLine="420" w:firstLineChars="0"/>
        <w:textAlignment w:val="baseline"/>
        <w:rPr>
          <w:rFonts w:hint="eastAsia" w:ascii="宋体" w:hAnsi="宋体" w:eastAsia="宋体" w:cs="宋体"/>
          <w:snapToGrid/>
          <w:color w:val="auto"/>
          <w:kern w:val="2"/>
          <w:sz w:val="24"/>
          <w:szCs w:val="24"/>
          <w:lang w:val="en-US" w:eastAsia="zh-CN" w:bidi="ar-SA"/>
          <w14:ligatures w14:val="standardContextual"/>
        </w:rPr>
      </w:pPr>
      <w:r>
        <w:rPr>
          <w:rFonts w:hint="eastAsia" w:ascii="宋体" w:hAnsi="宋体" w:eastAsia="宋体" w:cs="宋体"/>
          <w:snapToGrid/>
          <w:color w:val="auto"/>
          <w:kern w:val="2"/>
          <w:sz w:val="24"/>
          <w:szCs w:val="24"/>
          <w:lang w:val="en-US" w:eastAsia="zh-CN" w:bidi="ar-SA"/>
          <w14:ligatures w14:val="standardContextual"/>
        </w:rPr>
        <w:t xml:space="preserve">标的资产 </w:t>
      </w:r>
      <m:oMath>
        <m:r>
          <m:rPr>
            <m:sty m:val="p"/>
          </m:rPr>
          <w:rPr>
            <w:rFonts w:hint="eastAsia" w:ascii="Cambria Math" w:hAnsi="Cambria Math" w:eastAsia="宋体" w:cs="宋体"/>
            <w:snapToGrid/>
            <w:color w:val="auto"/>
            <w:kern w:val="2"/>
            <w:sz w:val="24"/>
            <w:szCs w:val="24"/>
            <w:lang w:val="en-US" w:eastAsia="zh-CN" w:bidi="ar-SA"/>
            <w14:ligatures w14:val="standardContextual"/>
          </w:rPr>
          <m:t>S</m:t>
        </m:r>
      </m:oMath>
      <w:r>
        <w:rPr>
          <w:rFonts w:hint="eastAsia" w:ascii="宋体" w:hAnsi="宋体" w:eastAsia="宋体" w:cs="宋体"/>
          <w:snapToGrid/>
          <w:color w:val="auto"/>
          <w:kern w:val="2"/>
          <w:sz w:val="24"/>
          <w:szCs w:val="24"/>
          <w:lang w:val="en-US" w:eastAsia="zh-CN" w:bidi="ar-SA"/>
          <w14:ligatures w14:val="standardContextual"/>
        </w:rPr>
        <w:t xml:space="preserve"> 的价格服从几何布朗运动 (Geometric Brownian Motion, GBM)</w:t>
      </w:r>
    </w:p>
    <w:p w14:paraId="02B3C6CA">
      <w:pPr>
        <w:pStyle w:val="11"/>
        <w:keepNext w:val="0"/>
        <w:keepLines w:val="0"/>
        <w:pageBreakBefore w:val="0"/>
        <w:widowControl/>
        <w:kinsoku w:val="0"/>
        <w:wordWrap/>
        <w:overflowPunct/>
        <w:topLinePunct w:val="0"/>
        <w:autoSpaceDE w:val="0"/>
        <w:autoSpaceDN w:val="0"/>
        <w:bidi w:val="0"/>
        <w:adjustRightInd w:val="0"/>
        <w:snapToGrid w:val="0"/>
        <w:spacing w:line="300" w:lineRule="auto"/>
        <w:ind w:firstLine="420" w:firstLineChars="0"/>
        <w:textAlignment w:val="baseline"/>
        <w:rPr>
          <w:rFonts w:hint="eastAsia" w:ascii="宋体" w:hAnsi="宋体" w:eastAsia="宋体" w:cs="宋体"/>
          <w:snapToGrid/>
          <w:color w:val="auto"/>
          <w:kern w:val="2"/>
          <w:sz w:val="24"/>
          <w:szCs w:val="24"/>
          <w:lang w:val="en-US" w:eastAsia="zh-CN" w:bidi="ar-SA"/>
          <w14:ligatures w14:val="standardContextual"/>
        </w:rPr>
      </w:pPr>
      <w:r>
        <w:rPr>
          <w:rFonts w:hint="eastAsia" w:ascii="宋体" w:hAnsi="宋体" w:eastAsia="宋体" w:cs="宋体"/>
          <w:snapToGrid/>
          <w:color w:val="auto"/>
          <w:kern w:val="2"/>
          <w:sz w:val="24"/>
          <w:szCs w:val="24"/>
          <w:lang w:val="en-US" w:eastAsia="zh-CN" w:bidi="ar-SA"/>
          <w14:ligatures w14:val="standardContextual"/>
        </w:rPr>
        <w:t>市场是无摩擦的（无交易成本、税收），且连续交易</w:t>
      </w:r>
    </w:p>
    <w:p w14:paraId="141AD171">
      <w:pPr>
        <w:pStyle w:val="11"/>
        <w:keepNext w:val="0"/>
        <w:keepLines w:val="0"/>
        <w:pageBreakBefore w:val="0"/>
        <w:widowControl/>
        <w:kinsoku w:val="0"/>
        <w:wordWrap/>
        <w:overflowPunct/>
        <w:topLinePunct w:val="0"/>
        <w:autoSpaceDE w:val="0"/>
        <w:autoSpaceDN w:val="0"/>
        <w:bidi w:val="0"/>
        <w:adjustRightInd w:val="0"/>
        <w:snapToGrid w:val="0"/>
        <w:spacing w:line="300" w:lineRule="auto"/>
        <w:ind w:firstLine="420" w:firstLineChars="0"/>
        <w:textAlignment w:val="baseline"/>
        <w:rPr>
          <w:rFonts w:hint="eastAsia" w:ascii="宋体" w:hAnsi="宋体" w:eastAsia="宋体" w:cs="宋体"/>
          <w:snapToGrid/>
          <w:color w:val="auto"/>
          <w:kern w:val="2"/>
          <w:sz w:val="24"/>
          <w:szCs w:val="24"/>
          <w:lang w:val="en-US" w:eastAsia="zh-CN" w:bidi="ar-SA"/>
          <w14:ligatures w14:val="standardContextual"/>
        </w:rPr>
      </w:pPr>
      <w:r>
        <w:rPr>
          <w:rFonts w:hint="eastAsia" w:ascii="宋体" w:hAnsi="宋体" w:eastAsia="宋体" w:cs="宋体"/>
          <w:snapToGrid/>
          <w:color w:val="auto"/>
          <w:kern w:val="2"/>
          <w:sz w:val="24"/>
          <w:szCs w:val="24"/>
          <w:lang w:val="en-US" w:eastAsia="zh-CN" w:bidi="ar-SA"/>
          <w14:ligatures w14:val="standardContextual"/>
        </w:rPr>
        <w:t>无套利机会存在</w:t>
      </w:r>
    </w:p>
    <w:p w14:paraId="1CBC36F7">
      <w:pPr>
        <w:rPr>
          <w:rFonts w:hint="eastAsia"/>
          <w:lang w:val="en-US" w:eastAsia="zh-CN"/>
        </w:rPr>
      </w:pPr>
    </w:p>
    <w:p w14:paraId="261793D3">
      <w:pPr>
        <w:pStyle w:val="2"/>
        <w:numPr>
          <w:ilvl w:val="0"/>
          <w:numId w:val="1"/>
        </w:numPr>
        <w:bidi w:val="0"/>
        <w:ind w:left="0" w:leftChars="0" w:firstLine="0" w:firstLineChars="0"/>
        <w:rPr>
          <w:rFonts w:hint="eastAsia"/>
          <w:lang w:val="en-US" w:eastAsia="zh-CN"/>
        </w:rPr>
      </w:pPr>
      <w:bookmarkStart w:id="4" w:name="_Toc19930"/>
      <w:r>
        <w:rPr>
          <w:rFonts w:hint="eastAsia"/>
          <w:lang w:val="en-US" w:eastAsia="zh-CN"/>
        </w:rPr>
        <w:t>标的资产</w:t>
      </w:r>
      <w:bookmarkEnd w:id="4"/>
    </w:p>
    <w:p w14:paraId="619F8ED4">
      <w:pPr>
        <w:pStyle w:val="3"/>
        <w:bidi w:val="0"/>
        <w:rPr>
          <w:rFonts w:hint="eastAsia"/>
          <w:lang w:val="en-US" w:eastAsia="zh-CN"/>
        </w:rPr>
      </w:pPr>
      <w:bookmarkStart w:id="5" w:name="_Toc28626"/>
      <w:r>
        <w:rPr>
          <w:rFonts w:hint="eastAsia"/>
          <w:lang w:val="en-US" w:eastAsia="zh-CN"/>
        </w:rPr>
        <w:t>2.1 标的资产介绍</w:t>
      </w:r>
      <w:bookmarkEnd w:id="5"/>
    </w:p>
    <w:p w14:paraId="5E4908E9">
      <w:pPr>
        <w:numPr>
          <w:ilvl w:val="0"/>
          <w:numId w:val="0"/>
        </w:numPr>
        <w:ind w:leftChars="0" w:firstLine="420" w:firstLineChars="0"/>
        <w:rPr>
          <w:rFonts w:hint="eastAsia"/>
          <w:lang w:val="en-US" w:eastAsia="zh-CN"/>
        </w:rPr>
      </w:pPr>
      <w:r>
        <w:rPr>
          <w:rFonts w:ascii="宋体" w:hAnsi="宋体" w:eastAsia="宋体" w:cs="宋体"/>
          <w:sz w:val="24"/>
          <w:szCs w:val="24"/>
        </w:rPr>
        <w:t>本文选取腾讯控股有限公司（Tencent Holdings Limited, 股票代码：0700.HK）作为期权定价研究的标的资产。在市场特性方面，港股市场进行 T+0 回转交易，不设涨跌幅限制，日内价格波动更能反映投资者对新信息的即时反应</w:t>
      </w:r>
      <w:r>
        <w:rPr>
          <w:rFonts w:hint="eastAsia" w:ascii="宋体" w:hAnsi="宋体" w:cs="宋体"/>
          <w:sz w:val="24"/>
          <w:szCs w:val="24"/>
          <w:lang w:eastAsia="zh-CN"/>
        </w:rPr>
        <w:t>，</w:t>
      </w:r>
      <w:r>
        <w:rPr>
          <w:rFonts w:ascii="宋体" w:hAnsi="宋体" w:eastAsia="宋体" w:cs="宋体"/>
          <w:sz w:val="24"/>
          <w:szCs w:val="24"/>
        </w:rPr>
        <w:t>这一特点使其适合作为期权定价与波动率研究的标的资产。在分红政策方面，腾讯实行定期派息，其股息率相对温和但具有稳定性。因此，在构建欧式期权定价模型时，</w:t>
      </w:r>
      <w:r>
        <w:rPr>
          <w:rFonts w:hint="eastAsia" w:ascii="宋体" w:hAnsi="宋体" w:cs="宋体"/>
          <w:sz w:val="24"/>
          <w:szCs w:val="24"/>
          <w:lang w:val="en-US" w:eastAsia="zh-CN"/>
        </w:rPr>
        <w:t>需</w:t>
      </w:r>
      <w:r>
        <w:rPr>
          <w:rFonts w:ascii="宋体" w:hAnsi="宋体" w:eastAsia="宋体" w:cs="宋体"/>
          <w:sz w:val="24"/>
          <w:szCs w:val="24"/>
        </w:rPr>
        <w:t>将股息收益率纳入贴现与漂移项的处理之中，以保证定价的准确性。</w:t>
      </w:r>
    </w:p>
    <w:p w14:paraId="27C44568">
      <w:pPr>
        <w:pStyle w:val="3"/>
        <w:bidi w:val="0"/>
        <w:rPr>
          <w:rFonts w:hint="eastAsia"/>
          <w:lang w:val="en-US" w:eastAsia="zh-CN"/>
        </w:rPr>
      </w:pPr>
      <w:bookmarkStart w:id="6" w:name="_Toc15853"/>
      <w:r>
        <w:rPr>
          <w:rFonts w:hint="eastAsia"/>
          <w:lang w:val="en-US" w:eastAsia="zh-CN"/>
        </w:rPr>
        <w:t>2.2 历史波动率</w:t>
      </w:r>
      <w:bookmarkEnd w:id="6"/>
    </w:p>
    <w:p w14:paraId="48C64F24">
      <w:pPr>
        <w:numPr>
          <w:ilvl w:val="0"/>
          <w:numId w:val="0"/>
        </w:numPr>
        <w:ind w:leftChars="0" w:firstLine="420" w:firstLineChars="0"/>
        <w:rPr>
          <w:rFonts w:hint="eastAsia" w:hAnsi="Cambria Math"/>
          <w:i w:val="0"/>
          <w:lang w:val="en-US" w:eastAsia="zh-CN"/>
        </w:rPr>
      </w:pPr>
      <w:r>
        <w:rPr>
          <w:rFonts w:hint="eastAsia"/>
          <w:lang w:val="en-US" w:eastAsia="zh-CN"/>
        </w:rPr>
        <w:t>股票的波动率</w:t>
      </w:r>
      <m:oMath>
        <m:r>
          <m:rPr/>
          <w:rPr>
            <w:rFonts w:ascii="Cambria Math" w:hAnsi="Cambria Math"/>
            <w:lang w:val="en-US"/>
          </w:rPr>
          <m:t>σ</m:t>
        </m:r>
      </m:oMath>
      <w:r>
        <w:rPr>
          <w:rFonts w:hint="eastAsia" w:hAnsi="Cambria Math"/>
          <w:i w:val="0"/>
          <w:lang w:val="en-US" w:eastAsia="zh-CN"/>
        </w:rPr>
        <w:t>用于度量股票收益产生的不确定性，在本文中定义为股价年化连续复利收益率的标准差，股票的波动率通常介于15%-60%之间(John Haul, 1988)。对于历史波动率的估计，通常是用固定区间内的股票价格数据进行标准差计算。</w:t>
      </w:r>
    </w:p>
    <w:p w14:paraId="6A85C472">
      <w:pPr>
        <w:numPr>
          <w:ilvl w:val="0"/>
          <w:numId w:val="0"/>
        </w:numPr>
        <w:ind w:leftChars="0" w:firstLine="420" w:firstLineChars="0"/>
        <w:rPr>
          <w:rFonts w:hint="eastAsia" w:hAnsi="Cambria Math" w:eastAsia="宋体"/>
          <w:i w:val="0"/>
          <w:lang w:val="en-US" w:eastAsia="zh-CN"/>
        </w:rPr>
      </w:pPr>
      <w:r>
        <w:rPr>
          <w:rFonts w:hint="eastAsia" w:hAnsi="Cambria Math"/>
          <w:i w:val="0"/>
          <w:lang w:val="en-US" w:eastAsia="zh-CN"/>
        </w:rPr>
        <w:t>具体的，对于n个观测日的n个股票收盘价观测值</w:t>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w:r>
        <w:rPr>
          <w:rFonts w:hint="eastAsia" w:hAnsi="Cambria Math"/>
          <w:i w:val="0"/>
          <w:lang w:val="en-US" w:eastAsia="zh-CN"/>
        </w:rPr>
        <w:t>，我们定义股票的对数收益率</w:t>
      </w:r>
      <m:oMath>
        <m:sSub>
          <m:sSubPr>
            <m:ctrlPr>
              <w:rPr>
                <w:rFonts w:hint="default" w:ascii="Cambria Math" w:hAnsi="Cambria Math" w:eastAsia="宋体"/>
                <w:sz w:val="24"/>
              </w:rPr>
            </m:ctrlPr>
          </m:sSubPr>
          <m:e>
            <m:r>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w:r>
        <w:rPr>
          <w:rFonts w:hint="eastAsia" w:hAnsi="Cambria Math"/>
          <w:i w:val="0"/>
          <w:sz w:val="24"/>
          <w:lang w:val="en-US" w:eastAsia="zh-CN"/>
        </w:rPr>
        <w:t>为：</w:t>
      </w:r>
    </w:p>
    <w:p w14:paraId="1C828BA5">
      <w:pPr>
        <w:numPr>
          <w:ilvl w:val="0"/>
          <w:numId w:val="0"/>
        </w:numPr>
        <w:ind w:leftChars="0" w:firstLine="420" w:firstLineChars="0"/>
        <w:rPr>
          <w:rFonts w:hint="eastAsia" w:hAnsi="Cambria Math" w:eastAsia="宋体" w:cs="Times New Roman"/>
          <w:i w:val="0"/>
          <w:kern w:val="2"/>
          <w:sz w:val="24"/>
          <w:szCs w:val="21"/>
          <w:lang w:val="en-US" w:eastAsia="zh-CN" w:bidi="ar-SA"/>
          <w14:ligatures w14:val="standardContextual"/>
        </w:rPr>
      </w:pPr>
      <m:oMathPara>
        <m:oMath>
          <m:sSub>
            <m:sSubPr>
              <m:ctrlPr>
                <w:rPr>
                  <w:rFonts w:hint="default" w:ascii="Cambria Math" w:hAnsi="Cambria Math" w:eastAsia="宋体"/>
                  <w:sz w:val="24"/>
                </w:rPr>
              </m:ctrlPr>
            </m:sSubPr>
            <m:e>
              <m:r>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ln</m:t>
              </m:r>
              <m:ctrlPr>
                <w:rPr>
                  <w:rFonts w:ascii="Cambria Math" w:hAnsi="Cambria Math" w:eastAsia="宋体"/>
                  <w:sz w:val="24"/>
                </w:rPr>
              </m:ctrlPr>
            </m:fName>
            <m:e>
              <m:d>
                <m:dPr>
                  <m:ctrlPr>
                    <w:rPr>
                      <w:rFonts w:hint="default" w:ascii="Cambria Math" w:hAnsi="Cambria Math" w:eastAsia="宋体"/>
                      <w:i/>
                      <w:sz w:val="24"/>
                    </w:rPr>
                  </m:ctrlPr>
                </m:dPr>
                <m:e>
                  <m:f>
                    <m:fPr>
                      <m:ctrlPr>
                        <w:rPr>
                          <w:rFonts w:hint="default" w:ascii="Cambria Math" w:hAnsi="Cambria Math" w:eastAsia="宋体"/>
                          <w:i/>
                          <w:sz w:val="24"/>
                        </w:rPr>
                      </m:ctrlPr>
                    </m:fPr>
                    <m:num>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i−1</m:t>
                          </m:r>
                          <m:ctrlPr>
                            <w:rPr>
                              <w:rFonts w:ascii="Cambria Math" w:hAnsi="Cambria Math" w:eastAsia="宋体"/>
                              <w:sz w:val="24"/>
                            </w:rPr>
                          </m:ctrlPr>
                        </m:sub>
                      </m:sSub>
                      <m:ctrlPr>
                        <w:rPr>
                          <w:rFonts w:hint="default" w:ascii="Cambria Math" w:hAnsi="Cambria Math" w:eastAsia="宋体"/>
                          <w:sz w:val="24"/>
                        </w:rPr>
                      </m:ctrlPr>
                    </m:den>
                  </m:f>
                  <m:ctrlPr>
                    <w:rPr>
                      <w:rFonts w:hint="default" w:ascii="Cambria Math" w:hAnsi="Cambria Math" w:eastAsia="宋体"/>
                      <w:i/>
                      <w:sz w:val="24"/>
                    </w:rPr>
                  </m:ctrlPr>
                </m:e>
              </m:d>
              <m:ctrlPr>
                <w:rPr>
                  <w:rFonts w:hint="default" w:ascii="Cambria Math" w:hAnsi="Cambria Math" w:eastAsia="宋体"/>
                  <w:i/>
                  <w:sz w:val="24"/>
                </w:rPr>
              </m:ctrlPr>
            </m:e>
          </m:func>
          <m:r>
            <m:rPr/>
            <w:rPr>
              <w:rFonts w:hint="default" w:ascii="Cambria Math" w:hAnsi="Cambria Math" w:eastAsia="宋体"/>
              <w:sz w:val="24"/>
            </w:rPr>
            <m:t>, i=1,2,…,n</m:t>
          </m:r>
        </m:oMath>
      </m:oMathPara>
    </w:p>
    <w:p w14:paraId="494BF22C">
      <w:pPr>
        <w:numPr>
          <w:ilvl w:val="0"/>
          <w:numId w:val="0"/>
        </w:numPr>
        <w:ind w:firstLine="420" w:firstLineChars="0"/>
        <w:rPr>
          <w:rFonts w:hint="eastAsia" w:hAnsi="Cambria Math" w:cs="Times New Roman"/>
          <w:i w:val="0"/>
          <w:kern w:val="2"/>
          <w:sz w:val="24"/>
          <w:szCs w:val="21"/>
          <w:lang w:val="en-US" w:eastAsia="zh-CN" w:bidi="ar-SA"/>
          <w14:ligatures w14:val="standardContextual"/>
        </w:rPr>
      </w:pPr>
      <w:r>
        <w:rPr>
          <w:rFonts w:hint="eastAsia" w:hAnsi="Cambria Math" w:cs="Times New Roman"/>
          <w:i w:val="0"/>
          <w:kern w:val="2"/>
          <w:sz w:val="24"/>
          <w:szCs w:val="21"/>
          <w:lang w:val="en-US" w:eastAsia="zh-CN" w:bidi="ar-SA"/>
          <w14:ligatures w14:val="standardContextual"/>
        </w:rPr>
        <w:t>收益率的标准差估计值s为：</w:t>
      </w:r>
    </w:p>
    <w:p w14:paraId="21754A16">
      <w:pPr>
        <w:numPr>
          <w:ilvl w:val="0"/>
          <w:numId w:val="0"/>
        </w:numPr>
        <w:ind w:firstLine="420" w:firstLineChars="0"/>
        <w:rPr>
          <w:rFonts w:hint="eastAsia" w:hAnsi="Cambria Math" w:eastAsia="宋体" w:cs="Times New Roman"/>
          <w:i w:val="0"/>
          <w:kern w:val="2"/>
          <w:sz w:val="24"/>
          <w:szCs w:val="21"/>
          <w:lang w:val="en-US" w:eastAsia="zh-CN" w:bidi="ar-SA"/>
          <w14:ligatures w14:val="standardContextual"/>
        </w:rPr>
      </w:pPr>
      <m:oMathPara>
        <m:oMath>
          <m:r>
            <m:rPr/>
            <w:rPr>
              <w:rFonts w:hint="default" w:ascii="Cambria Math" w:hAnsi="Cambria Math" w:eastAsia="宋体"/>
              <w:sz w:val="24"/>
            </w:rPr>
            <m:t>s=</m:t>
          </m:r>
          <m:rad>
            <m:radPr>
              <m:degHide m:val="1"/>
              <m:ctrlPr>
                <w:rPr>
                  <w:rFonts w:hint="default" w:ascii="Cambria Math" w:hAnsi="Cambria Math" w:eastAsia="宋体"/>
                  <w:i/>
                  <w:sz w:val="24"/>
                </w:rPr>
              </m:ctrlPr>
            </m:radPr>
            <m:deg>
              <m:ctrlPr>
                <w:rPr>
                  <w:rFonts w:ascii="Cambria Math" w:hAnsi="Cambria Math" w:eastAsia="宋体"/>
                  <w:sz w:val="24"/>
                </w:rPr>
              </m:ctrlPr>
            </m:deg>
            <m:e>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n−1</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acc>
                <m:accPr>
                  <m:chr m:val="̄"/>
                  <m:ctrlPr>
                    <w:rPr>
                      <w:rFonts w:hint="default" w:ascii="Cambria Math" w:hAnsi="Cambria Math" w:eastAsia="宋体"/>
                      <w:sz w:val="24"/>
                    </w:rPr>
                  </m:ctrlPr>
                </m:accPr>
                <m:e>
                  <m:r>
                    <m:rPr/>
                    <w:rPr>
                      <w:rFonts w:hint="default" w:ascii="Cambria Math" w:hAnsi="Cambria Math" w:eastAsia="宋体"/>
                      <w:sz w:val="24"/>
                    </w:rPr>
                    <m:t>u</m:t>
                  </m:r>
                  <m:ctrlPr>
                    <w:rPr>
                      <w:rFonts w:ascii="Cambria Math" w:hAnsi="Cambria Math" w:eastAsia="宋体"/>
                      <w:sz w:val="24"/>
                    </w:rPr>
                  </m:ctrlPr>
                </m:e>
              </m:acc>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rad>
        </m:oMath>
      </m:oMathPara>
    </w:p>
    <w:p w14:paraId="058FAE58">
      <w:pPr>
        <w:numPr>
          <w:ilvl w:val="0"/>
          <w:numId w:val="0"/>
        </w:numPr>
        <w:ind w:firstLine="420" w:firstLineChars="0"/>
        <w:rPr>
          <w:rFonts w:hint="eastAsia" w:hAnsi="Cambria Math" w:cs="Times New Roman"/>
          <w:i w:val="0"/>
          <w:kern w:val="2"/>
          <w:sz w:val="24"/>
          <w:szCs w:val="21"/>
          <w:lang w:val="en-US" w:eastAsia="zh-CN" w:bidi="ar-SA"/>
          <w14:ligatures w14:val="standardContextual"/>
        </w:rPr>
      </w:pPr>
      <w:r>
        <w:rPr>
          <w:rFonts w:hint="eastAsia" w:hAnsi="Cambria Math" w:cs="Times New Roman"/>
          <w:i w:val="0"/>
          <w:kern w:val="2"/>
          <w:sz w:val="24"/>
          <w:szCs w:val="21"/>
          <w:lang w:val="en-US" w:eastAsia="zh-CN" w:bidi="ar-SA"/>
          <w14:ligatures w14:val="standardContextual"/>
        </w:rPr>
        <w:t>我们定义以年为单位的时间长度为</w:t>
      </w:r>
      <m:oMath>
        <m:r>
          <m:rPr/>
          <w:rPr>
            <w:rFonts w:ascii="Cambria Math" w:hAnsi="Cambria Math" w:cs="Times New Roman"/>
            <w:kern w:val="2"/>
            <w:sz w:val="24"/>
            <w:szCs w:val="21"/>
            <w:lang w:val="en-US" w:bidi="ar-SA"/>
            <w14:ligatures w14:val="standardContextual"/>
          </w:rPr>
          <m:t>τ</m:t>
        </m:r>
      </m:oMath>
      <w:r>
        <w:rPr>
          <w:rFonts w:hint="eastAsia" w:hAnsi="Cambria Math" w:cs="Times New Roman"/>
          <w:i w:val="0"/>
          <w:kern w:val="2"/>
          <w:sz w:val="24"/>
          <w:szCs w:val="21"/>
          <w:lang w:val="en-US" w:eastAsia="zh-CN" w:bidi="ar-SA"/>
          <w14:ligatures w14:val="standardContextual"/>
        </w:rPr>
        <w:t>，本文取腾讯股票收盘价2024年11月5日到2025年11月5日250个收盘价数据作为观测值，则</w:t>
      </w:r>
      <m:oMath>
        <m:r>
          <m:rPr/>
          <w:rPr>
            <w:rFonts w:ascii="Cambria Math" w:hAnsi="Cambria Math" w:cs="Times New Roman"/>
            <w:kern w:val="2"/>
            <w:sz w:val="24"/>
            <w:szCs w:val="21"/>
            <w:lang w:val="en-US" w:bidi="ar-SA"/>
            <w14:ligatures w14:val="standardContextual"/>
          </w:rPr>
          <m:t>τ</m:t>
        </m:r>
      </m:oMath>
      <w:r>
        <w:rPr>
          <w:rFonts w:hint="eastAsia" w:hAnsi="Cambria Math" w:cs="Times New Roman"/>
          <w:i w:val="0"/>
          <w:kern w:val="2"/>
          <w:sz w:val="24"/>
          <w:szCs w:val="21"/>
          <w:lang w:val="en-US" w:eastAsia="zh-CN" w:bidi="ar-SA"/>
          <w14:ligatures w14:val="standardContextual"/>
        </w:rPr>
        <w:t xml:space="preserve"> = </w:t>
      </w:r>
      <m:oMath>
        <m:f>
          <m:fPr>
            <m:ctrlPr>
              <w:rPr>
                <w:rFonts w:ascii="Cambria Math" w:hAnsi="Cambria Math" w:cs="Times New Roman"/>
                <w:i/>
                <w:kern w:val="2"/>
                <w:sz w:val="24"/>
                <w:szCs w:val="21"/>
                <w:lang w:val="en-US" w:bidi="ar-SA"/>
                <w14:ligatures w14:val="standardContextual"/>
              </w:rPr>
            </m:ctrlPr>
          </m:fPr>
          <m:num>
            <m:r>
              <m:rPr/>
              <w:rPr>
                <w:rFonts w:hint="default" w:ascii="Cambria Math" w:hAnsi="Cambria Math" w:cs="Times New Roman"/>
                <w:kern w:val="2"/>
                <w:sz w:val="24"/>
                <w:szCs w:val="21"/>
                <w:lang w:val="en-US" w:eastAsia="zh-CN" w:bidi="ar-SA"/>
                <w14:ligatures w14:val="standardContextual"/>
              </w:rPr>
              <m:t>1</m:t>
            </m:r>
            <m:ctrlPr>
              <w:rPr>
                <w:rFonts w:ascii="Cambria Math" w:hAnsi="Cambria Math" w:cs="Times New Roman"/>
                <w:i/>
                <w:kern w:val="2"/>
                <w:sz w:val="24"/>
                <w:szCs w:val="21"/>
                <w:lang w:val="en-US" w:bidi="ar-SA"/>
                <w14:ligatures w14:val="standardContextual"/>
              </w:rPr>
            </m:ctrlPr>
          </m:num>
          <m:den>
            <m:r>
              <m:rPr/>
              <w:rPr>
                <w:rFonts w:hint="default" w:ascii="Cambria Math" w:hAnsi="Cambria Math" w:cs="Times New Roman"/>
                <w:kern w:val="2"/>
                <w:sz w:val="24"/>
                <w:szCs w:val="21"/>
                <w:lang w:val="en-US" w:eastAsia="zh-CN" w:bidi="ar-SA"/>
                <w14:ligatures w14:val="standardContextual"/>
              </w:rPr>
              <m:t>250</m:t>
            </m:r>
            <m:ctrlPr>
              <w:rPr>
                <w:rFonts w:ascii="Cambria Math" w:hAnsi="Cambria Math" w:cs="Times New Roman"/>
                <w:i/>
                <w:kern w:val="2"/>
                <w:sz w:val="24"/>
                <w:szCs w:val="21"/>
                <w:lang w:val="en-US" w:bidi="ar-SA"/>
                <w14:ligatures w14:val="standardContextual"/>
              </w:rPr>
            </m:ctrlPr>
          </m:den>
        </m:f>
      </m:oMath>
      <w:r>
        <w:rPr>
          <w:rFonts w:hint="eastAsia" w:hAnsi="Cambria Math" w:cs="Times New Roman"/>
          <w:i w:val="0"/>
          <w:kern w:val="2"/>
          <w:sz w:val="24"/>
          <w:szCs w:val="21"/>
          <w:lang w:val="en-US" w:eastAsia="zh-CN" w:bidi="ar-SA"/>
          <w14:ligatures w14:val="standardContextual"/>
        </w:rPr>
        <w:t xml:space="preserve"> ，则</w:t>
      </w:r>
      <m:oMath>
        <m:r>
          <m:rPr/>
          <w:rPr>
            <w:rFonts w:ascii="Cambria Math" w:hAnsi="Cambria Math"/>
            <w:lang w:val="en-US"/>
          </w:rPr>
          <m:t>σ</m:t>
        </m:r>
      </m:oMath>
      <w:r>
        <w:rPr>
          <w:rFonts w:hint="eastAsia" w:hAnsi="Cambria Math" w:cs="Times New Roman"/>
          <w:i w:val="0"/>
          <w:kern w:val="2"/>
          <w:sz w:val="24"/>
          <w:szCs w:val="21"/>
          <w:lang w:val="en-US" w:eastAsia="zh-CN" w:bidi="ar-SA"/>
          <w14:ligatures w14:val="standardContextual"/>
        </w:rPr>
        <w:t>的估计值可以由下式求得：</w:t>
      </w:r>
    </w:p>
    <w:p w14:paraId="1740E0D0">
      <w:pPr>
        <w:numPr>
          <w:ilvl w:val="0"/>
          <w:numId w:val="0"/>
        </w:numPr>
        <w:ind w:firstLine="420" w:firstLineChars="0"/>
        <w:rPr>
          <w:rFonts w:hint="eastAsia" w:hAnsi="Cambria Math" w:eastAsia="宋体" w:cs="Times New Roman"/>
          <w:i w:val="0"/>
          <w:kern w:val="2"/>
          <w:sz w:val="24"/>
          <w:szCs w:val="21"/>
          <w:lang w:val="en-US" w:eastAsia="zh-CN" w:bidi="ar-SA"/>
          <w14:ligatures w14:val="standardContextual"/>
        </w:rPr>
      </w:pPr>
      <m:oMathPara>
        <m:oMath>
          <m:acc>
            <m:accPr>
              <m:ctrlPr>
                <w:rPr>
                  <w:rFonts w:hint="default" w:ascii="Cambria Math" w:hAnsi="Cambria Math" w:eastAsia="宋体"/>
                  <w:sz w:val="24"/>
                </w:rPr>
              </m:ctrlPr>
            </m:accPr>
            <m:e>
              <m:r>
                <m:rPr/>
                <w:rPr>
                  <w:rFonts w:hint="default" w:ascii="Cambria Math" w:hAnsi="Cambria Math" w:eastAsia="宋体"/>
                  <w:sz w:val="24"/>
                </w:rPr>
                <m:t>σ</m:t>
              </m:r>
              <m:ctrlPr>
                <w:rPr>
                  <w:rFonts w:ascii="Cambria Math" w:hAnsi="Cambria Math" w:eastAsia="宋体"/>
                  <w:sz w:val="24"/>
                </w:rPr>
              </m:ctrlPr>
            </m:e>
          </m:acc>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s</m:t>
              </m:r>
              <m:ctrlPr>
                <w:rPr>
                  <w:rFonts w:ascii="Cambria Math" w:hAnsi="Cambria Math" w:eastAsia="宋体"/>
                  <w:sz w:val="24"/>
                </w:rPr>
              </m:ctrlPr>
            </m:num>
            <m:den>
              <m:rad>
                <m:radPr>
                  <m:degHide m:val="1"/>
                  <m:ctrlPr>
                    <w:rPr>
                      <w:rFonts w:hint="default" w:ascii="Cambria Math" w:hAnsi="Cambria Math" w:eastAsia="宋体"/>
                      <w:i/>
                      <w:sz w:val="24"/>
                    </w:rPr>
                  </m:ctrlPr>
                </m:radPr>
                <m:deg>
                  <m:ctrlPr>
                    <w:rPr>
                      <w:rFonts w:ascii="Cambria Math" w:hAnsi="Cambria Math" w:eastAsia="宋体"/>
                      <w:sz w:val="24"/>
                    </w:rPr>
                  </m:ctrlPr>
                </m:deg>
                <m:e>
                  <m:r>
                    <m:rPr/>
                    <w:rPr>
                      <w:rFonts w:hint="default" w:ascii="Cambria Math" w:hAnsi="Cambria Math" w:eastAsia="宋体"/>
                      <w:sz w:val="24"/>
                    </w:rPr>
                    <m:t>τ</m:t>
                  </m:r>
                  <m:ctrlPr>
                    <w:rPr>
                      <w:rFonts w:ascii="Cambria Math" w:hAnsi="Cambria Math" w:eastAsia="宋体"/>
                      <w:sz w:val="24"/>
                    </w:rPr>
                  </m:ctrlPr>
                </m:e>
              </m:rad>
              <m:ctrlPr>
                <w:rPr>
                  <w:rFonts w:hint="default" w:ascii="Cambria Math" w:hAnsi="Cambria Math" w:eastAsia="宋体"/>
                  <w:i/>
                  <w:sz w:val="24"/>
                </w:rPr>
              </m:ctrlPr>
            </m:den>
          </m:f>
        </m:oMath>
      </m:oMathPara>
    </w:p>
    <w:p w14:paraId="2D4757B4">
      <w:pPr>
        <w:numPr>
          <w:ilvl w:val="0"/>
          <w:numId w:val="0"/>
        </w:numPr>
        <w:ind w:firstLine="420" w:firstLineChars="0"/>
        <w:rPr>
          <w:rFonts w:hint="default" w:hAnsi="Cambria Math" w:cs="Times New Roman"/>
          <w:i w:val="0"/>
          <w:kern w:val="2"/>
          <w:sz w:val="24"/>
          <w:szCs w:val="21"/>
          <w:lang w:val="en-US" w:eastAsia="zh-CN" w:bidi="ar-SA"/>
          <w14:ligatures w14:val="standardContextual"/>
        </w:rPr>
      </w:pPr>
      <w:r>
        <w:rPr>
          <w:rFonts w:hint="eastAsia" w:hAnsi="Cambria Math" w:cs="Times New Roman"/>
          <w:i w:val="0"/>
          <w:kern w:val="2"/>
          <w:sz w:val="24"/>
          <w:szCs w:val="21"/>
          <w:lang w:val="en-US" w:eastAsia="zh-CN" w:bidi="ar-SA"/>
          <w14:ligatures w14:val="standardContextual"/>
        </w:rPr>
        <w:t>该估计值的标准误差大约为</w:t>
      </w:r>
      <m:oMath>
        <m:f>
          <m:fPr>
            <m:ctrlPr>
              <w:rPr>
                <w:rFonts w:hint="default" w:ascii="Cambria Math" w:hAnsi="Cambria Math" w:eastAsia="宋体"/>
                <w:i/>
                <w:sz w:val="24"/>
              </w:rPr>
            </m:ctrlPr>
          </m:fPr>
          <m:num>
            <m:acc>
              <m:accPr>
                <m:ctrlPr>
                  <w:rPr>
                    <w:rFonts w:hint="default" w:ascii="Cambria Math" w:hAnsi="Cambria Math" w:eastAsia="宋体"/>
                    <w:sz w:val="24"/>
                  </w:rPr>
                </m:ctrlPr>
              </m:accPr>
              <m:e>
                <m:r>
                  <m:rPr/>
                  <w:rPr>
                    <w:rFonts w:hint="default" w:ascii="Cambria Math" w:hAnsi="Cambria Math" w:eastAsia="宋体"/>
                    <w:sz w:val="24"/>
                  </w:rPr>
                  <m:t>σ</m:t>
                </m:r>
                <m:ctrlPr>
                  <w:rPr>
                    <w:rFonts w:ascii="Cambria Math" w:hAnsi="Cambria Math" w:eastAsia="宋体"/>
                    <w:sz w:val="24"/>
                  </w:rPr>
                </m:ctrlPr>
              </m:e>
            </m:acc>
            <m:ctrlPr>
              <w:rPr>
                <w:rFonts w:ascii="Cambria Math" w:hAnsi="Cambria Math" w:eastAsia="宋体"/>
                <w:sz w:val="24"/>
              </w:rPr>
            </m:ctrlPr>
          </m:num>
          <m:den>
            <m:rad>
              <m:radPr>
                <m:degHide m:val="1"/>
                <m:ctrlPr>
                  <w:rPr>
                    <w:rFonts w:hint="default" w:ascii="Cambria Math" w:hAnsi="Cambria Math" w:eastAsia="宋体"/>
                    <w:i/>
                    <w:sz w:val="24"/>
                  </w:rPr>
                </m:ctrlPr>
              </m:radPr>
              <m:deg>
                <m:ctrlPr>
                  <w:rPr>
                    <w:rFonts w:ascii="Cambria Math" w:hAnsi="Cambria Math" w:eastAsia="宋体"/>
                    <w:sz w:val="24"/>
                  </w:rPr>
                </m:ctrlPr>
              </m:deg>
              <m:e>
                <m:r>
                  <m:rPr>
                    <m:sty m:val="p"/>
                  </m:rPr>
                  <w:rPr>
                    <w:rFonts w:hint="default" w:ascii="Cambria Math" w:hAnsi="Cambria Math"/>
                    <w:sz w:val="24"/>
                    <w:lang w:val="en-US" w:eastAsia="zh-CN"/>
                  </w:rPr>
                  <m:t>2n</m:t>
                </m:r>
                <m:ctrlPr>
                  <w:rPr>
                    <w:rFonts w:ascii="Cambria Math" w:hAnsi="Cambria Math" w:eastAsia="宋体"/>
                    <w:sz w:val="24"/>
                  </w:rPr>
                </m:ctrlPr>
              </m:e>
            </m:rad>
            <m:ctrlPr>
              <w:rPr>
                <w:rFonts w:hint="default" w:ascii="Cambria Math" w:hAnsi="Cambria Math" w:eastAsia="宋体"/>
                <w:i/>
                <w:sz w:val="24"/>
              </w:rPr>
            </m:ctrlPr>
          </m:den>
        </m:f>
      </m:oMath>
      <w:r>
        <w:rPr>
          <w:rFonts w:hint="eastAsia" w:hAnsi="Cambria Math"/>
          <w:i w:val="0"/>
          <w:sz w:val="24"/>
          <w:lang w:val="en-US" w:eastAsia="zh-CN"/>
        </w:rPr>
        <w:t xml:space="preserve"> 。经计算，腾讯股价在本文研究区间的历史波动率约为0.35, 该估计值的标准误大约为0.0157，即1.57%。</w:t>
      </w:r>
    </w:p>
    <w:p w14:paraId="7320527D">
      <w:pPr>
        <w:pStyle w:val="3"/>
        <w:bidi w:val="0"/>
        <w:rPr>
          <w:rFonts w:hint="eastAsia"/>
          <w:lang w:val="en-US" w:eastAsia="zh-CN"/>
        </w:rPr>
      </w:pPr>
      <w:bookmarkStart w:id="7" w:name="_Toc14276"/>
      <w:r>
        <w:rPr>
          <w:rFonts w:hint="eastAsia"/>
          <w:lang w:val="en-US" w:eastAsia="zh-CN"/>
        </w:rPr>
        <w:t>2.3 隐含波动率</w:t>
      </w:r>
      <w:bookmarkEnd w:id="7"/>
    </w:p>
    <w:p w14:paraId="4A118CBC">
      <w:pPr>
        <w:pStyle w:val="4"/>
        <w:bidi w:val="0"/>
        <w:rPr>
          <w:rFonts w:hint="eastAsia"/>
          <w:lang w:val="en-US" w:eastAsia="zh-CN"/>
        </w:rPr>
      </w:pPr>
      <w:r>
        <w:rPr>
          <w:rFonts w:hint="eastAsia"/>
          <w:lang w:val="en-US" w:eastAsia="zh-CN"/>
        </w:rPr>
        <w:t>2.3.1 隐含波动率的概念</w:t>
      </w:r>
    </w:p>
    <w:p w14:paraId="14A1552C">
      <w:pPr>
        <w:numPr>
          <w:ilvl w:val="0"/>
          <w:numId w:val="0"/>
        </w:numPr>
        <w:ind w:firstLine="420" w:firstLineChars="0"/>
        <w:rPr>
          <w:rFonts w:hint="eastAsia"/>
          <w:lang w:val="en-US" w:eastAsia="zh-CN"/>
        </w:rPr>
      </w:pPr>
      <w:r>
        <w:rPr>
          <w:rFonts w:hint="eastAsia"/>
          <w:lang w:val="en-US" w:eastAsia="zh-CN"/>
        </w:rPr>
        <w:t>隐含波动率是使得期权定价模型的价格等于市场期权价格的波动率参数，该值反应了市场对波动率的观点和态度，反映了市场对未来的预期。而历史波动率反映的是标的资产历史上的真实波动率。</w:t>
      </w:r>
    </w:p>
    <w:p w14:paraId="22D1EE14">
      <w:pPr>
        <w:pStyle w:val="4"/>
        <w:bidi w:val="0"/>
        <w:rPr>
          <w:rFonts w:hint="eastAsia"/>
          <w:lang w:val="en-US" w:eastAsia="zh-CN"/>
        </w:rPr>
      </w:pPr>
      <w:r>
        <w:rPr>
          <w:rFonts w:hint="eastAsia"/>
          <w:lang w:val="en-US" w:eastAsia="zh-CN"/>
        </w:rPr>
        <w:t>2.3.2 估计隐含波动率的方法</w:t>
      </w:r>
    </w:p>
    <w:p w14:paraId="0DDAF2D3">
      <w:pPr>
        <w:numPr>
          <w:ilvl w:val="0"/>
          <w:numId w:val="0"/>
        </w:numPr>
        <w:ind w:firstLine="420" w:firstLineChars="0"/>
        <w:rPr>
          <w:rFonts w:hint="eastAsia"/>
          <w:lang w:val="en-US" w:eastAsia="zh-CN"/>
        </w:rPr>
      </w:pPr>
      <w:r>
        <w:rPr>
          <w:rFonts w:hint="eastAsia"/>
          <w:lang w:val="en-US" w:eastAsia="zh-CN"/>
        </w:rPr>
        <w:t>由于X的内层期权是一个奇异的幂期权，属于场外期权，市场数据难以获得。因此本文认为其一的一个替代方法是使用交易所标准期权的隐含波动率替代。由于标的资产相同，本文认为这是一个合理的替代。</w:t>
      </w:r>
    </w:p>
    <w:p w14:paraId="36615675">
      <w:pPr>
        <w:numPr>
          <w:ilvl w:val="0"/>
          <w:numId w:val="0"/>
        </w:numPr>
        <w:ind w:firstLine="420" w:firstLineChars="0"/>
        <w:rPr>
          <w:rFonts w:hint="default"/>
          <w:lang w:val="en-US" w:eastAsia="zh-CN"/>
        </w:rPr>
      </w:pPr>
      <w:r>
        <w:rPr>
          <w:rFonts w:hint="eastAsia"/>
          <w:lang w:val="en-US" w:eastAsia="zh-CN"/>
        </w:rPr>
        <w:t>在具体求解上，首先需要收集到期日与执行价格相同或相似的腾讯股票期权市场数据，然后使用数值方法进行求解。</w:t>
      </w:r>
    </w:p>
    <w:p w14:paraId="233302A1">
      <w:pPr>
        <w:pStyle w:val="3"/>
        <w:bidi w:val="0"/>
        <w:rPr>
          <w:rFonts w:hint="eastAsia"/>
          <w:lang w:val="en-US" w:eastAsia="zh-CN"/>
        </w:rPr>
      </w:pPr>
      <w:bookmarkStart w:id="8" w:name="_Toc23860"/>
      <w:r>
        <w:rPr>
          <w:rFonts w:hint="eastAsia"/>
          <w:lang w:val="en-US" w:eastAsia="zh-CN"/>
        </w:rPr>
        <w:t>2.4股息收益率</w:t>
      </w:r>
      <w:bookmarkEnd w:id="8"/>
    </w:p>
    <w:p w14:paraId="19C14391">
      <w:pPr>
        <w:numPr>
          <w:ilvl w:val="0"/>
          <w:numId w:val="0"/>
        </w:numPr>
        <w:ind w:leftChars="0" w:firstLine="420" w:firstLineChars="0"/>
        <w:rPr>
          <w:rFonts w:hint="eastAsia"/>
          <w:lang w:val="en-US" w:eastAsia="zh-CN"/>
        </w:rPr>
      </w:pPr>
      <w:r>
        <w:rPr>
          <w:rFonts w:hint="eastAsia"/>
          <w:lang w:val="en-US" w:eastAsia="zh-CN"/>
        </w:rPr>
        <w:t>本文定义一年内股息收益率为：</w:t>
      </w:r>
    </w:p>
    <w:p w14:paraId="5F24CAD2">
      <w:pPr>
        <w:numPr>
          <w:ilvl w:val="0"/>
          <w:numId w:val="0"/>
        </w:numPr>
        <w:ind w:leftChars="0" w:firstLine="420" w:firstLineChars="0"/>
        <w:rPr>
          <w:rFonts w:hint="eastAsia" w:hAnsi="Cambria Math" w:eastAsia="宋体" w:cs="Times New Roman"/>
          <w:i w:val="0"/>
          <w:kern w:val="2"/>
          <w:sz w:val="24"/>
          <w:szCs w:val="21"/>
          <w:lang w:val="en-US" w:eastAsia="zh-CN" w:bidi="ar-SA"/>
          <w14:ligatures w14:val="standardContextual"/>
        </w:rPr>
      </w:pPr>
      <m:oMathPara>
        <m:oMath>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sSub>
                <m:sSubPr>
                  <m:ctrlPr>
                    <w:rPr>
                      <w:rFonts w:hint="default" w:ascii="Cambria Math" w:hAnsi="Cambria Math" w:eastAsia="宋体"/>
                      <w:sz w:val="24"/>
                    </w:rPr>
                  </m:ctrlPr>
                </m:sSubPr>
                <m:e>
                  <m:r>
                    <m:rPr/>
                    <w:rPr>
                      <w:rFonts w:hint="default" w:ascii="Cambria Math" w:hAnsi="Cambria Math" w:eastAsia="宋体"/>
                      <w:sz w:val="24"/>
                    </w:rPr>
                    <m:t>dividend_per_share</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ctrlPr>
                <w:rPr>
                  <w:rFonts w:hint="default" w:ascii="Cambria Math" w:hAnsi="Cambria Math" w:eastAsia="宋体"/>
                  <w:sz w:val="24"/>
                </w:rPr>
              </m:ctrlPr>
            </m:den>
          </m:f>
        </m:oMath>
      </m:oMathPara>
    </w:p>
    <w:p w14:paraId="2F30E69A">
      <w:pPr>
        <w:numPr>
          <w:ilvl w:val="0"/>
          <w:numId w:val="0"/>
        </w:numPr>
        <w:ind w:leftChars="0" w:firstLine="420" w:firstLineChars="0"/>
        <w:rPr>
          <w:rFonts w:hint="default" w:hAnsi="Cambria Math" w:eastAsia="宋体" w:cs="Times New Roman"/>
          <w:i w:val="0"/>
          <w:kern w:val="2"/>
          <w:sz w:val="24"/>
          <w:szCs w:val="21"/>
          <w:lang w:val="en-US" w:eastAsia="zh-CN" w:bidi="ar-SA"/>
          <w14:ligatures w14:val="standardContextual"/>
        </w:rPr>
      </w:pPr>
    </w:p>
    <w:p w14:paraId="230A795A">
      <w:pPr>
        <w:numPr>
          <w:ilvl w:val="0"/>
          <w:numId w:val="0"/>
        </w:numPr>
        <w:ind w:leftChars="0" w:firstLine="420" w:firstLineChars="0"/>
        <w:rPr>
          <w:rFonts w:hint="eastAsia" w:hAnsi="Cambria Math" w:eastAsia="宋体" w:cs="Times New Roman"/>
          <w:i w:val="0"/>
          <w:kern w:val="2"/>
          <w:sz w:val="24"/>
          <w:szCs w:val="21"/>
          <w:lang w:val="en-US" w:eastAsia="zh-CN" w:bidi="ar-SA"/>
          <w14:ligatures w14:val="standardContextual"/>
        </w:rPr>
      </w:pPr>
      <m:oMathPara>
        <m:oMath>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m:oMathPara>
    </w:p>
    <w:p w14:paraId="4ACB5D41">
      <w:pPr>
        <w:numPr>
          <w:ilvl w:val="0"/>
          <w:numId w:val="0"/>
        </w:numPr>
        <w:ind w:firstLine="420" w:firstLineChars="0"/>
        <w:rPr>
          <w:rFonts w:hint="eastAsia" w:hAnsi="Cambria Math" w:cs="Times New Roman"/>
          <w:i w:val="0"/>
          <w:kern w:val="2"/>
          <w:sz w:val="24"/>
          <w:szCs w:val="21"/>
          <w:lang w:val="en-US" w:eastAsia="zh-CN" w:bidi="ar-SA"/>
          <w14:ligatures w14:val="standardContextual"/>
        </w:rPr>
      </w:pPr>
      <w:r>
        <w:rPr>
          <w:rFonts w:hint="eastAsia" w:hAnsi="Cambria Math" w:cs="Times New Roman"/>
          <w:i w:val="0"/>
          <w:kern w:val="2"/>
          <w:sz w:val="24"/>
          <w:szCs w:val="21"/>
          <w:lang w:val="en-US" w:eastAsia="zh-CN" w:bidi="ar-SA"/>
          <w14:ligatures w14:val="standardContextual"/>
        </w:rPr>
        <w:t>本文取腾讯公司2023年至2025年的派息数据估算年化连续股息收益率q，q可由下面的公式计算得出：</w:t>
      </w:r>
    </w:p>
    <w:p w14:paraId="1A9D2063">
      <w:pPr>
        <w:numPr>
          <w:ilvl w:val="0"/>
          <w:numId w:val="0"/>
        </w:numPr>
        <w:ind w:firstLine="420" w:firstLineChars="0"/>
        <w:rPr>
          <w:rFonts w:hint="eastAsia" w:hAnsi="Cambria Math" w:eastAsia="宋体" w:cs="Times New Roman"/>
          <w:i w:val="0"/>
          <w:kern w:val="2"/>
          <w:sz w:val="24"/>
          <w:szCs w:val="21"/>
          <w:lang w:val="en-US" w:eastAsia="zh-CN" w:bidi="ar-SA"/>
          <w14:ligatures w14:val="standardContextual"/>
        </w:rPr>
      </w:pPr>
      <m:oMathPara>
        <m:oMath>
          <m:r>
            <m:rPr/>
            <w:rPr>
              <w:rFonts w:hint="default" w:ascii="Cambria Math" w:hAnsi="Cambria Math" w:eastAsia="宋体"/>
              <w:sz w:val="24"/>
            </w:rPr>
            <m:t>q=</m:t>
          </m:r>
          <m:f>
            <m:fPr>
              <m:ctrlPr>
                <w:rPr>
                  <w:rFonts w:hint="default" w:ascii="Cambria Math" w:hAnsi="Cambria Math" w:eastAsia="宋体"/>
                  <w:i/>
                  <w:sz w:val="24"/>
                </w:rPr>
              </m:ctrlPr>
            </m:fPr>
            <m:num>
              <m:func>
                <m:funcPr>
                  <m:ctrlPr>
                    <w:rPr>
                      <w:rFonts w:hint="default" w:ascii="Cambria Math" w:hAnsi="Cambria Math" w:eastAsia="宋体"/>
                      <w:sz w:val="24"/>
                    </w:rPr>
                  </m:ctrlPr>
                </m:funcPr>
                <m:fName>
                  <m:r>
                    <m:rPr>
                      <m:sty m:val="p"/>
                    </m:rPr>
                    <w:rPr>
                      <w:rFonts w:hint="default" w:ascii="Cambria Math" w:hAnsi="Cambria Math" w:eastAsia="宋体"/>
                      <w:sz w:val="24"/>
                    </w:rPr>
                    <m:t>ln</m:t>
                  </m:r>
                  <m:ctrlPr>
                    <w:rPr>
                      <w:rFonts w:ascii="Cambria Math" w:hAnsi="Cambria Math" w:eastAsia="宋体"/>
                      <w:sz w:val="24"/>
                    </w:rPr>
                  </m:ctrlPr>
                </m:fName>
                <m:e>
                  <m:d>
                    <m:dPr>
                      <m:ctrlPr>
                        <w:rPr>
                          <w:rFonts w:hint="default" w:ascii="Cambria Math" w:hAnsi="Cambria Math" w:eastAsia="宋体"/>
                          <w:i/>
                          <w:sz w:val="24"/>
                        </w:rPr>
                      </m:ctrlPr>
                    </m:dPr>
                    <m:e>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3</m:t>
                          </m:r>
                          <m:ctrlPr>
                            <w:rPr>
                              <w:rFonts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e>
                      </m:nary>
                      <m:ctrlPr>
                        <w:rPr>
                          <w:rFonts w:hint="default" w:ascii="Cambria Math" w:hAnsi="Cambria Math" w:eastAsia="宋体"/>
                          <w:i/>
                          <w:sz w:val="24"/>
                        </w:rPr>
                      </m:ctrlPr>
                    </m:e>
                  </m:d>
                  <m:ctrlPr>
                    <w:rPr>
                      <w:rFonts w:hint="default" w:ascii="Cambria Math" w:hAnsi="Cambria Math" w:eastAsia="宋体"/>
                      <w:i/>
                      <w:sz w:val="24"/>
                    </w:rPr>
                  </m:ctrlPr>
                </m:e>
              </m:func>
              <m:ctrlPr>
                <w:rPr>
                  <w:rFonts w:hint="default" w:ascii="Cambria Math" w:hAnsi="Cambria Math" w:eastAsia="宋体"/>
                  <w:sz w:val="24"/>
                </w:rPr>
              </m:ctrlPr>
            </m:num>
            <m:den>
              <m:r>
                <m:rPr/>
                <w:rPr>
                  <w:rFonts w:hint="default" w:ascii="Cambria Math" w:hAnsi="Cambria Math" w:eastAsia="宋体"/>
                  <w:sz w:val="24"/>
                </w:rPr>
                <m:t>3</m:t>
              </m:r>
              <m:ctrlPr>
                <w:rPr>
                  <w:rFonts w:hint="default" w:ascii="Cambria Math" w:hAnsi="Cambria Math" w:eastAsia="宋体"/>
                  <w:sz w:val="24"/>
                </w:rPr>
              </m:ctrlPr>
            </m:den>
          </m:f>
        </m:oMath>
      </m:oMathPara>
    </w:p>
    <w:p w14:paraId="573D4E36">
      <w:pPr>
        <w:numPr>
          <w:ilvl w:val="0"/>
          <w:numId w:val="0"/>
        </w:numPr>
        <w:ind w:firstLine="420" w:firstLineChars="0"/>
        <w:rPr>
          <w:rFonts w:hint="default" w:hAnsi="Cambria Math" w:cs="Times New Roman"/>
          <w:i w:val="0"/>
          <w:kern w:val="2"/>
          <w:sz w:val="24"/>
          <w:szCs w:val="21"/>
          <w:lang w:val="en-US" w:eastAsia="zh-CN" w:bidi="ar-SA"/>
          <w14:ligatures w14:val="standardContextual"/>
        </w:rPr>
      </w:pPr>
      <w:r>
        <w:rPr>
          <w:rFonts w:hint="eastAsia" w:hAnsi="Cambria Math" w:cs="Times New Roman"/>
          <w:i w:val="0"/>
          <w:kern w:val="2"/>
          <w:sz w:val="24"/>
          <w:szCs w:val="21"/>
          <w:lang w:val="en-US" w:eastAsia="zh-CN" w:bidi="ar-SA"/>
          <w14:ligatures w14:val="standardContextual"/>
        </w:rPr>
        <w:t>经计算，q的值约为0.008，即0.8%。</w:t>
      </w:r>
    </w:p>
    <w:p w14:paraId="69B6E8D1">
      <w:pPr>
        <w:pStyle w:val="3"/>
        <w:bidi w:val="0"/>
        <w:rPr>
          <w:rFonts w:hint="eastAsia"/>
          <w:lang w:val="en-US" w:eastAsia="zh-CN"/>
        </w:rPr>
      </w:pPr>
      <w:bookmarkStart w:id="9" w:name="_Toc13751"/>
      <w:r>
        <w:rPr>
          <w:rFonts w:hint="eastAsia"/>
          <w:lang w:val="en-US" w:eastAsia="zh-CN"/>
        </w:rPr>
        <w:t>2.5无风险收益率</w:t>
      </w:r>
      <w:bookmarkEnd w:id="9"/>
    </w:p>
    <w:p w14:paraId="2D081049">
      <w:pPr>
        <w:numPr>
          <w:ilvl w:val="0"/>
          <w:numId w:val="0"/>
        </w:numPr>
        <w:ind w:leftChars="0" w:firstLine="420" w:firstLineChars="0"/>
        <w:rPr>
          <w:rFonts w:hint="default"/>
          <w:lang w:val="en-US" w:eastAsia="zh-CN"/>
        </w:rPr>
      </w:pPr>
      <w:r>
        <w:rPr>
          <w:rFonts w:hint="eastAsia"/>
          <w:lang w:val="en-US" w:eastAsia="zh-CN"/>
        </w:rPr>
        <w:t>本文取研究区间内12个十年期美债的到期收益率观测值的均值作为无风险收益率的估计值，经计算，本文的无风险收益率估计值rf为0.0428，即4.28%。</w:t>
      </w:r>
    </w:p>
    <w:p w14:paraId="7155490C">
      <w:pPr>
        <w:pStyle w:val="2"/>
        <w:numPr>
          <w:ilvl w:val="0"/>
          <w:numId w:val="1"/>
        </w:numPr>
        <w:bidi w:val="0"/>
        <w:rPr>
          <w:rFonts w:hint="eastAsia"/>
          <w:lang w:val="en-US" w:eastAsia="zh-CN"/>
        </w:rPr>
      </w:pPr>
      <w:bookmarkStart w:id="10" w:name="_Toc3240"/>
      <w:r>
        <w:rPr>
          <w:rFonts w:hint="eastAsia"/>
          <w:lang w:val="en-US" w:eastAsia="zh-CN"/>
        </w:rPr>
        <w:t>二项式定价</w:t>
      </w:r>
      <w:bookmarkEnd w:id="10"/>
    </w:p>
    <w:p w14:paraId="41E776C2">
      <w:pPr>
        <w:pStyle w:val="3"/>
        <w:bidi w:val="0"/>
        <w:rPr>
          <w:rFonts w:hint="eastAsia"/>
          <w:lang w:val="en-US" w:eastAsia="zh-CN"/>
        </w:rPr>
      </w:pPr>
      <w:bookmarkStart w:id="11" w:name="_Toc30102"/>
      <w:r>
        <w:rPr>
          <w:rFonts w:hint="eastAsia"/>
          <w:lang w:val="en-US" w:eastAsia="zh-CN"/>
        </w:rPr>
        <w:t>3.1 二项式定价原理</w:t>
      </w:r>
      <w:bookmarkEnd w:id="11"/>
    </w:p>
    <w:p w14:paraId="488C9269">
      <w:pPr>
        <w:ind w:firstLine="420" w:firstLineChars="0"/>
        <w:rPr>
          <w:rFonts w:hint="eastAsia" w:hAnsi="Cambria Math"/>
          <w:i w:val="0"/>
          <w:lang w:val="en-US" w:eastAsia="zh-CN"/>
        </w:rPr>
      </w:pPr>
      <w:r>
        <w:rPr>
          <w:rFonts w:hint="eastAsia"/>
          <w:lang w:val="en-US" w:eastAsia="zh-CN"/>
        </w:rPr>
        <w:t>二项式定价方法(</w:t>
      </w:r>
      <m:oMath>
        <m:sSup>
          <m:sSupPr>
            <m:ctrlPr>
              <w:rPr>
                <w:rFonts w:ascii="Cambria Math" w:hAnsi="Cambria Math"/>
                <w:i/>
                <w:lang w:val="en-US"/>
              </w:rPr>
            </m:ctrlPr>
          </m:sSupPr>
          <m:e>
            <m:r>
              <m:rPr/>
              <w:rPr>
                <w:rFonts w:hint="default" w:ascii="Cambria Math" w:hAnsi="Cambria Math"/>
                <w:lang w:val="en-US" w:eastAsia="zh-CN"/>
              </w:rPr>
              <m:t>M</m:t>
            </m:r>
            <m:ctrlPr>
              <w:rPr>
                <w:rFonts w:ascii="Cambria Math" w:hAnsi="Cambria Math"/>
                <w:i/>
                <w:lang w:val="en-US"/>
              </w:rPr>
            </m:ctrlPr>
          </m:e>
          <m:sup>
            <m:r>
              <m:rPr/>
              <w:rPr>
                <w:rFonts w:hint="default" w:ascii="Cambria Math" w:hAnsi="Cambria Math"/>
                <w:lang w:val="en-US" w:eastAsia="zh-CN"/>
              </w:rPr>
              <m:t>CRR</m:t>
            </m:r>
            <m:ctrlPr>
              <w:rPr>
                <w:rFonts w:ascii="Cambria Math" w:hAnsi="Cambria Math"/>
                <w:i/>
                <w:lang w:val="en-US"/>
              </w:rPr>
            </m:ctrlPr>
          </m:sup>
        </m:sSup>
      </m:oMath>
      <w:r>
        <w:rPr>
          <w:rFonts w:hint="eastAsia"/>
          <w:lang w:val="en-US" w:eastAsia="zh-CN"/>
        </w:rPr>
        <w:t>)是Cox与Ross于1979年提出的一种期权定价方法。</w:t>
      </w:r>
      <m:oMath>
        <m:sSup>
          <m:sSupPr>
            <m:ctrlPr>
              <w:rPr>
                <w:rFonts w:ascii="Cambria Math" w:hAnsi="Cambria Math"/>
                <w:i/>
                <w:lang w:val="en-US"/>
              </w:rPr>
            </m:ctrlPr>
          </m:sSupPr>
          <m:e>
            <m:r>
              <m:rPr/>
              <w:rPr>
                <w:rFonts w:hint="default" w:ascii="Cambria Math" w:hAnsi="Cambria Math"/>
                <w:lang w:val="en-US" w:eastAsia="zh-CN"/>
              </w:rPr>
              <m:t>M</m:t>
            </m:r>
            <m:ctrlPr>
              <w:rPr>
                <w:rFonts w:ascii="Cambria Math" w:hAnsi="Cambria Math"/>
                <w:i/>
                <w:lang w:val="en-US"/>
              </w:rPr>
            </m:ctrlPr>
          </m:e>
          <m:sup>
            <m:r>
              <m:rPr/>
              <w:rPr>
                <w:rFonts w:hint="default" w:ascii="Cambria Math" w:hAnsi="Cambria Math"/>
                <w:lang w:val="en-US" w:eastAsia="zh-CN"/>
              </w:rPr>
              <m:t>CRR</m:t>
            </m:r>
            <m:ctrlPr>
              <w:rPr>
                <w:rFonts w:ascii="Cambria Math" w:hAnsi="Cambria Math"/>
                <w:i/>
                <w:lang w:val="en-US"/>
              </w:rPr>
            </m:ctrlPr>
          </m:sup>
        </m:sSup>
      </m:oMath>
      <w:r>
        <w:rPr>
          <w:rFonts w:hint="eastAsia" w:hAnsi="Cambria Math"/>
          <w:i w:val="0"/>
          <w:lang w:val="en-US" w:eastAsia="zh-CN"/>
        </w:rPr>
        <w:t>将时间范围[0,T]分为M个长度为</w:t>
      </w:r>
      <m:oMath>
        <m:r>
          <m:rPr>
            <m:sty m:val="p"/>
          </m:rPr>
          <w:rPr>
            <w:rFonts w:ascii="Cambria Math" w:hAnsi="Cambria Math"/>
            <w:lang w:val="en-US"/>
          </w:rPr>
          <m:t>Δ</m:t>
        </m:r>
        <m:r>
          <m:rPr>
            <m:sty m:val="p"/>
          </m:rPr>
          <w:rPr>
            <w:rFonts w:hint="default" w:ascii="Cambria Math" w:hAnsi="Cambria Math"/>
            <w:lang w:val="en-US" w:eastAsia="zh-CN"/>
          </w:rPr>
          <m:t>t</m:t>
        </m:r>
      </m:oMath>
      <w:r>
        <w:rPr>
          <w:rFonts w:hint="eastAsia" w:hAnsi="Cambria Math"/>
          <w:i w:val="0"/>
          <w:lang w:val="en-US" w:eastAsia="zh-CN"/>
        </w:rPr>
        <w:t>的等长区间，则在t内有M+1个点。</w:t>
      </w:r>
      <m:oMath>
        <m:sSup>
          <m:sSupPr>
            <m:ctrlPr>
              <w:rPr>
                <w:rFonts w:ascii="Cambria Math" w:hAnsi="Cambria Math"/>
                <w:i/>
                <w:lang w:val="en-US"/>
              </w:rPr>
            </m:ctrlPr>
          </m:sSupPr>
          <m:e>
            <m:r>
              <m:rPr/>
              <w:rPr>
                <w:rFonts w:hint="default" w:ascii="Cambria Math" w:hAnsi="Cambria Math"/>
                <w:lang w:val="en-US" w:eastAsia="zh-CN"/>
              </w:rPr>
              <m:t>M</m:t>
            </m:r>
            <m:ctrlPr>
              <w:rPr>
                <w:rFonts w:ascii="Cambria Math" w:hAnsi="Cambria Math"/>
                <w:i/>
                <w:lang w:val="en-US"/>
              </w:rPr>
            </m:ctrlPr>
          </m:e>
          <m:sup>
            <m:r>
              <m:rPr/>
              <w:rPr>
                <w:rFonts w:hint="default" w:ascii="Cambria Math" w:hAnsi="Cambria Math"/>
                <w:lang w:val="en-US" w:eastAsia="zh-CN"/>
              </w:rPr>
              <m:t>CRR</m:t>
            </m:r>
            <m:ctrlPr>
              <w:rPr>
                <w:rFonts w:ascii="Cambria Math" w:hAnsi="Cambria Math"/>
                <w:i/>
                <w:lang w:val="en-US"/>
              </w:rPr>
            </m:ctrlPr>
          </m:sup>
        </m:sSup>
      </m:oMath>
      <w:r>
        <w:rPr>
          <w:rFonts w:hint="eastAsia" w:hAnsi="Cambria Math"/>
          <w:i w:val="0"/>
          <w:lang w:val="en-US" w:eastAsia="zh-CN"/>
        </w:rPr>
        <w:t>假设模型中存在两种资产，一种为有风险的资产，另一种为无风险的债券。模型无风险短期利率存在，且服从</w:t>
      </w:r>
      <m:oMath>
        <m:sSub>
          <m:sSubPr>
            <m:ctrlPr>
              <w:rPr>
                <w:rFonts w:ascii="Cambria Math" w:hAnsi="Cambria Math"/>
                <w:i/>
                <w:lang w:val="en-US"/>
              </w:rPr>
            </m:ctrlPr>
          </m:sSubPr>
          <m:e>
            <m:r>
              <m:rPr/>
              <w:rPr>
                <w:rFonts w:hint="default" w:ascii="Cambria Math" w:hAnsi="Cambria Math"/>
                <w:lang w:val="en-US" w:eastAsia="zh-CN"/>
              </w:rPr>
              <m:t>B</m:t>
            </m:r>
            <m:ctrlPr>
              <w:rPr>
                <w:rFonts w:ascii="Cambria Math" w:hAnsi="Cambria Math"/>
                <w:i/>
                <w:lang w:val="en-US"/>
              </w:rPr>
            </m:ctrlPr>
          </m:e>
          <m:sub>
            <m:r>
              <m:rPr/>
              <w:rPr>
                <w:rFonts w:hint="default" w:ascii="Cambria Math" w:hAnsi="Cambria Math"/>
                <w:lang w:val="en-US" w:eastAsia="zh-CN"/>
              </w:rPr>
              <m:t>t</m:t>
            </m:r>
            <m:ctrlPr>
              <w:rPr>
                <w:rFonts w:ascii="Cambria Math" w:hAnsi="Cambria Math"/>
                <w:i/>
                <w:lang w:val="en-US"/>
              </w:rPr>
            </m:ctrlPr>
          </m:sub>
        </m:sSub>
        <m:r>
          <m:rPr/>
          <w:rPr>
            <w:rFonts w:hint="default" w:ascii="Cambria Math" w:hAnsi="Cambria Math"/>
            <w:lang w:val="en-US" w:eastAsia="zh-CN"/>
          </w:rPr>
          <m:t xml:space="preserve"> = </m:t>
        </m:r>
        <m:sSub>
          <m:sSubPr>
            <m:ctrlPr>
              <w:rPr>
                <w:rFonts w:hint="default" w:ascii="Cambria Math" w:hAnsi="Cambria Math"/>
                <w:i/>
                <w:lang w:val="en-US" w:eastAsia="zh-CN"/>
              </w:rPr>
            </m:ctrlPr>
          </m:sSubPr>
          <m:e>
            <m:r>
              <m:rPr/>
              <w:rPr>
                <w:rFonts w:hint="default" w:ascii="Cambria Math" w:hAnsi="Cambria Math"/>
                <w:lang w:val="en-US" w:eastAsia="zh-CN"/>
              </w:rPr>
              <m:t>B</m:t>
            </m:r>
            <m:ctrlPr>
              <w:rPr>
                <w:rFonts w:hint="default" w:ascii="Cambria Math" w:hAnsi="Cambria Math"/>
                <w:i/>
                <w:lang w:val="en-US" w:eastAsia="zh-CN"/>
              </w:rPr>
            </m:ctrlPr>
          </m:e>
          <m:sub>
            <m:r>
              <m:rPr/>
              <w:rPr>
                <w:rFonts w:hint="default" w:ascii="Cambria Math" w:hAnsi="Cambria Math"/>
                <w:lang w:val="en-US" w:eastAsia="zh-CN"/>
              </w:rPr>
              <m:t>0</m:t>
            </m:r>
            <m:ctrlPr>
              <w:rPr>
                <w:rFonts w:hint="default" w:ascii="Cambria Math" w:hAnsi="Cambria Math"/>
                <w:i/>
                <w:lang w:val="en-US" w:eastAsia="zh-CN"/>
              </w:rPr>
            </m:ctrlPr>
          </m:sub>
        </m:sSub>
        <m:sSup>
          <m:sSupPr>
            <m:ctrlPr>
              <w:rPr>
                <w:rFonts w:hint="default" w:ascii="Cambria Math" w:hAnsi="Cambria Math"/>
                <w:i/>
                <w:lang w:val="en-US" w:eastAsia="zh-CN"/>
              </w:rPr>
            </m:ctrlPr>
          </m:sSupPr>
          <m:e>
            <m:r>
              <m:rPr/>
              <w:rPr>
                <w:rFonts w:hint="default" w:ascii="Cambria Math" w:hAnsi="Cambria Math"/>
                <w:lang w:val="en-US" w:eastAsia="zh-CN"/>
              </w:rPr>
              <m:t>e</m:t>
            </m:r>
            <m:ctrlPr>
              <w:rPr>
                <w:rFonts w:hint="default" w:ascii="Cambria Math" w:hAnsi="Cambria Math"/>
                <w:i/>
                <w:lang w:val="en-US" w:eastAsia="zh-CN"/>
              </w:rPr>
            </m:ctrlPr>
          </m:e>
          <m:sup>
            <m:r>
              <m:rPr/>
              <w:rPr>
                <w:rFonts w:hint="default" w:ascii="Cambria Math" w:hAnsi="Cambria Math"/>
                <w:lang w:val="en-US" w:eastAsia="zh-CN"/>
              </w:rPr>
              <m:t>rt</m:t>
            </m:r>
            <m:ctrlPr>
              <w:rPr>
                <w:rFonts w:hint="default" w:ascii="Cambria Math" w:hAnsi="Cambria Math"/>
                <w:i/>
                <w:lang w:val="en-US" w:eastAsia="zh-CN"/>
              </w:rPr>
            </m:ctrlPr>
          </m:sup>
        </m:sSup>
      </m:oMath>
      <w:r>
        <w:rPr>
          <w:rFonts w:hint="eastAsia" w:hAnsi="Cambria Math"/>
          <w:i w:val="0"/>
          <w:lang w:val="en-US" w:eastAsia="zh-CN"/>
        </w:rPr>
        <w:t>，</w:t>
      </w:r>
      <m:oMath>
        <m:sSub>
          <m:sSubPr>
            <m:ctrlPr>
              <w:rPr>
                <w:rFonts w:hint="default" w:ascii="Cambria Math" w:hAnsi="Cambria Math"/>
                <w:i/>
                <w:lang w:val="en-US" w:eastAsia="zh-CN"/>
              </w:rPr>
            </m:ctrlPr>
          </m:sSubPr>
          <m:e>
            <m:r>
              <m:rPr/>
              <w:rPr>
                <w:rFonts w:hint="default" w:ascii="Cambria Math" w:hAnsi="Cambria Math"/>
                <w:lang w:val="en-US" w:eastAsia="zh-CN"/>
              </w:rPr>
              <m:t>B</m:t>
            </m:r>
            <m:ctrlPr>
              <w:rPr>
                <w:rFonts w:hint="default" w:ascii="Cambria Math" w:hAnsi="Cambria Math"/>
                <w:i/>
                <w:lang w:val="en-US" w:eastAsia="zh-CN"/>
              </w:rPr>
            </m:ctrlPr>
          </m:e>
          <m:sub>
            <m:r>
              <m:rPr/>
              <w:rPr>
                <w:rFonts w:hint="default" w:ascii="Cambria Math" w:hAnsi="Cambria Math"/>
                <w:lang w:val="en-US" w:eastAsia="zh-CN"/>
              </w:rPr>
              <m:t>0</m:t>
            </m:r>
            <m:ctrlPr>
              <w:rPr>
                <w:rFonts w:hint="default" w:ascii="Cambria Math" w:hAnsi="Cambria Math"/>
                <w:i/>
                <w:lang w:val="en-US" w:eastAsia="zh-CN"/>
              </w:rPr>
            </m:ctrlPr>
          </m:sub>
        </m:sSub>
      </m:oMath>
      <w:r>
        <w:rPr>
          <w:rFonts w:hint="eastAsia" w:hAnsi="Cambria Math"/>
          <w:i w:val="0"/>
          <w:lang w:val="en-US" w:eastAsia="zh-CN"/>
        </w:rPr>
        <w:t xml:space="preserve"> &gt; 0。</w:t>
      </w:r>
    </w:p>
    <w:p w14:paraId="0AE3B3EF">
      <w:pPr>
        <w:ind w:firstLine="420" w:firstLineChars="0"/>
        <w:rPr>
          <w:rFonts w:hint="eastAsia" w:hAnsi="Cambria Math"/>
          <w:i w:val="0"/>
          <w:lang w:val="en-US" w:eastAsia="zh-CN"/>
        </w:rPr>
      </w:pPr>
      <w:r>
        <w:rPr>
          <w:rFonts w:hint="eastAsia" w:hAnsi="Cambria Math"/>
          <w:i w:val="0"/>
          <w:lang w:val="en-US" w:eastAsia="zh-CN"/>
        </w:rPr>
        <w:t>模型假设风险资产价格初期为正且变化服从如下规律：</w:t>
      </w:r>
    </w:p>
    <w:p w14:paraId="1588C47D">
      <w:pPr>
        <w:ind w:firstLine="420" w:firstLineChars="0"/>
        <w:rPr>
          <w:rFonts w:hint="eastAsia" w:hAnsi="Cambria Math"/>
          <w:i w:val="0"/>
          <w:lang w:val="en-US" w:eastAsia="zh-CN"/>
        </w:rPr>
      </w:pPr>
    </w:p>
    <w:p w14:paraId="7E176986">
      <w:pPr>
        <w:ind w:firstLine="420" w:firstLineChars="0"/>
        <w:rPr>
          <w:rFonts w:hint="default" w:hAnsi="Cambria Math"/>
          <w:i w:val="0"/>
          <w:lang w:val="en-US" w:eastAsia="zh-CN"/>
        </w:rPr>
      </w:pPr>
      <m:oMathPara>
        <m:oMath>
          <m:sSub>
            <m:sSubPr>
              <m:ctrlPr>
                <w:rPr>
                  <w:rFonts w:ascii="Cambria Math" w:hAnsi="Cambria Math"/>
                  <w:i/>
                  <w:lang w:val="en-US"/>
                </w:rPr>
              </m:ctrlPr>
            </m:sSubPr>
            <m:e>
              <m:r>
                <m:rPr/>
                <w:rPr>
                  <w:rFonts w:hint="default" w:ascii="Cambria Math" w:hAnsi="Cambria Math"/>
                  <w:lang w:val="en-US" w:eastAsia="zh-CN"/>
                </w:rPr>
                <m:t>S</m:t>
              </m:r>
              <m:ctrlPr>
                <w:rPr>
                  <w:rFonts w:ascii="Cambria Math" w:hAnsi="Cambria Math"/>
                  <w:i/>
                  <w:lang w:val="en-US"/>
                </w:rPr>
              </m:ctrlPr>
            </m:e>
            <m:sub>
              <m:r>
                <m:rPr/>
                <w:rPr>
                  <w:rFonts w:hint="default" w:ascii="Cambria Math" w:hAnsi="Cambria Math"/>
                  <w:lang w:val="en-US" w:eastAsia="zh-CN"/>
                </w:rPr>
                <m:t>t+</m:t>
              </m:r>
              <m:r>
                <m:rPr/>
                <w:rPr>
                  <w:rFonts w:ascii="Cambria Math" w:hAnsi="Cambria Math"/>
                  <w:lang w:val="en-US"/>
                </w:rPr>
                <m:t>Δ</m:t>
              </m:r>
              <m:r>
                <m:rPr/>
                <w:rPr>
                  <w:rFonts w:hint="default" w:ascii="Cambria Math" w:hAnsi="Cambria Math"/>
                  <w:lang w:val="en-US" w:eastAsia="zh-CN"/>
                </w:rPr>
                <m:t>t</m:t>
              </m:r>
              <m:ctrlPr>
                <w:rPr>
                  <w:rFonts w:ascii="Cambria Math" w:hAnsi="Cambria Math"/>
                  <w:i/>
                  <w:lang w:val="en-US"/>
                </w:rPr>
              </m:ctrlPr>
            </m:sub>
          </m:sSub>
          <m:r>
            <m:rPr/>
            <w:rPr>
              <w:rFonts w:hint="default" w:ascii="Cambria Math" w:hAnsi="Cambria Math"/>
              <w:lang w:val="en-US" w:eastAsia="zh-CN"/>
            </w:rPr>
            <m:t xml:space="preserve"> =</m:t>
          </m:r>
          <m:sSub>
            <m:sSubPr>
              <m:ctrlPr>
                <w:rPr>
                  <w:rFonts w:ascii="Cambria Math" w:hAnsi="Cambria Math"/>
                  <w:i/>
                  <w:lang w:val="en-US"/>
                </w:rPr>
              </m:ctrlPr>
            </m:sSubPr>
            <m:e>
              <m:r>
                <m:rPr/>
                <w:rPr>
                  <w:rFonts w:hint="default" w:ascii="Cambria Math" w:hAnsi="Cambria Math"/>
                  <w:lang w:val="en-US" w:eastAsia="zh-CN"/>
                </w:rPr>
                <m:t>S</m:t>
              </m:r>
              <m:ctrlPr>
                <w:rPr>
                  <w:rFonts w:ascii="Cambria Math" w:hAnsi="Cambria Math"/>
                  <w:i/>
                  <w:lang w:val="en-US"/>
                </w:rPr>
              </m:ctrlPr>
            </m:e>
            <m:sub>
              <m:r>
                <m:rPr/>
                <w:rPr>
                  <w:rFonts w:hint="default" w:ascii="Cambria Math" w:hAnsi="Cambria Math"/>
                  <w:lang w:val="en-US" w:eastAsia="zh-CN"/>
                </w:rPr>
                <m:t>t</m:t>
              </m:r>
              <m:ctrlPr>
                <w:rPr>
                  <w:rFonts w:ascii="Cambria Math" w:hAnsi="Cambria Math"/>
                  <w:i/>
                  <w:lang w:val="en-US"/>
                </w:rPr>
              </m:ctrlPr>
            </m:sub>
          </m:sSub>
          <m:r>
            <m:rPr/>
            <w:rPr>
              <w:rFonts w:hint="default" w:ascii="Cambria Math" w:hAnsi="Cambria Math"/>
              <w:lang w:val="en-US" w:eastAsia="zh-CN"/>
            </w:rPr>
            <m:t xml:space="preserve"> ∗ m </m:t>
          </m:r>
        </m:oMath>
      </m:oMathPara>
    </w:p>
    <w:p w14:paraId="2FDD361C">
      <w:pPr>
        <w:ind w:firstLine="420" w:firstLineChars="0"/>
        <w:rPr>
          <w:rFonts w:hint="default" w:hAnsi="Cambria Math"/>
          <w:i w:val="0"/>
          <w:lang w:val="en-US" w:eastAsia="zh-CN"/>
        </w:rPr>
      </w:pPr>
    </w:p>
    <w:p w14:paraId="653C3532">
      <w:pPr>
        <w:ind w:firstLine="420" w:firstLineChars="0"/>
        <w:rPr>
          <w:rFonts w:hint="eastAsia" w:hAnsi="Cambria Math"/>
          <w:i w:val="0"/>
          <w:sz w:val="24"/>
          <w:lang w:val="en-US" w:eastAsia="zh-CN"/>
        </w:rPr>
      </w:pPr>
      <w:r>
        <w:rPr>
          <w:rFonts w:hint="eastAsia" w:hAnsi="Cambria Math"/>
          <w:i w:val="0"/>
          <w:lang w:val="en-US" w:eastAsia="zh-CN"/>
        </w:rPr>
        <w:t>其中，m随机等于{u,d}，其中，</w:t>
      </w:r>
      <m:oMath>
        <m:r>
          <m:rPr/>
          <w:rPr>
            <w:rFonts w:hint="default" w:ascii="Cambria Math" w:hAnsi="Cambria Math" w:eastAsia="宋体"/>
            <w:sz w:val="24"/>
          </w:rPr>
          <m:t>0&lt;d&lt;</m:t>
        </m:r>
        <m:sSup>
          <m:sSupPr>
            <m:ctrlPr>
              <w:rPr>
                <w:rFonts w:hint="default" w:ascii="Cambria Math" w:hAnsi="Cambria Math" w:eastAsia="宋体"/>
                <w:sz w:val="24"/>
              </w:rPr>
            </m:ctrlPr>
          </m:sSupPr>
          <m:e>
            <m:r>
              <m:rPr/>
              <w:rPr>
                <w:rFonts w:hint="default" w:ascii="Cambria Math" w:hAnsi="Cambria Math" w:eastAsia="宋体"/>
                <w:sz w:val="24"/>
              </w:rPr>
              <m:t>e</m:t>
            </m:r>
            <m:ctrlPr>
              <w:rPr>
                <w:rFonts w:ascii="Cambria Math" w:hAnsi="Cambria Math" w:eastAsia="宋体"/>
                <w:sz w:val="24"/>
              </w:rPr>
            </m:ctrlPr>
          </m:e>
          <m:sup>
            <m:r>
              <m:rPr/>
              <w:rPr>
                <w:rFonts w:hint="default" w:ascii="Cambria Math" w:hAnsi="Cambria Math" w:eastAsia="宋体"/>
                <w:sz w:val="24"/>
              </w:rPr>
              <m:t>r</m:t>
            </m:r>
            <m:r>
              <m:rPr>
                <m:sty m:val="p"/>
              </m:rPr>
              <w:rPr>
                <w:rFonts w:hint="default" w:ascii="Cambria Math" w:hAnsi="Cambria Math" w:eastAsia="宋体"/>
                <w:sz w:val="24"/>
              </w:rPr>
              <m:t>Δ</m:t>
            </m:r>
            <m:r>
              <m:rPr/>
              <w:rPr>
                <w:rFonts w:hint="default" w:ascii="Cambria Math" w:hAnsi="Cambria Math" w:eastAsia="宋体"/>
                <w:sz w:val="24"/>
              </w:rPr>
              <m:t>t</m:t>
            </m:r>
            <m:ctrlPr>
              <w:rPr>
                <w:rFonts w:ascii="Cambria Math" w:hAnsi="Cambria Math" w:eastAsia="宋体"/>
                <w:sz w:val="24"/>
              </w:rPr>
            </m:ctrlPr>
          </m:sup>
        </m:sSup>
        <m:r>
          <m:rPr/>
          <w:rPr>
            <w:rFonts w:hint="default" w:ascii="Cambria Math" w:hAnsi="Cambria Math" w:eastAsia="宋体"/>
            <w:sz w:val="24"/>
          </w:rPr>
          <m:t>&lt;u≡</m:t>
        </m:r>
        <m:sSup>
          <m:sSupPr>
            <m:ctrlPr>
              <w:rPr>
                <w:rFonts w:hint="default" w:ascii="Cambria Math" w:hAnsi="Cambria Math" w:eastAsia="宋体"/>
                <w:sz w:val="24"/>
              </w:rPr>
            </m:ctrlPr>
          </m:sSupPr>
          <m:e>
            <m:r>
              <m:rPr/>
              <w:rPr>
                <w:rFonts w:hint="default" w:ascii="Cambria Math" w:hAnsi="Cambria Math" w:eastAsia="宋体"/>
                <w:sz w:val="24"/>
              </w:rPr>
              <m:t>e</m:t>
            </m:r>
            <m:ctrlPr>
              <w:rPr>
                <w:rFonts w:ascii="Cambria Math" w:hAnsi="Cambria Math" w:eastAsia="宋体"/>
                <w:sz w:val="24"/>
              </w:rPr>
            </m:ctrlPr>
          </m:e>
          <m:sup>
            <m:r>
              <m:rPr/>
              <w:rPr>
                <w:rFonts w:hint="default" w:ascii="Cambria Math" w:hAnsi="Cambria Math" w:eastAsia="宋体"/>
                <w:sz w:val="24"/>
              </w:rPr>
              <m:t>σ</m:t>
            </m:r>
            <m:rad>
              <m:radPr>
                <m:degHide m:val="1"/>
                <m:ctrlPr>
                  <w:rPr>
                    <w:rFonts w:hint="default" w:ascii="Cambria Math" w:hAnsi="Cambria Math" w:eastAsia="宋体"/>
                    <w:i/>
                    <w:sz w:val="24"/>
                  </w:rPr>
                </m:ctrlPr>
              </m:radPr>
              <m:deg>
                <m:ctrlPr>
                  <w:rPr>
                    <w:rFonts w:ascii="Cambria Math" w:hAnsi="Cambria Math" w:eastAsia="宋体"/>
                    <w:sz w:val="24"/>
                  </w:rPr>
                </m:ctrlPr>
              </m:deg>
              <m:e>
                <m:r>
                  <m:rPr>
                    <m:sty m:val="p"/>
                  </m:rPr>
                  <w:rPr>
                    <w:rFonts w:hint="default" w:ascii="Cambria Math" w:hAnsi="Cambria Math" w:eastAsia="宋体"/>
                    <w:sz w:val="24"/>
                  </w:rPr>
                  <m:t>Δ</m:t>
                </m:r>
                <m:r>
                  <m:rPr/>
                  <w:rPr>
                    <w:rFonts w:hint="default" w:ascii="Cambria Math" w:hAnsi="Cambria Math" w:eastAsia="宋体"/>
                    <w:sz w:val="24"/>
                  </w:rPr>
                  <m:t>t</m:t>
                </m:r>
                <m:ctrlPr>
                  <w:rPr>
                    <w:rFonts w:ascii="Cambria Math" w:hAnsi="Cambria Math" w:eastAsia="宋体"/>
                    <w:sz w:val="24"/>
                  </w:rPr>
                </m:ctrlPr>
              </m:e>
            </m:rad>
            <m:ctrlPr>
              <w:rPr>
                <w:rFonts w:hint="default" w:ascii="Cambria Math" w:hAnsi="Cambria Math" w:eastAsia="宋体"/>
                <w:i/>
                <w:sz w:val="24"/>
              </w:rPr>
            </m:ctrlPr>
          </m:sup>
        </m:sSup>
      </m:oMath>
      <w:r>
        <w:rPr>
          <w:rFonts w:hint="eastAsia" w:hAnsi="Cambria Math"/>
          <w:i w:val="0"/>
          <w:sz w:val="24"/>
          <w:lang w:val="en-US" w:eastAsia="zh-CN"/>
        </w:rPr>
        <w:t xml:space="preserve"> 。为了简化，模型有 </w:t>
      </w:r>
      <m:oMath>
        <m:r>
          <m:rPr/>
          <w:rPr>
            <w:rFonts w:hint="default" w:ascii="Cambria Math" w:hAnsi="Cambria Math" w:eastAsia="宋体"/>
            <w:sz w:val="24"/>
          </w:rPr>
          <m:t>u=</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d</m:t>
            </m:r>
            <m:ctrlPr>
              <w:rPr>
                <w:rFonts w:ascii="Cambria Math" w:hAnsi="Cambria Math" w:eastAsia="宋体"/>
                <w:sz w:val="24"/>
              </w:rPr>
            </m:ctrlPr>
          </m:den>
        </m:f>
      </m:oMath>
      <w:r>
        <w:rPr>
          <w:rFonts w:hint="eastAsia" w:hAnsi="Cambria Math"/>
          <w:i w:val="0"/>
          <w:sz w:val="24"/>
          <w:lang w:val="en-US" w:eastAsia="zh-CN"/>
        </w:rPr>
        <w:t xml:space="preserve"> 。</w:t>
      </w:r>
    </w:p>
    <w:p w14:paraId="12F437B0">
      <w:pPr>
        <w:ind w:firstLine="420" w:firstLineChars="0"/>
        <w:rPr>
          <w:rFonts w:hint="eastAsia" w:hAnsi="Cambria Math"/>
          <w:i w:val="0"/>
          <w:sz w:val="24"/>
          <w:lang w:val="en-US" w:eastAsia="zh-CN"/>
        </w:rPr>
      </w:pPr>
      <w:r>
        <w:rPr>
          <w:rFonts w:hint="eastAsia" w:hAnsi="Cambria Math"/>
          <w:i w:val="0"/>
          <w:sz w:val="24"/>
          <w:lang w:val="en-US" w:eastAsia="zh-CN"/>
        </w:rPr>
        <w:t>假设无风险中性定价成立，风险资产价格服从下面的关系：</w:t>
      </w:r>
    </w:p>
    <w:p w14:paraId="6A68DE6E">
      <w:pPr>
        <w:ind w:firstLine="420" w:firstLineChars="0"/>
        <w:rPr>
          <w:rFonts w:hint="eastAsia" w:hAnsi="Cambria Math"/>
          <w:i w:val="0"/>
          <w:sz w:val="24"/>
          <w:lang w:val="en-US" w:eastAsia="zh-CN"/>
        </w:rPr>
      </w:pPr>
    </w:p>
    <w:p w14:paraId="127FF66E">
      <w:pPr>
        <w:ind w:firstLine="420" w:firstLineChars="0"/>
        <w:rPr>
          <w:rFonts w:hint="default" w:hAnsi="Cambria Math" w:eastAsia="宋体"/>
          <w:i w:val="0"/>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e</m:t>
              </m:r>
              <m:ctrlPr>
                <w:rPr>
                  <w:rFonts w:ascii="Cambria Math" w:hAnsi="Cambria Math" w:eastAsia="宋体"/>
                  <w:sz w:val="24"/>
                </w:rPr>
              </m:ctrlPr>
            </m:e>
            <m:sup>
              <m:r>
                <m:rPr/>
                <w:rPr>
                  <w:rFonts w:hint="default" w:ascii="Cambria Math" w:hAnsi="Cambria Math" w:eastAsia="宋体"/>
                  <w:sz w:val="24"/>
                </w:rPr>
                <m:t>−r</m:t>
              </m:r>
              <m:r>
                <m:rPr>
                  <m:sty m:val="p"/>
                </m:rPr>
                <w:rPr>
                  <w:rFonts w:hint="default" w:ascii="Cambria Math" w:hAnsi="Cambria Math" w:eastAsia="宋体"/>
                  <w:sz w:val="24"/>
                </w:rPr>
                <m:t>Δ</m:t>
              </m:r>
              <m:r>
                <m:rPr/>
                <w:rPr>
                  <w:rFonts w:hint="default" w:ascii="Cambria Math" w:hAnsi="Cambria Math" w:eastAsia="宋体"/>
                  <w:sz w:val="24"/>
                </w:rPr>
                <m:t>t</m:t>
              </m:r>
              <m:ctrlPr>
                <w:rPr>
                  <w:rFonts w:ascii="Cambria Math" w:hAnsi="Cambria Math" w:eastAsia="宋体"/>
                  <w:sz w:val="24"/>
                </w:rPr>
              </m:ctrlPr>
            </m:sup>
          </m:sSup>
          <m:r>
            <m:rPr/>
            <w:rPr>
              <w:rFonts w:hint="default" w:ascii="Cambria Math" w:hAnsi="Cambria Math" w:eastAsia="宋体"/>
              <w:sz w:val="24"/>
            </w:rPr>
            <m:t>⋅</m:t>
          </m:r>
          <m:sSup>
            <m:sSupPr>
              <m:ctrlPr>
                <w:rPr>
                  <w:rFonts w:hint="default" w:ascii="Cambria Math" w:hAnsi="Cambria Math" w:eastAsia="宋体"/>
                  <w:sz w:val="24"/>
                </w:rPr>
              </m:ctrlPr>
            </m:sSupPr>
            <m:e>
              <m:r>
                <m:rPr>
                  <m:sty m:val="b"/>
                </m:rPr>
                <w:rPr>
                  <w:rFonts w:hint="default" w:ascii="Cambria Math" w:hAnsi="Cambria Math" w:eastAsia="宋体"/>
                  <w:sz w:val="24"/>
                </w:rPr>
                <m:t>E</m:t>
              </m:r>
              <m:ctrlPr>
                <w:rPr>
                  <w:rFonts w:ascii="Cambria Math" w:hAnsi="Cambria Math" w:eastAsia="宋体"/>
                  <w:sz w:val="24"/>
                </w:rPr>
              </m:ctrlPr>
            </m:e>
            <m:sup>
              <m:r>
                <m:rPr>
                  <m:sty m:val="b"/>
                </m:rPr>
                <w:rPr>
                  <w:rFonts w:hint="default" w:ascii="Cambria Math" w:hAnsi="Cambria Math" w:eastAsia="宋体"/>
                  <w:sz w:val="24"/>
                </w:rPr>
                <m:t>Q</m:t>
              </m:r>
              <m:ctrlPr>
                <w:rPr>
                  <w:rFonts w:ascii="Cambria Math" w:hAnsi="Cambria Math" w:eastAsia="宋体"/>
                  <w:sz w:val="24"/>
                </w:rPr>
              </m:ctrlPr>
            </m:sup>
          </m:s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m:t>
              </m:r>
              <m:r>
                <m:rPr>
                  <m:sty m:val="p"/>
                </m:rPr>
                <w:rPr>
                  <w:rFonts w:hint="default" w:ascii="Cambria Math" w:hAnsi="Cambria Math" w:eastAsia="宋体"/>
                  <w:sz w:val="24"/>
                </w:rPr>
                <m:t>Δ</m:t>
              </m:r>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oMath>
      </m:oMathPara>
    </w:p>
    <w:p w14:paraId="016B9437">
      <w:pPr>
        <w:ind w:firstLine="420" w:firstLineChars="0"/>
        <w:rPr>
          <w:rFonts w:hint="eastAsia" w:hAnsi="Cambria Math" w:eastAsia="宋体"/>
          <w:i w:val="0"/>
          <w:sz w:val="24"/>
          <w:lang w:val="en-US" w:eastAsia="zh-CN"/>
        </w:rPr>
      </w:pPr>
    </w:p>
    <w:p w14:paraId="3D7FC146">
      <w:pPr>
        <w:ind w:firstLine="420" w:firstLineChars="0"/>
        <w:rPr>
          <w:rFonts w:hint="eastAsia" w:hAnsi="Cambria Math" w:cs="Times New Roman"/>
          <w:i w:val="0"/>
          <w:kern w:val="2"/>
          <w:sz w:val="24"/>
          <w:szCs w:val="21"/>
          <w:lang w:val="en-US" w:eastAsia="zh-CN" w:bidi="ar-SA"/>
          <w14:ligatures w14:val="standardContextual"/>
        </w:rPr>
      </w:pPr>
      <w:r>
        <w:rPr>
          <w:rFonts w:hint="eastAsia" w:hAnsi="Cambria Math" w:cs="Times New Roman"/>
          <w:i w:val="0"/>
          <w:kern w:val="2"/>
          <w:sz w:val="24"/>
          <w:szCs w:val="21"/>
          <w:lang w:val="en-US" w:eastAsia="zh-CN" w:bidi="ar-SA"/>
          <w14:ligatures w14:val="standardContextual"/>
        </w:rPr>
        <w:t>其中风险中性概率q为：</w:t>
      </w:r>
    </w:p>
    <w:p w14:paraId="0B9BCCCF">
      <w:pPr>
        <w:ind w:firstLine="420" w:firstLineChars="0"/>
        <w:rPr>
          <w:rFonts w:hint="default" w:hAnsi="Cambria Math" w:eastAsia="宋体"/>
          <w:i w:val="0"/>
          <w:sz w:val="24"/>
        </w:rPr>
      </w:pPr>
      <m:oMathPara>
        <m:oMath>
          <m:r>
            <m:rPr/>
            <w:rPr>
              <w:rFonts w:hint="default" w:ascii="Cambria Math" w:hAnsi="Cambria Math" w:eastAsia="宋体"/>
              <w:sz w:val="24"/>
            </w:rPr>
            <m:t>q=</m:t>
          </m:r>
          <m:f>
            <m:fPr>
              <m:ctrlPr>
                <w:rPr>
                  <w:rFonts w:hint="default" w:ascii="Cambria Math" w:hAnsi="Cambria Math" w:eastAsia="宋体"/>
                  <w:i/>
                  <w:sz w:val="24"/>
                </w:rPr>
              </m:ctrlPr>
            </m:fPr>
            <m:num>
              <m:sSup>
                <m:sSupPr>
                  <m:ctrlPr>
                    <w:rPr>
                      <w:rFonts w:hint="default" w:ascii="Cambria Math" w:hAnsi="Cambria Math" w:eastAsia="宋体"/>
                      <w:sz w:val="24"/>
                    </w:rPr>
                  </m:ctrlPr>
                </m:sSupPr>
                <m:e>
                  <m:r>
                    <m:rPr/>
                    <w:rPr>
                      <w:rFonts w:hint="default" w:ascii="Cambria Math" w:hAnsi="Cambria Math" w:eastAsia="宋体"/>
                      <w:sz w:val="24"/>
                    </w:rPr>
                    <m:t>e</m:t>
                  </m:r>
                  <m:ctrlPr>
                    <w:rPr>
                      <w:rFonts w:ascii="Cambria Math" w:hAnsi="Cambria Math" w:eastAsia="宋体"/>
                      <w:sz w:val="24"/>
                    </w:rPr>
                  </m:ctrlPr>
                </m:e>
                <m:sup>
                  <m:r>
                    <m:rPr/>
                    <w:rPr>
                      <w:rFonts w:hint="default" w:ascii="Cambria Math" w:hAnsi="Cambria Math" w:eastAsia="宋体"/>
                      <w:sz w:val="24"/>
                    </w:rPr>
                    <m:t>r</m:t>
                  </m:r>
                  <m:r>
                    <m:rPr>
                      <m:sty m:val="p"/>
                    </m:rPr>
                    <w:rPr>
                      <w:rFonts w:hint="default" w:ascii="Cambria Math" w:hAnsi="Cambria Math" w:eastAsia="宋体"/>
                      <w:sz w:val="24"/>
                    </w:rPr>
                    <m:t>Δ</m:t>
                  </m:r>
                  <m:r>
                    <m:rPr/>
                    <w:rPr>
                      <w:rFonts w:hint="default" w:ascii="Cambria Math" w:hAnsi="Cambria Math" w:eastAsia="宋体"/>
                      <w:sz w:val="24"/>
                    </w:rPr>
                    <m:t>t</m:t>
                  </m:r>
                  <m:ctrlPr>
                    <w:rPr>
                      <w:rFonts w:ascii="Cambria Math" w:hAnsi="Cambria Math" w:eastAsia="宋体"/>
                      <w:sz w:val="24"/>
                    </w:rPr>
                  </m:ctrlPr>
                </m:sup>
              </m:sSup>
              <m:r>
                <m:rPr/>
                <w:rPr>
                  <w:rFonts w:hint="default" w:ascii="Cambria Math" w:hAnsi="Cambria Math" w:eastAsia="宋体"/>
                  <w:sz w:val="24"/>
                </w:rPr>
                <m:t>−d</m:t>
              </m:r>
              <m:ctrlPr>
                <w:rPr>
                  <w:rFonts w:hint="default" w:ascii="Cambria Math" w:hAnsi="Cambria Math" w:eastAsia="宋体"/>
                  <w:sz w:val="24"/>
                </w:rPr>
              </m:ctrlPr>
            </m:num>
            <m:den>
              <m:r>
                <m:rPr/>
                <w:rPr>
                  <w:rFonts w:hint="default" w:ascii="Cambria Math" w:hAnsi="Cambria Math" w:eastAsia="宋体"/>
                  <w:sz w:val="24"/>
                </w:rPr>
                <m:t>u−d</m:t>
              </m:r>
              <m:ctrlPr>
                <w:rPr>
                  <w:rFonts w:hint="default" w:ascii="Cambria Math" w:hAnsi="Cambria Math" w:eastAsia="宋体"/>
                  <w:sz w:val="24"/>
                </w:rPr>
              </m:ctrlPr>
            </m:den>
          </m:f>
        </m:oMath>
      </m:oMathPara>
    </w:p>
    <w:p w14:paraId="6401F72D">
      <w:pPr>
        <w:ind w:firstLine="420" w:firstLineChars="0"/>
        <w:rPr>
          <w:rFonts w:hint="eastAsia" w:hAnsi="Cambria Math" w:eastAsia="宋体"/>
          <w:i w:val="0"/>
          <w:sz w:val="24"/>
          <w:lang w:val="en-US" w:eastAsia="zh-CN"/>
        </w:rPr>
      </w:pPr>
    </w:p>
    <w:p w14:paraId="5595F00C">
      <w:pPr>
        <w:ind w:firstLine="420" w:firstLineChars="0"/>
        <w:rPr>
          <w:rFonts w:hint="eastAsia" w:hAnsi="Cambria Math" w:cs="Times New Roman"/>
          <w:i w:val="0"/>
          <w:kern w:val="2"/>
          <w:sz w:val="24"/>
          <w:szCs w:val="21"/>
          <w:lang w:val="en-US" w:eastAsia="zh-CN" w:bidi="ar-SA"/>
          <w14:ligatures w14:val="standardContextual"/>
        </w:rPr>
      </w:pPr>
      <w:r>
        <w:rPr>
          <w:rFonts w:hint="eastAsia" w:hAnsi="Cambria Math" w:cs="Times New Roman"/>
          <w:i w:val="0"/>
          <w:kern w:val="2"/>
          <w:sz w:val="24"/>
          <w:szCs w:val="21"/>
          <w:lang w:val="en-US" w:eastAsia="zh-CN" w:bidi="ar-SA"/>
          <w14:ligatures w14:val="standardContextual"/>
        </w:rPr>
        <w:t>则欧式期权的价值可以将t = T时刻的最终收益折现至t = 0时刻得到：</w:t>
      </w:r>
    </w:p>
    <w:p w14:paraId="6C8B33A5">
      <w:pPr>
        <w:ind w:firstLine="420" w:firstLineChars="0"/>
        <w:rPr>
          <w:rFonts w:hint="eastAsia" w:hAnsi="Cambria Math" w:cs="Times New Roman"/>
          <w:i w:val="0"/>
          <w:kern w:val="2"/>
          <w:sz w:val="24"/>
          <w:szCs w:val="21"/>
          <w:lang w:val="en-US" w:eastAsia="zh-CN" w:bidi="ar-SA"/>
          <w14:ligatures w14:val="standardContextual"/>
        </w:rPr>
      </w:pPr>
    </w:p>
    <w:p w14:paraId="64EDD17B">
      <w:pPr>
        <w:ind w:firstLine="420" w:firstLineChars="0"/>
        <w:rPr>
          <w:rFonts w:hint="default" w:hAnsi="Cambria Math" w:eastAsia="宋体"/>
          <w:i w:val="0"/>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e</m:t>
              </m:r>
              <m:ctrlPr>
                <w:rPr>
                  <w:rFonts w:ascii="Cambria Math" w:hAnsi="Cambria Math" w:eastAsia="宋体"/>
                  <w:sz w:val="24"/>
                </w:rPr>
              </m:ctrlPr>
            </m:e>
            <m:sup>
              <m:r>
                <m:rPr/>
                <w:rPr>
                  <w:rFonts w:hint="default" w:ascii="Cambria Math" w:hAnsi="Cambria Math" w:eastAsia="宋体"/>
                  <w:sz w:val="24"/>
                </w:rPr>
                <m:t>−rT</m:t>
              </m:r>
              <m:ctrlPr>
                <w:rPr>
                  <w:rFonts w:ascii="Cambria Math" w:hAnsi="Cambria Math" w:eastAsia="宋体"/>
                  <w:sz w:val="24"/>
                </w:rPr>
              </m:ctrlPr>
            </m:sup>
          </m:sSup>
          <m:sSup>
            <m:sSupPr>
              <m:ctrlPr>
                <w:rPr>
                  <w:rFonts w:hint="default" w:ascii="Cambria Math" w:hAnsi="Cambria Math" w:eastAsia="宋体"/>
                  <w:sz w:val="24"/>
                </w:rPr>
              </m:ctrlPr>
            </m:sSupPr>
            <m:e>
              <m:r>
                <m:rPr>
                  <m:sty m:val="b"/>
                </m:rPr>
                <w:rPr>
                  <w:rFonts w:hint="default" w:ascii="Cambria Math" w:hAnsi="Cambria Math" w:eastAsia="宋体"/>
                  <w:sz w:val="24"/>
                </w:rPr>
                <m:t>E</m:t>
              </m:r>
              <m:ctrlPr>
                <w:rPr>
                  <w:rFonts w:ascii="Cambria Math" w:hAnsi="Cambria Math" w:eastAsia="宋体"/>
                  <w:sz w:val="24"/>
                </w:rPr>
              </m:ctrlPr>
            </m:e>
            <m:sup>
              <m:r>
                <m:rPr>
                  <m:sty m:val="b"/>
                </m:rPr>
                <w:rPr>
                  <w:rFonts w:hint="default" w:ascii="Cambria Math" w:hAnsi="Cambria Math" w:eastAsia="宋体"/>
                  <w:sz w:val="24"/>
                </w:rPr>
                <m:t>Q</m:t>
              </m:r>
              <m:ctrlPr>
                <w:rPr>
                  <w:rFonts w:ascii="Cambria Math" w:hAnsi="Cambria Math" w:eastAsia="宋体"/>
                  <w:sz w:val="24"/>
                </w:rPr>
              </m:ctrlPr>
            </m:sup>
          </m:s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oMath>
      </m:oMathPara>
    </w:p>
    <w:p w14:paraId="2D470934">
      <w:pPr>
        <w:ind w:firstLine="420" w:firstLineChars="0"/>
        <w:rPr>
          <w:rFonts w:hint="default" w:hAnsi="Cambria Math" w:eastAsia="宋体"/>
          <w:i w:val="0"/>
          <w:sz w:val="24"/>
          <w:lang w:val="en-US" w:eastAsia="zh-CN"/>
        </w:rPr>
      </w:pPr>
    </w:p>
    <w:p w14:paraId="6D5EFDA9">
      <w:pPr>
        <w:ind w:firstLine="420" w:firstLineChars="0"/>
        <w:rPr>
          <w:rFonts w:hint="default" w:hAnsi="Cambria Math" w:eastAsia="宋体"/>
          <w:i w:val="0"/>
          <w:sz w:val="24"/>
          <w:lang w:val="en-US" w:eastAsia="zh-CN"/>
        </w:rPr>
      </w:pPr>
      <w:r>
        <w:rPr>
          <w:rFonts w:hint="eastAsia" w:hAnsi="Cambria Math"/>
          <w:i w:val="0"/>
          <w:sz w:val="24"/>
          <w:lang w:val="en-US" w:eastAsia="zh-CN"/>
        </w:rPr>
        <w:t xml:space="preserve">折现的过程从t = T - </w:t>
      </w:r>
      <m:oMath>
        <m:r>
          <m:rPr>
            <m:sty m:val="p"/>
          </m:rPr>
          <w:rPr>
            <w:rFonts w:ascii="Cambria Math" w:hAnsi="Cambria Math"/>
            <w:lang w:val="en-US"/>
          </w:rPr>
          <m:t>Δ</m:t>
        </m:r>
        <m:r>
          <m:rPr>
            <m:sty m:val="p"/>
          </m:rPr>
          <w:rPr>
            <w:rFonts w:hint="default" w:ascii="Cambria Math" w:hAnsi="Cambria Math"/>
            <w:lang w:val="en-US" w:eastAsia="zh-CN"/>
          </w:rPr>
          <m:t>t</m:t>
        </m:r>
      </m:oMath>
      <w:r>
        <w:rPr>
          <w:rFonts w:hint="eastAsia" w:hAnsi="Cambria Math"/>
          <w:b w:val="0"/>
          <w:i w:val="0"/>
          <w:lang w:val="en-US" w:eastAsia="zh-CN"/>
        </w:rPr>
        <w:t xml:space="preserve"> 开始，一步一步、一个节点一个节点倒推完成。</w:t>
      </w:r>
    </w:p>
    <w:p w14:paraId="0EBD5F60">
      <w:pPr>
        <w:pStyle w:val="4"/>
        <w:bidi w:val="0"/>
        <w:rPr>
          <w:rFonts w:hint="eastAsia"/>
          <w:lang w:val="en-US" w:eastAsia="zh-CN"/>
        </w:rPr>
      </w:pPr>
      <w:bookmarkStart w:id="12" w:name="_Toc1016"/>
      <w:r>
        <w:rPr>
          <w:rFonts w:hint="eastAsia"/>
          <w:lang w:val="en-US" w:eastAsia="zh-CN"/>
        </w:rPr>
        <w:t>3.1.1 美式期权的二项式定价</w:t>
      </w:r>
      <w:bookmarkEnd w:id="12"/>
    </w:p>
    <w:p w14:paraId="0A5A32CC">
      <w:pPr>
        <w:widowControl w:val="0"/>
        <w:numPr>
          <w:ilvl w:val="0"/>
          <w:numId w:val="0"/>
        </w:numPr>
        <w:spacing w:line="300" w:lineRule="auto"/>
        <w:ind w:firstLine="420" w:firstLineChars="0"/>
        <w:jc w:val="both"/>
        <w:rPr>
          <w:rFonts w:hint="eastAsia"/>
          <w:lang w:val="en-US" w:eastAsia="zh-CN"/>
        </w:rPr>
      </w:pPr>
      <w:r>
        <w:rPr>
          <w:rFonts w:hint="eastAsia"/>
          <w:lang w:val="en-US" w:eastAsia="zh-CN"/>
        </w:rPr>
        <w:t>美式期权的二项式定价与欧式期权相似。不同的点在于美式期权可提前执行，因此在每一个节点需要比较提前行权的价值(执行价值)与继续持有的期望价值(持有价值)，则节点处期权价值为max(执行价值,持有价值)。在每一个节点进行比较，一个一个节点倒推折现回期初即为美式期权的二项式定价价格。</w:t>
      </w:r>
    </w:p>
    <w:p w14:paraId="2B412AB5">
      <w:pPr>
        <w:pStyle w:val="4"/>
        <w:bidi w:val="0"/>
        <w:rPr>
          <w:rFonts w:hint="eastAsia"/>
          <w:lang w:val="en-US" w:eastAsia="zh-CN"/>
        </w:rPr>
      </w:pPr>
      <w:bookmarkStart w:id="13" w:name="_Toc1539"/>
      <w:r>
        <w:rPr>
          <w:rFonts w:hint="eastAsia"/>
          <w:lang w:val="en-US" w:eastAsia="zh-CN"/>
        </w:rPr>
        <w:t>3.1.2 复合期权X的二项式定价模型实现</w:t>
      </w:r>
      <w:bookmarkEnd w:id="13"/>
    </w:p>
    <w:p w14:paraId="611F5659">
      <w:pPr>
        <w:ind w:firstLine="420" w:firstLineChars="0"/>
        <w:rPr>
          <w:rFonts w:hint="default"/>
          <w:lang w:val="en-US" w:eastAsia="zh-CN"/>
        </w:rPr>
      </w:pPr>
      <w:r>
        <w:rPr>
          <w:rFonts w:hint="default"/>
          <w:lang w:val="en-US" w:eastAsia="zh-CN"/>
        </w:rPr>
        <w:t>对于复合期权 V2，定价需要一个双重回溯过程</w:t>
      </w:r>
      <w:r>
        <w:rPr>
          <w:rFonts w:hint="eastAsia"/>
          <w:lang w:val="en-US" w:eastAsia="zh-CN"/>
        </w:rPr>
        <w:t>，下文称为双重二叉树。首先</w:t>
      </w:r>
      <w:r>
        <w:rPr>
          <w:rFonts w:hint="default"/>
          <w:lang w:val="en-US" w:eastAsia="zh-CN"/>
        </w:rPr>
        <w:t>构建价格树: 构建从 t 到 TV1 的完整二叉树，总时间步 M=Mouter+Minner。</w:t>
      </w:r>
    </w:p>
    <w:p w14:paraId="5B657E63">
      <w:pPr>
        <w:ind w:firstLine="420" w:firstLineChars="0"/>
        <w:rPr>
          <w:rFonts w:hint="default"/>
          <w:lang w:val="en-US" w:eastAsia="zh-CN"/>
        </w:rPr>
      </w:pPr>
      <w:r>
        <w:rPr>
          <w:rFonts w:hint="default"/>
          <w:lang w:val="en-US" w:eastAsia="zh-CN"/>
        </w:rPr>
        <w:t>定价内层期权 (V1):</w:t>
      </w:r>
    </w:p>
    <w:p w14:paraId="608AB2ED">
      <w:pPr>
        <w:ind w:firstLine="420" w:firstLineChars="0"/>
        <w:rPr>
          <w:rFonts w:hint="default"/>
          <w:lang w:val="en-US" w:eastAsia="zh-CN"/>
        </w:rPr>
      </w:pPr>
      <w:r>
        <w:rPr>
          <w:rFonts w:hint="default"/>
          <w:lang w:val="en-US" w:eastAsia="zh-CN"/>
        </w:rPr>
        <w:t>从 TV1 (内层期权到期日) 开始，计算 V1 的到期收益 max{K2−(S(TV1))3/2,0}。回溯至 TV2 (外层期权到期日/内层期权起始日)，在每个节点上，根据风险中性概率和折现因子计算 V1 的期望价值。</w:t>
      </w:r>
    </w:p>
    <w:p w14:paraId="173EE171">
      <w:pPr>
        <w:ind w:firstLine="420" w:firstLineChars="0"/>
        <w:rPr>
          <w:rFonts w:hint="default"/>
          <w:lang w:val="en-US" w:eastAsia="zh-CN"/>
        </w:rPr>
      </w:pPr>
      <w:r>
        <w:rPr>
          <w:rFonts w:hint="default"/>
          <w:lang w:val="en-US" w:eastAsia="zh-CN"/>
        </w:rPr>
        <w:t>对于美式 V1，在回溯的每一步（j=TV1−1,…,TV2），必须比较继续持有价值和即时行权价值 max{K2−(S(tj))3/2,0}，并取两者中较大者。</w:t>
      </w:r>
    </w:p>
    <w:p w14:paraId="4C68C87B">
      <w:pPr>
        <w:ind w:firstLine="420" w:firstLineChars="0"/>
        <w:rPr>
          <w:rFonts w:hint="default"/>
          <w:lang w:val="en-US" w:eastAsia="zh-CN"/>
        </w:rPr>
      </w:pPr>
      <w:r>
        <w:rPr>
          <w:rFonts w:hint="default"/>
          <w:lang w:val="en-US" w:eastAsia="zh-CN"/>
        </w:rPr>
        <w:t>定价外层期权 (V2):</w:t>
      </w:r>
    </w:p>
    <w:p w14:paraId="170943B5">
      <w:pPr>
        <w:ind w:firstLine="420" w:firstLineChars="0"/>
        <w:rPr>
          <w:rFonts w:hint="default"/>
          <w:lang w:val="en-US" w:eastAsia="zh-CN"/>
        </w:rPr>
      </w:pPr>
      <w:r>
        <w:rPr>
          <w:rFonts w:hint="default"/>
          <w:lang w:val="en-US" w:eastAsia="zh-CN"/>
        </w:rPr>
        <w:t>以 TV2 时刻树上所有 V1 的价值作为 V2 在 TV2 时刻的标的资产价格。</w:t>
      </w:r>
    </w:p>
    <w:p w14:paraId="53A07301">
      <w:pPr>
        <w:rPr>
          <w:rFonts w:hint="default"/>
          <w:lang w:val="en-US" w:eastAsia="zh-CN"/>
        </w:rPr>
      </w:pPr>
      <w:r>
        <w:rPr>
          <w:rFonts w:hint="default"/>
          <w:lang w:val="en-US" w:eastAsia="zh-CN"/>
        </w:rPr>
        <w:t>计算 V2 在 TV2 的收益 max{N1(V1(TV2)−K1),0}。将此收益从 TV2 时刻回溯到 t 时刻，得到最终的 V2 价格。</w:t>
      </w:r>
    </w:p>
    <w:p w14:paraId="1CF409CC">
      <w:pPr>
        <w:pStyle w:val="3"/>
        <w:bidi w:val="0"/>
        <w:rPr>
          <w:rFonts w:hint="eastAsia"/>
          <w:lang w:val="en-US" w:eastAsia="zh-CN"/>
        </w:rPr>
      </w:pPr>
      <w:bookmarkStart w:id="14" w:name="_Toc7742"/>
      <w:r>
        <w:rPr>
          <w:rFonts w:hint="eastAsia"/>
          <w:lang w:val="en-US" w:eastAsia="zh-CN"/>
        </w:rPr>
        <w:t>3.2 二项式定价结果</w:t>
      </w:r>
      <w:bookmarkEnd w:id="14"/>
    </w:p>
    <w:p w14:paraId="01A59E55">
      <w:pPr>
        <w:pStyle w:val="4"/>
        <w:bidi w:val="0"/>
        <w:rPr>
          <w:rFonts w:hint="eastAsia"/>
          <w:lang w:val="en-US" w:eastAsia="zh-CN"/>
        </w:rPr>
      </w:pPr>
      <w:bookmarkStart w:id="15" w:name="_Toc18595"/>
      <w:r>
        <w:rPr>
          <w:rFonts w:hint="eastAsia"/>
          <w:lang w:val="en-US" w:eastAsia="zh-CN"/>
        </w:rPr>
        <w:t>3.2.1 期权合约及二项式参数</w:t>
      </w:r>
      <w:bookmarkEnd w:id="15"/>
    </w:p>
    <w:p w14:paraId="3F74B795">
      <w:pPr>
        <w:ind w:firstLine="420" w:firstLineChars="0"/>
        <w:rPr>
          <w:rFonts w:hint="eastAsia"/>
          <w:lang w:val="en-US" w:eastAsia="zh-CN"/>
        </w:rPr>
      </w:pPr>
      <w:r>
        <w:rPr>
          <w:rFonts w:hint="eastAsia"/>
          <w:lang w:val="en-US" w:eastAsia="zh-CN"/>
        </w:rPr>
        <w:t>外层期权执行价K1：</w:t>
      </w:r>
    </w:p>
    <w:p w14:paraId="4D7AB0A5">
      <w:pPr>
        <w:ind w:firstLine="420" w:firstLineChars="0"/>
        <w:rPr>
          <w:rFonts w:hint="default"/>
          <w:lang w:val="en-US" w:eastAsia="zh-CN"/>
        </w:rPr>
      </w:pPr>
      <w:r>
        <w:rPr>
          <w:rFonts w:hint="eastAsia"/>
          <w:lang w:val="en-US" w:eastAsia="zh-CN"/>
        </w:rPr>
        <w:t>由于期权X为虚拟期权，外层期权的执行价无可参考价格，故本文取内层期权在T时刻价格的中位数作为外层期权X的基准执行价格，经计算为70$</w:t>
      </w:r>
    </w:p>
    <w:p w14:paraId="41712225">
      <w:pPr>
        <w:ind w:firstLine="420" w:firstLineChars="0"/>
        <w:rPr>
          <w:rFonts w:hint="eastAsia"/>
          <w:lang w:val="en-US" w:eastAsia="zh-CN"/>
        </w:rPr>
      </w:pPr>
      <w:r>
        <w:rPr>
          <w:rFonts w:hint="eastAsia"/>
          <w:lang w:val="en-US" w:eastAsia="zh-CN"/>
        </w:rPr>
        <w:t>内层期权执行价K2：</w:t>
      </w:r>
    </w:p>
    <w:p w14:paraId="7F2020D6">
      <w:pPr>
        <w:ind w:firstLine="420" w:firstLineChars="0"/>
        <w:rPr>
          <w:rFonts w:hint="eastAsia"/>
          <w:lang w:val="en-US" w:eastAsia="zh-CN"/>
        </w:rPr>
      </w:pPr>
      <w:r>
        <w:rPr>
          <w:rFonts w:hint="eastAsia"/>
          <w:lang w:val="en-US" w:eastAsia="zh-CN"/>
        </w:rPr>
        <w:t>参考香港交易所腾讯股票标准欧式期权的常见执行价，基准值设为630HK$，经汇率转化后，为81.31$。</w:t>
      </w:r>
    </w:p>
    <w:p w14:paraId="097D9654">
      <w:pPr>
        <w:ind w:firstLine="420" w:firstLineChars="0"/>
        <w:rPr>
          <w:rFonts w:hint="eastAsia"/>
          <w:lang w:val="en-US" w:eastAsia="zh-CN"/>
        </w:rPr>
      </w:pPr>
      <w:r>
        <w:rPr>
          <w:rFonts w:hint="eastAsia"/>
          <w:lang w:val="en-US" w:eastAsia="zh-CN"/>
        </w:rPr>
        <w:t>二叉树总步数N:</w:t>
      </w:r>
    </w:p>
    <w:p w14:paraId="0DEBDA29">
      <w:pPr>
        <w:ind w:firstLine="420" w:firstLineChars="0"/>
        <w:rPr>
          <w:rFonts w:hint="eastAsia"/>
          <w:lang w:val="en-US" w:eastAsia="zh-CN"/>
        </w:rPr>
      </w:pPr>
      <w:r>
        <w:rPr>
          <w:rFonts w:hint="eastAsia"/>
          <w:lang w:val="en-US" w:eastAsia="zh-CN"/>
        </w:rPr>
        <w:t>基准值设为1000</w:t>
      </w:r>
    </w:p>
    <w:p w14:paraId="0D99BFA8">
      <w:pPr>
        <w:ind w:firstLine="420" w:firstLineChars="0"/>
        <w:rPr>
          <w:rFonts w:hint="eastAsia"/>
          <w:lang w:val="en-US" w:eastAsia="zh-CN"/>
        </w:rPr>
      </w:pPr>
      <w:r>
        <w:rPr>
          <w:rFonts w:hint="eastAsia"/>
          <w:lang w:val="en-US" w:eastAsia="zh-CN"/>
        </w:rPr>
        <w:t>当前时间t：</w:t>
      </w:r>
    </w:p>
    <w:p w14:paraId="68B6C954">
      <w:pPr>
        <w:ind w:firstLine="420" w:firstLineChars="0"/>
        <w:rPr>
          <w:rFonts w:hint="eastAsia"/>
          <w:lang w:val="en-US" w:eastAsia="zh-CN"/>
        </w:rPr>
      </w:pPr>
      <w:r>
        <w:rPr>
          <w:rFonts w:hint="eastAsia"/>
          <w:lang w:val="en-US" w:eastAsia="zh-CN"/>
        </w:rPr>
        <w:t>基准值为2025年11月5日</w:t>
      </w:r>
    </w:p>
    <w:p w14:paraId="5F8BFE08">
      <w:pPr>
        <w:ind w:firstLine="420" w:firstLineChars="0"/>
        <w:rPr>
          <w:rFonts w:hint="default"/>
          <w:lang w:val="en-US" w:eastAsia="zh-CN"/>
        </w:rPr>
      </w:pPr>
      <w:r>
        <w:rPr>
          <w:rFonts w:hint="eastAsia"/>
          <w:lang w:val="en-US" w:eastAsia="zh-CN"/>
        </w:rPr>
        <w:t>内层期权起始日TV2:</w:t>
      </w:r>
    </w:p>
    <w:p w14:paraId="5CCAF30E">
      <w:pPr>
        <w:ind w:firstLine="420" w:firstLineChars="0"/>
        <w:rPr>
          <w:rFonts w:hint="eastAsia"/>
          <w:lang w:val="en-US" w:eastAsia="zh-CN"/>
        </w:rPr>
      </w:pPr>
      <w:r>
        <w:rPr>
          <w:rFonts w:hint="eastAsia"/>
          <w:lang w:val="en-US" w:eastAsia="zh-CN"/>
        </w:rPr>
        <w:t>参考香港交易所腾讯标准欧式期权交易日，基准值设为2026年2月25日</w:t>
      </w:r>
    </w:p>
    <w:p w14:paraId="44931974">
      <w:pPr>
        <w:ind w:firstLine="420" w:firstLineChars="0"/>
        <w:rPr>
          <w:rFonts w:hint="default"/>
          <w:lang w:val="en-US" w:eastAsia="zh-CN"/>
        </w:rPr>
      </w:pPr>
      <w:r>
        <w:rPr>
          <w:rFonts w:hint="eastAsia"/>
          <w:lang w:val="en-US" w:eastAsia="zh-CN"/>
        </w:rPr>
        <w:t>内层期权到期日TV1:</w:t>
      </w:r>
    </w:p>
    <w:p w14:paraId="6F54FA81">
      <w:pPr>
        <w:ind w:firstLine="420" w:firstLineChars="0"/>
        <w:rPr>
          <w:rFonts w:hint="default"/>
          <w:lang w:val="en-US" w:eastAsia="zh-CN"/>
        </w:rPr>
      </w:pPr>
      <w:r>
        <w:rPr>
          <w:rFonts w:hint="eastAsia"/>
          <w:lang w:val="en-US" w:eastAsia="zh-CN"/>
        </w:rPr>
        <w:t>基准期限为3个月，到期时间为2026年5月26日</w:t>
      </w:r>
    </w:p>
    <w:p w14:paraId="14A36525">
      <w:pPr>
        <w:widowControl w:val="0"/>
        <w:numPr>
          <w:ilvl w:val="0"/>
          <w:numId w:val="0"/>
        </w:numPr>
        <w:spacing w:line="300" w:lineRule="auto"/>
        <w:ind w:firstLine="420" w:firstLineChars="0"/>
        <w:jc w:val="both"/>
        <w:rPr>
          <w:rFonts w:hint="eastAsia"/>
          <w:lang w:val="en-US" w:eastAsia="zh-CN"/>
        </w:rPr>
      </w:pPr>
      <w:r>
        <w:rPr>
          <w:rFonts w:hint="eastAsia"/>
          <w:lang w:val="en-US" w:eastAsia="zh-CN"/>
        </w:rPr>
        <w:t>本文的二项式定价表格如下：</w:t>
      </w:r>
    </w:p>
    <w:tbl>
      <w:tblPr>
        <w:tblStyle w:val="21"/>
        <w:tblW w:w="91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960"/>
        <w:gridCol w:w="1401"/>
        <w:gridCol w:w="1296"/>
        <w:gridCol w:w="1379"/>
        <w:gridCol w:w="960"/>
        <w:gridCol w:w="1402"/>
        <w:gridCol w:w="782"/>
      </w:tblGrid>
      <w:tr w14:paraId="01BDC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36" w:type="dxa"/>
            <w:tcBorders>
              <w:top w:val="single" w:color="auto" w:sz="12" w:space="0"/>
              <w:left w:val="nil"/>
              <w:bottom w:val="single" w:color="auto" w:sz="4" w:space="0"/>
              <w:right w:val="nil"/>
            </w:tcBorders>
            <w:vAlign w:val="center"/>
          </w:tcPr>
          <w:p w14:paraId="12732BFC">
            <w:pPr>
              <w:widowControl w:val="0"/>
              <w:numPr>
                <w:ilvl w:val="0"/>
                <w:numId w:val="0"/>
              </w:numPr>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外层期权类型</w:t>
            </w:r>
          </w:p>
        </w:tc>
        <w:tc>
          <w:tcPr>
            <w:tcW w:w="960" w:type="dxa"/>
            <w:tcBorders>
              <w:top w:val="single" w:color="auto" w:sz="12" w:space="0"/>
              <w:left w:val="nil"/>
              <w:bottom w:val="single" w:color="auto" w:sz="4" w:space="0"/>
              <w:right w:val="nil"/>
            </w:tcBorders>
            <w:vAlign w:val="center"/>
          </w:tcPr>
          <w:p w14:paraId="5C699CFA">
            <w:pPr>
              <w:widowControl w:val="0"/>
              <w:numPr>
                <w:ilvl w:val="0"/>
                <w:numId w:val="0"/>
              </w:numPr>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外层期权执行价K1</w:t>
            </w:r>
          </w:p>
        </w:tc>
        <w:tc>
          <w:tcPr>
            <w:tcW w:w="1401" w:type="dxa"/>
            <w:tcBorders>
              <w:top w:val="single" w:color="auto" w:sz="12" w:space="0"/>
              <w:left w:val="nil"/>
              <w:bottom w:val="single" w:color="auto" w:sz="4" w:space="0"/>
              <w:right w:val="nil"/>
            </w:tcBorders>
            <w:vAlign w:val="center"/>
          </w:tcPr>
          <w:p w14:paraId="76F8B104">
            <w:pPr>
              <w:widowControl w:val="0"/>
              <w:numPr>
                <w:ilvl w:val="0"/>
                <w:numId w:val="0"/>
              </w:numPr>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外层期权时间步N_outer</w:t>
            </w:r>
          </w:p>
        </w:tc>
        <w:tc>
          <w:tcPr>
            <w:tcW w:w="1296" w:type="dxa"/>
            <w:tcBorders>
              <w:top w:val="single" w:color="auto" w:sz="12" w:space="0"/>
              <w:left w:val="nil"/>
              <w:bottom w:val="single" w:color="auto" w:sz="4" w:space="0"/>
              <w:right w:val="nil"/>
            </w:tcBorders>
            <w:shd w:val="clear" w:color="auto" w:fill="auto"/>
            <w:vAlign w:val="center"/>
          </w:tcPr>
          <w:p w14:paraId="055CACFC">
            <w:pPr>
              <w:widowControl w:val="0"/>
              <w:numPr>
                <w:ilvl w:val="0"/>
                <w:numId w:val="0"/>
              </w:numPr>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内层期权类型</w:t>
            </w:r>
          </w:p>
        </w:tc>
        <w:tc>
          <w:tcPr>
            <w:tcW w:w="1379" w:type="dxa"/>
            <w:tcBorders>
              <w:top w:val="single" w:color="auto" w:sz="12" w:space="0"/>
              <w:left w:val="nil"/>
              <w:bottom w:val="single" w:color="auto" w:sz="4" w:space="0"/>
              <w:right w:val="nil"/>
            </w:tcBorders>
            <w:shd w:val="clear" w:color="auto" w:fill="auto"/>
            <w:vAlign w:val="center"/>
          </w:tcPr>
          <w:p w14:paraId="1309A542">
            <w:pPr>
              <w:widowControl w:val="0"/>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b/>
                <w:kern w:val="2"/>
                <w:sz w:val="24"/>
                <w:szCs w:val="21"/>
                <w:vertAlign w:val="baseline"/>
                <w:lang w:val="en-US" w:eastAsia="zh-CN" w:bidi="ar-SA"/>
                <w14:ligatures w14:val="standardContextual"/>
              </w:rPr>
            </w:pPr>
            <w:r>
              <w:rPr>
                <w:rFonts w:hint="eastAsia"/>
                <w:b/>
                <w:vertAlign w:val="baseline"/>
                <w:lang w:val="en-US" w:eastAsia="zh-CN"/>
              </w:rPr>
              <w:t>内层期权期限C_inner（年）</w:t>
            </w:r>
          </w:p>
        </w:tc>
        <w:tc>
          <w:tcPr>
            <w:tcW w:w="960" w:type="dxa"/>
            <w:tcBorders>
              <w:top w:val="single" w:color="auto" w:sz="12" w:space="0"/>
              <w:left w:val="nil"/>
              <w:bottom w:val="single" w:color="auto" w:sz="4" w:space="0"/>
              <w:right w:val="nil"/>
            </w:tcBorders>
            <w:shd w:val="clear" w:color="auto" w:fill="auto"/>
            <w:vAlign w:val="center"/>
          </w:tcPr>
          <w:p w14:paraId="73C2770F">
            <w:pPr>
              <w:widowControl w:val="0"/>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b/>
                <w:kern w:val="2"/>
                <w:sz w:val="24"/>
                <w:szCs w:val="21"/>
                <w:vertAlign w:val="baseline"/>
                <w:lang w:val="en-US" w:eastAsia="zh-CN" w:bidi="ar-SA"/>
                <w14:ligatures w14:val="standardContextual"/>
              </w:rPr>
            </w:pPr>
            <w:r>
              <w:rPr>
                <w:rFonts w:hint="eastAsia"/>
                <w:b/>
                <w:vertAlign w:val="baseline"/>
                <w:lang w:val="en-US" w:eastAsia="zh-CN"/>
              </w:rPr>
              <w:t>内层期权执行价K2</w:t>
            </w:r>
          </w:p>
        </w:tc>
        <w:tc>
          <w:tcPr>
            <w:tcW w:w="1402" w:type="dxa"/>
            <w:tcBorders>
              <w:top w:val="single" w:color="auto" w:sz="12" w:space="0"/>
              <w:left w:val="nil"/>
              <w:bottom w:val="single" w:color="auto" w:sz="4" w:space="0"/>
              <w:right w:val="nil"/>
            </w:tcBorders>
            <w:shd w:val="clear" w:color="auto" w:fill="auto"/>
            <w:vAlign w:val="center"/>
          </w:tcPr>
          <w:p w14:paraId="0E0B4F34">
            <w:pPr>
              <w:widowControl w:val="0"/>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b/>
                <w:kern w:val="2"/>
                <w:sz w:val="24"/>
                <w:szCs w:val="21"/>
                <w:vertAlign w:val="baseline"/>
                <w:lang w:val="en-US" w:eastAsia="zh-CN" w:bidi="ar-SA"/>
                <w14:ligatures w14:val="standardContextual"/>
              </w:rPr>
            </w:pPr>
            <w:r>
              <w:rPr>
                <w:rFonts w:hint="eastAsia"/>
                <w:b/>
                <w:vertAlign w:val="baseline"/>
                <w:lang w:val="en-US" w:eastAsia="zh-CN"/>
              </w:rPr>
              <w:t>内层期权时间步N_inner</w:t>
            </w:r>
          </w:p>
        </w:tc>
        <w:tc>
          <w:tcPr>
            <w:tcW w:w="782" w:type="dxa"/>
            <w:tcBorders>
              <w:top w:val="single" w:color="auto" w:sz="12" w:space="0"/>
              <w:left w:val="nil"/>
              <w:bottom w:val="single" w:color="auto" w:sz="4" w:space="0"/>
              <w:right w:val="nil"/>
            </w:tcBorders>
            <w:shd w:val="clear" w:color="auto" w:fill="auto"/>
            <w:vAlign w:val="center"/>
          </w:tcPr>
          <w:p w14:paraId="5BB2AD75">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b/>
                <w:kern w:val="2"/>
                <w:sz w:val="24"/>
                <w:szCs w:val="21"/>
                <w:vertAlign w:val="baseline"/>
                <w:lang w:val="en-US" w:eastAsia="zh-CN" w:bidi="ar-SA"/>
                <w14:ligatures w14:val="standardContextual"/>
              </w:rPr>
            </w:pPr>
            <w:r>
              <w:rPr>
                <w:rFonts w:hint="eastAsia"/>
                <w:b/>
                <w:vertAlign w:val="baseline"/>
                <w:lang w:val="en-US" w:eastAsia="zh-CN"/>
              </w:rPr>
              <w:t>衍生品X价格</w:t>
            </w:r>
          </w:p>
        </w:tc>
      </w:tr>
      <w:tr w14:paraId="79519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36" w:type="dxa"/>
            <w:tcBorders>
              <w:top w:val="single" w:color="auto" w:sz="4" w:space="0"/>
              <w:left w:val="nil"/>
              <w:bottom w:val="nil"/>
              <w:right w:val="nil"/>
            </w:tcBorders>
            <w:vAlign w:val="center"/>
          </w:tcPr>
          <w:p w14:paraId="51986BCF">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看涨</w:t>
            </w:r>
          </w:p>
        </w:tc>
        <w:tc>
          <w:tcPr>
            <w:tcW w:w="960" w:type="dxa"/>
            <w:tcBorders>
              <w:top w:val="single" w:color="auto" w:sz="4" w:space="0"/>
              <w:left w:val="nil"/>
              <w:bottom w:val="nil"/>
              <w:right w:val="nil"/>
            </w:tcBorders>
            <w:vAlign w:val="center"/>
          </w:tcPr>
          <w:p w14:paraId="0A957C7A">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70</w:t>
            </w:r>
          </w:p>
        </w:tc>
        <w:tc>
          <w:tcPr>
            <w:tcW w:w="1401" w:type="dxa"/>
            <w:tcBorders>
              <w:top w:val="single" w:color="auto" w:sz="4" w:space="0"/>
              <w:left w:val="nil"/>
              <w:bottom w:val="nil"/>
              <w:right w:val="nil"/>
            </w:tcBorders>
            <w:vAlign w:val="center"/>
          </w:tcPr>
          <w:p w14:paraId="26C91C04">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555</w:t>
            </w:r>
          </w:p>
        </w:tc>
        <w:tc>
          <w:tcPr>
            <w:tcW w:w="1296" w:type="dxa"/>
            <w:tcBorders>
              <w:top w:val="single" w:color="auto" w:sz="4" w:space="0"/>
              <w:left w:val="nil"/>
              <w:bottom w:val="nil"/>
              <w:right w:val="nil"/>
            </w:tcBorders>
            <w:vAlign w:val="center"/>
          </w:tcPr>
          <w:p w14:paraId="455E639E">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欧式看跌</w:t>
            </w:r>
          </w:p>
        </w:tc>
        <w:tc>
          <w:tcPr>
            <w:tcW w:w="1379" w:type="dxa"/>
            <w:tcBorders>
              <w:top w:val="single" w:color="auto" w:sz="4" w:space="0"/>
              <w:left w:val="nil"/>
              <w:bottom w:val="nil"/>
              <w:right w:val="nil"/>
            </w:tcBorders>
            <w:vAlign w:val="center"/>
          </w:tcPr>
          <w:p w14:paraId="0138B1B1">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0.25</w:t>
            </w:r>
          </w:p>
        </w:tc>
        <w:tc>
          <w:tcPr>
            <w:tcW w:w="960" w:type="dxa"/>
            <w:tcBorders>
              <w:top w:val="single" w:color="auto" w:sz="4" w:space="0"/>
              <w:left w:val="nil"/>
              <w:bottom w:val="nil"/>
              <w:right w:val="nil"/>
            </w:tcBorders>
            <w:vAlign w:val="center"/>
          </w:tcPr>
          <w:p w14:paraId="52066C2F">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81.31</w:t>
            </w:r>
          </w:p>
        </w:tc>
        <w:tc>
          <w:tcPr>
            <w:tcW w:w="1402" w:type="dxa"/>
            <w:tcBorders>
              <w:top w:val="single" w:color="auto" w:sz="4" w:space="0"/>
              <w:left w:val="nil"/>
              <w:bottom w:val="nil"/>
              <w:right w:val="nil"/>
            </w:tcBorders>
            <w:vAlign w:val="center"/>
          </w:tcPr>
          <w:p w14:paraId="017A6AC8">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445</w:t>
            </w:r>
          </w:p>
        </w:tc>
        <w:tc>
          <w:tcPr>
            <w:tcW w:w="782" w:type="dxa"/>
            <w:tcBorders>
              <w:top w:val="single" w:color="auto" w:sz="4" w:space="0"/>
              <w:left w:val="nil"/>
              <w:bottom w:val="nil"/>
              <w:right w:val="nil"/>
            </w:tcBorders>
            <w:vAlign w:val="center"/>
          </w:tcPr>
          <w:p w14:paraId="56E6F36D">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48.43</w:t>
            </w:r>
          </w:p>
        </w:tc>
      </w:tr>
      <w:tr w14:paraId="4502D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36" w:type="dxa"/>
            <w:tcBorders>
              <w:top w:val="nil"/>
              <w:left w:val="nil"/>
              <w:bottom w:val="nil"/>
              <w:right w:val="nil"/>
            </w:tcBorders>
            <w:vAlign w:val="center"/>
          </w:tcPr>
          <w:p w14:paraId="036FF0CD">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看涨</w:t>
            </w:r>
          </w:p>
        </w:tc>
        <w:tc>
          <w:tcPr>
            <w:tcW w:w="960" w:type="dxa"/>
            <w:tcBorders>
              <w:top w:val="nil"/>
              <w:left w:val="nil"/>
              <w:bottom w:val="nil"/>
              <w:right w:val="nil"/>
            </w:tcBorders>
            <w:vAlign w:val="center"/>
          </w:tcPr>
          <w:p w14:paraId="175D0756">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70</w:t>
            </w:r>
          </w:p>
        </w:tc>
        <w:tc>
          <w:tcPr>
            <w:tcW w:w="1401" w:type="dxa"/>
            <w:tcBorders>
              <w:top w:val="nil"/>
              <w:left w:val="nil"/>
              <w:bottom w:val="nil"/>
              <w:right w:val="nil"/>
            </w:tcBorders>
            <w:vAlign w:val="center"/>
          </w:tcPr>
          <w:p w14:paraId="5267E403">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555</w:t>
            </w:r>
          </w:p>
        </w:tc>
        <w:tc>
          <w:tcPr>
            <w:tcW w:w="1296" w:type="dxa"/>
            <w:tcBorders>
              <w:top w:val="nil"/>
              <w:left w:val="nil"/>
              <w:bottom w:val="nil"/>
              <w:right w:val="nil"/>
            </w:tcBorders>
            <w:vAlign w:val="center"/>
          </w:tcPr>
          <w:p w14:paraId="1D23B4EF">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美式看跌</w:t>
            </w:r>
          </w:p>
        </w:tc>
        <w:tc>
          <w:tcPr>
            <w:tcW w:w="1379" w:type="dxa"/>
            <w:tcBorders>
              <w:top w:val="nil"/>
              <w:left w:val="nil"/>
              <w:bottom w:val="nil"/>
              <w:right w:val="nil"/>
            </w:tcBorders>
            <w:vAlign w:val="center"/>
          </w:tcPr>
          <w:p w14:paraId="0945B099">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0.25</w:t>
            </w:r>
          </w:p>
        </w:tc>
        <w:tc>
          <w:tcPr>
            <w:tcW w:w="960" w:type="dxa"/>
            <w:tcBorders>
              <w:top w:val="nil"/>
              <w:left w:val="nil"/>
              <w:bottom w:val="nil"/>
              <w:right w:val="nil"/>
            </w:tcBorders>
            <w:vAlign w:val="center"/>
          </w:tcPr>
          <w:p w14:paraId="0191A474">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81.31</w:t>
            </w:r>
          </w:p>
        </w:tc>
        <w:tc>
          <w:tcPr>
            <w:tcW w:w="1402" w:type="dxa"/>
            <w:tcBorders>
              <w:top w:val="nil"/>
              <w:left w:val="nil"/>
              <w:bottom w:val="nil"/>
              <w:right w:val="nil"/>
            </w:tcBorders>
            <w:vAlign w:val="center"/>
          </w:tcPr>
          <w:p w14:paraId="64F413BA">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445</w:t>
            </w:r>
          </w:p>
        </w:tc>
        <w:tc>
          <w:tcPr>
            <w:tcW w:w="782" w:type="dxa"/>
            <w:tcBorders>
              <w:top w:val="nil"/>
              <w:left w:val="nil"/>
              <w:bottom w:val="nil"/>
              <w:right w:val="nil"/>
            </w:tcBorders>
            <w:vAlign w:val="center"/>
          </w:tcPr>
          <w:p w14:paraId="4892B330">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51.18</w:t>
            </w:r>
          </w:p>
        </w:tc>
      </w:tr>
    </w:tbl>
    <w:p w14:paraId="6BE317E5">
      <w:pPr>
        <w:widowControl w:val="0"/>
        <w:numPr>
          <w:ilvl w:val="0"/>
          <w:numId w:val="0"/>
        </w:numPr>
        <w:spacing w:line="300" w:lineRule="auto"/>
        <w:ind w:firstLine="420" w:firstLineChars="0"/>
        <w:jc w:val="both"/>
        <w:rPr>
          <w:rFonts w:hint="default"/>
          <w:lang w:val="en-US" w:eastAsia="zh-CN"/>
        </w:rPr>
      </w:pPr>
    </w:p>
    <w:p w14:paraId="60BFA167">
      <w:pPr>
        <w:pStyle w:val="3"/>
        <w:bidi w:val="0"/>
        <w:rPr>
          <w:rFonts w:hint="eastAsia"/>
          <w:lang w:val="en-US" w:eastAsia="zh-CN"/>
        </w:rPr>
      </w:pPr>
      <w:bookmarkStart w:id="16" w:name="_Toc17825"/>
      <w:r>
        <w:rPr>
          <w:rFonts w:hint="eastAsia"/>
          <w:lang w:val="en-US" w:eastAsia="zh-CN"/>
        </w:rPr>
        <w:t>3.3 二项式定价敏感性分析</w:t>
      </w:r>
      <w:bookmarkEnd w:id="16"/>
    </w:p>
    <w:p w14:paraId="243AF82A">
      <w:pPr>
        <w:rPr>
          <w:rFonts w:hint="eastAsia" w:hAnsi="Cambria Math"/>
          <w:i w:val="0"/>
          <w:lang w:val="en-US" w:eastAsia="zh-CN"/>
        </w:rPr>
      </w:pPr>
      <w:r>
        <w:rPr>
          <w:rFonts w:hint="eastAsia"/>
          <w:lang w:val="en-US" w:eastAsia="zh-CN"/>
        </w:rPr>
        <w:t>3.3.1 波动率</w:t>
      </w:r>
      <m:oMath>
        <m:r>
          <m:rPr/>
          <w:rPr>
            <w:rFonts w:ascii="Cambria Math" w:hAnsi="Cambria Math"/>
            <w:lang w:val="en-US"/>
          </w:rPr>
          <m:t>σ</m:t>
        </m:r>
      </m:oMath>
      <w:r>
        <w:rPr>
          <w:rFonts w:hint="eastAsia" w:hAnsi="Cambria Math"/>
          <w:i w:val="0"/>
          <w:lang w:val="en-US" w:eastAsia="zh-CN"/>
        </w:rPr>
        <w:t>的敏感性分析</w:t>
      </w:r>
    </w:p>
    <w:p w14:paraId="0EAA1908">
      <w:pPr>
        <w:ind w:firstLine="420" w:firstLineChars="0"/>
        <w:rPr>
          <w:rFonts w:hint="eastAsia" w:hAnsi="Cambria Math"/>
          <w:i w:val="0"/>
          <w:lang w:val="en-US" w:eastAsia="zh-CN"/>
        </w:rPr>
      </w:pPr>
      <w:r>
        <w:rPr>
          <w:rFonts w:hint="eastAsia" w:hAnsi="Cambria Math"/>
          <w:i w:val="0"/>
          <w:lang w:val="en-US" w:eastAsia="zh-CN"/>
        </w:rPr>
        <w:t>理论上，标的资产波动率上升，内层期权到期处于实值的概率增大，内层期权的期望收益增加，内层期权T时刻的期望价格增加，即外层期权期望收益增加，外层期权的价格上升。</w:t>
      </w:r>
    </w:p>
    <w:p w14:paraId="36A82F17">
      <w:pPr>
        <w:ind w:firstLine="420" w:firstLineChars="0"/>
        <m:rPr/>
        <w:rPr>
          <w:rFonts w:hint="eastAsia" w:hAnsi="Cambria Math"/>
          <w:i w:val="0"/>
          <w:lang w:val="en-US" w:eastAsia="zh-CN"/>
        </w:rPr>
      </w:pPr>
      <w:r>
        <w:rPr>
          <w:rFonts w:hint="eastAsia" w:hAnsi="Cambria Math"/>
          <w:i w:val="0"/>
          <w:lang w:val="en-US" w:eastAsia="zh-CN"/>
        </w:rPr>
        <w:t>本文的基准</w:t>
      </w:r>
      <w:r>
        <w:rPr>
          <w:rFonts w:hint="eastAsia"/>
          <w:lang w:val="en-US" w:eastAsia="zh-CN"/>
        </w:rPr>
        <w:t>波动率</w:t>
      </w:r>
      <m:oMath>
        <m:r>
          <m:rPr/>
          <w:rPr>
            <w:rFonts w:ascii="Cambria Math" w:hAnsi="Cambria Math"/>
            <w:lang w:val="en-US"/>
          </w:rPr>
          <m:t>σ</m:t>
        </m:r>
      </m:oMath>
      <w:r>
        <m:rPr/>
        <w:rPr>
          <w:rFonts w:hint="eastAsia" w:hAnsi="Cambria Math"/>
          <w:i w:val="0"/>
          <w:lang w:val="en-US" w:eastAsia="zh-CN"/>
        </w:rPr>
        <w:t>为0.35，为验证上述推论，本文取波动率变化率为基准值1%,3%,5%及10%的波动率分别进行敏感性分析，得出衍生品X的价格如下表所示：</w:t>
      </w:r>
    </w:p>
    <w:p w14:paraId="0B71E06C">
      <w:pPr>
        <w:ind w:firstLine="420" w:firstLineChars="0"/>
        <m:rPr/>
        <w:rPr>
          <w:rFonts w:hint="eastAsia" w:hAnsi="Cambria Math"/>
          <w:i w:val="0"/>
          <w:lang w:val="en-US" w:eastAsia="zh-CN"/>
        </w:rPr>
      </w:pPr>
    </w:p>
    <w:tbl>
      <w:tblPr>
        <w:tblStyle w:val="21"/>
        <w:tblW w:w="78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3"/>
        <w:gridCol w:w="902"/>
        <w:gridCol w:w="929"/>
        <w:gridCol w:w="1236"/>
        <w:gridCol w:w="1356"/>
        <w:gridCol w:w="945"/>
        <w:gridCol w:w="780"/>
        <w:gridCol w:w="956"/>
      </w:tblGrid>
      <w:tr w14:paraId="2C05C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73" w:type="dxa"/>
            <w:tcBorders>
              <w:top w:val="single" w:color="auto" w:sz="12" w:space="0"/>
              <w:left w:val="nil"/>
              <w:bottom w:val="single" w:color="auto" w:sz="4" w:space="0"/>
              <w:right w:val="nil"/>
            </w:tcBorders>
            <w:shd w:val="clear" w:color="auto" w:fill="auto"/>
            <w:vAlign w:val="center"/>
          </w:tcPr>
          <w:p w14:paraId="6FFF0FDF">
            <w:pPr>
              <w:widowControl w:val="0"/>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b/>
                <w:kern w:val="2"/>
                <w:sz w:val="24"/>
                <w:szCs w:val="21"/>
                <w:vertAlign w:val="baseline"/>
                <w:lang w:val="en-US" w:eastAsia="zh-CN" w:bidi="ar-SA"/>
                <w14:ligatures w14:val="standardContextual"/>
              </w:rPr>
            </w:pPr>
            <w:r>
              <w:rPr>
                <w:rFonts w:hint="eastAsia" w:cs="Times New Roman"/>
                <w:b/>
                <w:kern w:val="2"/>
                <w:sz w:val="24"/>
                <w:szCs w:val="21"/>
                <w:vertAlign w:val="baseline"/>
                <w:lang w:val="en-US" w:eastAsia="zh-CN" w:bidi="ar-SA"/>
                <w14:ligatures w14:val="standardContextual"/>
              </w:rPr>
              <w:t>波动率变化率(%)</w:t>
            </w:r>
          </w:p>
        </w:tc>
        <w:tc>
          <w:tcPr>
            <w:tcW w:w="902" w:type="dxa"/>
            <w:tcBorders>
              <w:top w:val="single" w:color="auto" w:sz="12" w:space="0"/>
              <w:left w:val="nil"/>
              <w:bottom w:val="single" w:color="auto" w:sz="4" w:space="0"/>
              <w:right w:val="nil"/>
            </w:tcBorders>
            <w:vAlign w:val="center"/>
          </w:tcPr>
          <w:p w14:paraId="5B11582A">
            <w:pPr>
              <w:widowControl w:val="0"/>
              <w:numPr>
                <w:ilvl w:val="0"/>
                <w:numId w:val="0"/>
              </w:numPr>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外层期权类型</w:t>
            </w:r>
          </w:p>
        </w:tc>
        <w:tc>
          <w:tcPr>
            <w:tcW w:w="929" w:type="dxa"/>
            <w:tcBorders>
              <w:top w:val="single" w:color="auto" w:sz="12" w:space="0"/>
              <w:left w:val="nil"/>
              <w:bottom w:val="single" w:color="auto" w:sz="4" w:space="0"/>
              <w:right w:val="nil"/>
            </w:tcBorders>
            <w:vAlign w:val="center"/>
          </w:tcPr>
          <w:p w14:paraId="5A695C64">
            <w:pPr>
              <w:widowControl w:val="0"/>
              <w:numPr>
                <w:ilvl w:val="0"/>
                <w:numId w:val="0"/>
              </w:numPr>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外层期权执行价K1</w:t>
            </w:r>
          </w:p>
        </w:tc>
        <w:tc>
          <w:tcPr>
            <w:tcW w:w="1236" w:type="dxa"/>
            <w:tcBorders>
              <w:top w:val="single" w:color="auto" w:sz="12" w:space="0"/>
              <w:left w:val="nil"/>
              <w:bottom w:val="single" w:color="auto" w:sz="4" w:space="0"/>
              <w:right w:val="nil"/>
            </w:tcBorders>
            <w:shd w:val="clear" w:color="auto" w:fill="auto"/>
            <w:vAlign w:val="center"/>
          </w:tcPr>
          <w:p w14:paraId="412D9AFE">
            <w:pPr>
              <w:widowControl w:val="0"/>
              <w:numPr>
                <w:ilvl w:val="0"/>
                <w:numId w:val="0"/>
              </w:numPr>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内层期权类型</w:t>
            </w:r>
          </w:p>
        </w:tc>
        <w:tc>
          <w:tcPr>
            <w:tcW w:w="1356" w:type="dxa"/>
            <w:tcBorders>
              <w:top w:val="single" w:color="auto" w:sz="12" w:space="0"/>
              <w:left w:val="nil"/>
              <w:bottom w:val="single" w:color="auto" w:sz="4" w:space="0"/>
              <w:right w:val="nil"/>
            </w:tcBorders>
            <w:shd w:val="clear" w:color="auto" w:fill="auto"/>
            <w:vAlign w:val="center"/>
          </w:tcPr>
          <w:p w14:paraId="0BFBA4B9">
            <w:pPr>
              <w:widowControl w:val="0"/>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b/>
                <w:kern w:val="2"/>
                <w:sz w:val="24"/>
                <w:szCs w:val="21"/>
                <w:vertAlign w:val="baseline"/>
                <w:lang w:val="en-US" w:eastAsia="zh-CN" w:bidi="ar-SA"/>
                <w14:ligatures w14:val="standardContextual"/>
              </w:rPr>
            </w:pPr>
            <w:r>
              <w:rPr>
                <w:rFonts w:hint="eastAsia"/>
                <w:b/>
                <w:vertAlign w:val="baseline"/>
                <w:lang w:val="en-US" w:eastAsia="zh-CN"/>
              </w:rPr>
              <w:t>内层期权期限C_inner（年）</w:t>
            </w:r>
          </w:p>
        </w:tc>
        <w:tc>
          <w:tcPr>
            <w:tcW w:w="945" w:type="dxa"/>
            <w:tcBorders>
              <w:top w:val="single" w:color="auto" w:sz="12" w:space="0"/>
              <w:left w:val="nil"/>
              <w:bottom w:val="single" w:color="auto" w:sz="4" w:space="0"/>
              <w:right w:val="nil"/>
            </w:tcBorders>
            <w:shd w:val="clear" w:color="auto" w:fill="auto"/>
            <w:vAlign w:val="center"/>
          </w:tcPr>
          <w:p w14:paraId="0D439A4B">
            <w:pPr>
              <w:widowControl w:val="0"/>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b/>
                <w:kern w:val="2"/>
                <w:sz w:val="24"/>
                <w:szCs w:val="21"/>
                <w:vertAlign w:val="baseline"/>
                <w:lang w:val="en-US" w:eastAsia="zh-CN" w:bidi="ar-SA"/>
                <w14:ligatures w14:val="standardContextual"/>
              </w:rPr>
            </w:pPr>
            <w:r>
              <w:rPr>
                <w:rFonts w:hint="eastAsia"/>
                <w:b/>
                <w:vertAlign w:val="baseline"/>
                <w:lang w:val="en-US" w:eastAsia="zh-CN"/>
              </w:rPr>
              <w:t>内层期权执行价K2</w:t>
            </w:r>
          </w:p>
        </w:tc>
        <w:tc>
          <w:tcPr>
            <w:tcW w:w="780" w:type="dxa"/>
            <w:tcBorders>
              <w:top w:val="single" w:color="auto" w:sz="12" w:space="0"/>
              <w:left w:val="nil"/>
              <w:bottom w:val="single" w:color="auto" w:sz="4" w:space="0"/>
              <w:right w:val="nil"/>
            </w:tcBorders>
            <w:shd w:val="clear" w:color="auto" w:fill="auto"/>
            <w:vAlign w:val="center"/>
          </w:tcPr>
          <w:p w14:paraId="4CA369BD">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b/>
                <w:kern w:val="2"/>
                <w:sz w:val="24"/>
                <w:szCs w:val="21"/>
                <w:vertAlign w:val="baseline"/>
                <w:lang w:val="en-US" w:eastAsia="zh-CN" w:bidi="ar-SA"/>
                <w14:ligatures w14:val="standardContextual"/>
              </w:rPr>
            </w:pPr>
            <w:r>
              <w:rPr>
                <w:rFonts w:hint="eastAsia"/>
                <w:b/>
                <w:vertAlign w:val="baseline"/>
                <w:lang w:val="en-US" w:eastAsia="zh-CN"/>
              </w:rPr>
              <w:t>衍生品X价格</w:t>
            </w:r>
          </w:p>
        </w:tc>
        <w:tc>
          <w:tcPr>
            <w:tcW w:w="956" w:type="dxa"/>
            <w:tcBorders>
              <w:top w:val="single" w:color="auto" w:sz="12" w:space="0"/>
              <w:left w:val="nil"/>
              <w:bottom w:val="single" w:color="auto" w:sz="4" w:space="0"/>
              <w:right w:val="nil"/>
            </w:tcBorders>
            <w:shd w:val="clear" w:color="auto" w:fill="auto"/>
            <w:vAlign w:val="center"/>
          </w:tcPr>
          <w:p w14:paraId="71B1D194">
            <w:pPr>
              <w:widowControl w:val="0"/>
              <w:numPr>
                <w:ilvl w:val="0"/>
                <w:numId w:val="0"/>
              </w:numPr>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X的价格变化率</w:t>
            </w:r>
          </w:p>
        </w:tc>
      </w:tr>
      <w:tr w14:paraId="45D68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73" w:type="dxa"/>
            <w:tcBorders>
              <w:top w:val="single" w:color="auto" w:sz="4" w:space="0"/>
              <w:left w:val="nil"/>
              <w:bottom w:val="nil"/>
              <w:right w:val="nil"/>
            </w:tcBorders>
            <w:shd w:val="clear"/>
            <w:vAlign w:val="center"/>
          </w:tcPr>
          <w:p w14:paraId="183B9758">
            <w:pPr>
              <w:widowControl w:val="0"/>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kern w:val="2"/>
                <w:sz w:val="24"/>
                <w:szCs w:val="21"/>
                <w:vertAlign w:val="baseline"/>
                <w:lang w:val="en-US" w:eastAsia="zh-CN" w:bidi="ar-SA"/>
                <w14:ligatures w14:val="standardContextual"/>
              </w:rPr>
            </w:pPr>
            <w:r>
              <w:rPr>
                <w:rFonts w:hint="eastAsia" w:cs="Times New Roman"/>
                <w:kern w:val="2"/>
                <w:sz w:val="24"/>
                <w:szCs w:val="21"/>
                <w:vertAlign w:val="baseline"/>
                <w:lang w:val="en-US" w:eastAsia="zh-CN" w:bidi="ar-SA"/>
                <w14:ligatures w14:val="standardContextual"/>
              </w:rPr>
              <w:t>0%</w:t>
            </w:r>
          </w:p>
        </w:tc>
        <w:tc>
          <w:tcPr>
            <w:tcW w:w="902" w:type="dxa"/>
            <w:tcBorders>
              <w:top w:val="single" w:color="auto" w:sz="4" w:space="0"/>
              <w:left w:val="nil"/>
              <w:bottom w:val="nil"/>
              <w:right w:val="nil"/>
            </w:tcBorders>
            <w:vAlign w:val="center"/>
          </w:tcPr>
          <w:p w14:paraId="07D2F127">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看涨</w:t>
            </w:r>
          </w:p>
        </w:tc>
        <w:tc>
          <w:tcPr>
            <w:tcW w:w="929" w:type="dxa"/>
            <w:tcBorders>
              <w:top w:val="single" w:color="auto" w:sz="4" w:space="0"/>
              <w:left w:val="nil"/>
              <w:bottom w:val="nil"/>
              <w:right w:val="nil"/>
            </w:tcBorders>
            <w:vAlign w:val="center"/>
          </w:tcPr>
          <w:p w14:paraId="24F24F5C">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70</w:t>
            </w:r>
          </w:p>
        </w:tc>
        <w:tc>
          <w:tcPr>
            <w:tcW w:w="1236" w:type="dxa"/>
            <w:tcBorders>
              <w:top w:val="single" w:color="auto" w:sz="4" w:space="0"/>
              <w:left w:val="nil"/>
              <w:bottom w:val="nil"/>
              <w:right w:val="nil"/>
            </w:tcBorders>
            <w:vAlign w:val="center"/>
          </w:tcPr>
          <w:p w14:paraId="7CFDD5AF">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欧式看跌</w:t>
            </w:r>
          </w:p>
        </w:tc>
        <w:tc>
          <w:tcPr>
            <w:tcW w:w="1356" w:type="dxa"/>
            <w:tcBorders>
              <w:top w:val="single" w:color="auto" w:sz="4" w:space="0"/>
              <w:left w:val="nil"/>
              <w:bottom w:val="nil"/>
              <w:right w:val="nil"/>
            </w:tcBorders>
            <w:vAlign w:val="center"/>
          </w:tcPr>
          <w:p w14:paraId="0BDC6CBC">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0.25</w:t>
            </w:r>
          </w:p>
        </w:tc>
        <w:tc>
          <w:tcPr>
            <w:tcW w:w="945" w:type="dxa"/>
            <w:tcBorders>
              <w:top w:val="single" w:color="auto" w:sz="4" w:space="0"/>
              <w:left w:val="nil"/>
              <w:bottom w:val="nil"/>
              <w:right w:val="nil"/>
            </w:tcBorders>
            <w:vAlign w:val="center"/>
          </w:tcPr>
          <w:p w14:paraId="54190443">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81.31</w:t>
            </w:r>
          </w:p>
        </w:tc>
        <w:tc>
          <w:tcPr>
            <w:tcW w:w="780" w:type="dxa"/>
            <w:tcBorders>
              <w:top w:val="single" w:color="auto" w:sz="4" w:space="0"/>
              <w:left w:val="nil"/>
              <w:bottom w:val="nil"/>
              <w:right w:val="nil"/>
            </w:tcBorders>
            <w:vAlign w:val="center"/>
          </w:tcPr>
          <w:p w14:paraId="5F6275B4">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48.43</w:t>
            </w:r>
          </w:p>
        </w:tc>
        <w:tc>
          <w:tcPr>
            <w:tcW w:w="956" w:type="dxa"/>
            <w:tcBorders>
              <w:top w:val="single" w:color="auto" w:sz="4" w:space="0"/>
              <w:left w:val="nil"/>
              <w:bottom w:val="nil"/>
              <w:right w:val="nil"/>
            </w:tcBorders>
            <w:vAlign w:val="center"/>
          </w:tcPr>
          <w:p w14:paraId="476968BE">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0%</w:t>
            </w:r>
          </w:p>
        </w:tc>
      </w:tr>
      <w:tr w14:paraId="17C4A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773" w:type="dxa"/>
            <w:tcBorders>
              <w:top w:val="nil"/>
              <w:left w:val="nil"/>
              <w:bottom w:val="nil"/>
              <w:right w:val="nil"/>
            </w:tcBorders>
            <w:shd w:val="clear"/>
            <w:vAlign w:val="center"/>
          </w:tcPr>
          <w:p w14:paraId="3AC995C4">
            <w:pPr>
              <w:widowControl w:val="0"/>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kern w:val="2"/>
                <w:sz w:val="24"/>
                <w:szCs w:val="21"/>
                <w:vertAlign w:val="baseline"/>
                <w:lang w:val="en-US" w:eastAsia="zh-CN" w:bidi="ar-SA"/>
                <w14:ligatures w14:val="standardContextual"/>
              </w:rPr>
            </w:pPr>
            <w:r>
              <w:rPr>
                <w:rFonts w:hint="eastAsia" w:cs="Times New Roman"/>
                <w:kern w:val="2"/>
                <w:sz w:val="24"/>
                <w:szCs w:val="21"/>
                <w:vertAlign w:val="baseline"/>
                <w:lang w:val="en-US" w:eastAsia="zh-CN" w:bidi="ar-SA"/>
                <w14:ligatures w14:val="standardContextual"/>
              </w:rPr>
              <w:t>1%</w:t>
            </w:r>
          </w:p>
        </w:tc>
        <w:tc>
          <w:tcPr>
            <w:tcW w:w="902" w:type="dxa"/>
            <w:tcBorders>
              <w:top w:val="nil"/>
              <w:left w:val="nil"/>
              <w:bottom w:val="nil"/>
              <w:right w:val="nil"/>
            </w:tcBorders>
            <w:shd w:val="clear"/>
            <w:vAlign w:val="center"/>
          </w:tcPr>
          <w:p w14:paraId="510597C8">
            <w:pPr>
              <w:widowControl w:val="0"/>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看涨</w:t>
            </w:r>
          </w:p>
        </w:tc>
        <w:tc>
          <w:tcPr>
            <w:tcW w:w="929" w:type="dxa"/>
            <w:tcBorders>
              <w:top w:val="nil"/>
              <w:left w:val="nil"/>
              <w:bottom w:val="nil"/>
              <w:right w:val="nil"/>
            </w:tcBorders>
            <w:shd w:val="clear"/>
            <w:vAlign w:val="center"/>
          </w:tcPr>
          <w:p w14:paraId="7ACE5A94">
            <w:pPr>
              <w:widowControl w:val="0"/>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70</w:t>
            </w:r>
          </w:p>
        </w:tc>
        <w:tc>
          <w:tcPr>
            <w:tcW w:w="1236" w:type="dxa"/>
            <w:tcBorders>
              <w:top w:val="nil"/>
              <w:left w:val="nil"/>
              <w:bottom w:val="nil"/>
              <w:right w:val="nil"/>
            </w:tcBorders>
            <w:shd w:val="clear"/>
            <w:vAlign w:val="center"/>
          </w:tcPr>
          <w:p w14:paraId="43723117">
            <w:pPr>
              <w:widowControl w:val="0"/>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欧式看跌</w:t>
            </w:r>
          </w:p>
        </w:tc>
        <w:tc>
          <w:tcPr>
            <w:tcW w:w="1356" w:type="dxa"/>
            <w:tcBorders>
              <w:top w:val="nil"/>
              <w:left w:val="nil"/>
              <w:bottom w:val="nil"/>
              <w:right w:val="nil"/>
            </w:tcBorders>
            <w:shd w:val="clear"/>
            <w:vAlign w:val="center"/>
          </w:tcPr>
          <w:p w14:paraId="44ADD2AA">
            <w:pPr>
              <w:widowControl w:val="0"/>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0.25</w:t>
            </w:r>
          </w:p>
        </w:tc>
        <w:tc>
          <w:tcPr>
            <w:tcW w:w="945" w:type="dxa"/>
            <w:tcBorders>
              <w:top w:val="nil"/>
              <w:left w:val="nil"/>
              <w:bottom w:val="nil"/>
              <w:right w:val="nil"/>
            </w:tcBorders>
            <w:shd w:val="clear"/>
            <w:vAlign w:val="center"/>
          </w:tcPr>
          <w:p w14:paraId="082F9D81">
            <w:pPr>
              <w:widowControl w:val="0"/>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81.31</w:t>
            </w:r>
          </w:p>
        </w:tc>
        <w:tc>
          <w:tcPr>
            <w:tcW w:w="780" w:type="dxa"/>
            <w:tcBorders>
              <w:top w:val="nil"/>
              <w:left w:val="nil"/>
              <w:bottom w:val="nil"/>
              <w:right w:val="nil"/>
            </w:tcBorders>
            <w:vAlign w:val="center"/>
          </w:tcPr>
          <w:p w14:paraId="43B30287">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50.46</w:t>
            </w:r>
          </w:p>
        </w:tc>
        <w:tc>
          <w:tcPr>
            <w:tcW w:w="956" w:type="dxa"/>
            <w:tcBorders>
              <w:top w:val="nil"/>
              <w:left w:val="nil"/>
              <w:bottom w:val="nil"/>
              <w:right w:val="nil"/>
            </w:tcBorders>
            <w:vAlign w:val="center"/>
          </w:tcPr>
          <w:p w14:paraId="1AD64684">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4.19%</w:t>
            </w:r>
          </w:p>
        </w:tc>
      </w:tr>
      <w:tr w14:paraId="575DC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73" w:type="dxa"/>
            <w:tcBorders>
              <w:top w:val="nil"/>
              <w:left w:val="nil"/>
              <w:bottom w:val="nil"/>
              <w:right w:val="nil"/>
            </w:tcBorders>
            <w:shd w:val="clear"/>
            <w:vAlign w:val="center"/>
          </w:tcPr>
          <w:p w14:paraId="7DE03EC4">
            <w:pPr>
              <w:widowControl w:val="0"/>
              <w:numPr>
                <w:ilvl w:val="0"/>
                <w:numId w:val="0"/>
              </w:numPr>
              <w:snapToGrid w:val="0"/>
              <w:spacing w:line="240" w:lineRule="auto"/>
              <w:ind w:left="0" w:leftChars="0" w:right="0" w:rightChars="0" w:firstLine="0" w:firstLineChars="0"/>
              <w:jc w:val="center"/>
              <w:rPr>
                <w:rFonts w:hint="default" w:cs="Times New Roman"/>
                <w:kern w:val="2"/>
                <w:sz w:val="24"/>
                <w:szCs w:val="21"/>
                <w:vertAlign w:val="baseline"/>
                <w:lang w:val="en-US" w:eastAsia="zh-CN" w:bidi="ar-SA"/>
                <w14:ligatures w14:val="standardContextual"/>
              </w:rPr>
            </w:pPr>
            <w:r>
              <w:rPr>
                <w:rFonts w:hint="eastAsia" w:cs="Times New Roman"/>
                <w:kern w:val="2"/>
                <w:sz w:val="24"/>
                <w:szCs w:val="21"/>
                <w:vertAlign w:val="baseline"/>
                <w:lang w:val="en-US" w:eastAsia="zh-CN" w:bidi="ar-SA"/>
                <w14:ligatures w14:val="standardContextual"/>
              </w:rPr>
              <w:t>3%</w:t>
            </w:r>
          </w:p>
        </w:tc>
        <w:tc>
          <w:tcPr>
            <w:tcW w:w="902" w:type="dxa"/>
            <w:tcBorders>
              <w:top w:val="nil"/>
              <w:left w:val="nil"/>
              <w:bottom w:val="nil"/>
              <w:right w:val="nil"/>
            </w:tcBorders>
            <w:shd w:val="clear" w:color="auto" w:fill="auto"/>
            <w:vAlign w:val="center"/>
          </w:tcPr>
          <w:p w14:paraId="74F21F0F">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看涨</w:t>
            </w:r>
          </w:p>
        </w:tc>
        <w:tc>
          <w:tcPr>
            <w:tcW w:w="929" w:type="dxa"/>
            <w:tcBorders>
              <w:top w:val="nil"/>
              <w:left w:val="nil"/>
              <w:bottom w:val="nil"/>
              <w:right w:val="nil"/>
            </w:tcBorders>
            <w:shd w:val="clear" w:color="auto" w:fill="auto"/>
            <w:vAlign w:val="center"/>
          </w:tcPr>
          <w:p w14:paraId="373C0AE5">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70</w:t>
            </w:r>
          </w:p>
        </w:tc>
        <w:tc>
          <w:tcPr>
            <w:tcW w:w="1236" w:type="dxa"/>
            <w:tcBorders>
              <w:top w:val="nil"/>
              <w:left w:val="nil"/>
              <w:bottom w:val="nil"/>
              <w:right w:val="nil"/>
            </w:tcBorders>
            <w:shd w:val="clear" w:color="auto" w:fill="auto"/>
            <w:vAlign w:val="center"/>
          </w:tcPr>
          <w:p w14:paraId="0FA754A2">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欧式看跌</w:t>
            </w:r>
          </w:p>
        </w:tc>
        <w:tc>
          <w:tcPr>
            <w:tcW w:w="1356" w:type="dxa"/>
            <w:tcBorders>
              <w:top w:val="nil"/>
              <w:left w:val="nil"/>
              <w:bottom w:val="nil"/>
              <w:right w:val="nil"/>
            </w:tcBorders>
            <w:shd w:val="clear" w:color="auto" w:fill="auto"/>
            <w:vAlign w:val="center"/>
          </w:tcPr>
          <w:p w14:paraId="67413FD4">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0.25</w:t>
            </w:r>
          </w:p>
        </w:tc>
        <w:tc>
          <w:tcPr>
            <w:tcW w:w="945" w:type="dxa"/>
            <w:tcBorders>
              <w:top w:val="nil"/>
              <w:left w:val="nil"/>
              <w:bottom w:val="nil"/>
              <w:right w:val="nil"/>
            </w:tcBorders>
            <w:shd w:val="clear" w:color="auto" w:fill="auto"/>
            <w:vAlign w:val="center"/>
          </w:tcPr>
          <w:p w14:paraId="606CC5A0">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81.31</w:t>
            </w:r>
          </w:p>
        </w:tc>
        <w:tc>
          <w:tcPr>
            <w:tcW w:w="780" w:type="dxa"/>
            <w:tcBorders>
              <w:top w:val="nil"/>
              <w:left w:val="nil"/>
              <w:bottom w:val="nil"/>
              <w:right w:val="nil"/>
            </w:tcBorders>
            <w:vAlign w:val="center"/>
          </w:tcPr>
          <w:p w14:paraId="1439DBDA">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52.07</w:t>
            </w:r>
          </w:p>
        </w:tc>
        <w:tc>
          <w:tcPr>
            <w:tcW w:w="956" w:type="dxa"/>
            <w:tcBorders>
              <w:top w:val="nil"/>
              <w:left w:val="nil"/>
              <w:bottom w:val="nil"/>
              <w:right w:val="nil"/>
            </w:tcBorders>
            <w:vAlign w:val="center"/>
          </w:tcPr>
          <w:p w14:paraId="73823E5C">
            <w:pPr>
              <w:widowControl w:val="0"/>
              <w:numPr>
                <w:ilvl w:val="0"/>
                <w:numId w:val="0"/>
              </w:numPr>
              <w:snapToGrid w:val="0"/>
              <w:spacing w:line="24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7.51%</w:t>
            </w:r>
          </w:p>
        </w:tc>
      </w:tr>
      <w:tr w14:paraId="5DEB9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73" w:type="dxa"/>
            <w:tcBorders>
              <w:top w:val="nil"/>
              <w:left w:val="nil"/>
              <w:bottom w:val="nil"/>
              <w:right w:val="nil"/>
            </w:tcBorders>
            <w:shd w:val="clear"/>
            <w:vAlign w:val="center"/>
          </w:tcPr>
          <w:p w14:paraId="71DE04D7">
            <w:pPr>
              <w:widowControl w:val="0"/>
              <w:numPr>
                <w:ilvl w:val="0"/>
                <w:numId w:val="0"/>
              </w:numPr>
              <w:snapToGrid w:val="0"/>
              <w:spacing w:line="240" w:lineRule="auto"/>
              <w:ind w:left="0" w:leftChars="0" w:right="0" w:rightChars="0" w:firstLine="0" w:firstLineChars="0"/>
              <w:jc w:val="center"/>
              <w:rPr>
                <w:rFonts w:hint="default" w:cs="Times New Roman"/>
                <w:kern w:val="2"/>
                <w:sz w:val="24"/>
                <w:szCs w:val="21"/>
                <w:vertAlign w:val="baseline"/>
                <w:lang w:val="en-US" w:eastAsia="zh-CN" w:bidi="ar-SA"/>
                <w14:ligatures w14:val="standardContextual"/>
              </w:rPr>
            </w:pPr>
            <w:r>
              <w:rPr>
                <w:rFonts w:hint="eastAsia" w:cs="Times New Roman"/>
                <w:kern w:val="2"/>
                <w:sz w:val="24"/>
                <w:szCs w:val="21"/>
                <w:vertAlign w:val="baseline"/>
                <w:lang w:val="en-US" w:eastAsia="zh-CN" w:bidi="ar-SA"/>
                <w14:ligatures w14:val="standardContextual"/>
              </w:rPr>
              <w:t>5%</w:t>
            </w:r>
          </w:p>
        </w:tc>
        <w:tc>
          <w:tcPr>
            <w:tcW w:w="902" w:type="dxa"/>
            <w:tcBorders>
              <w:top w:val="nil"/>
              <w:left w:val="nil"/>
              <w:bottom w:val="nil"/>
              <w:right w:val="nil"/>
            </w:tcBorders>
            <w:shd w:val="clear" w:color="auto" w:fill="auto"/>
            <w:vAlign w:val="center"/>
          </w:tcPr>
          <w:p w14:paraId="3C1755B3">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看涨</w:t>
            </w:r>
          </w:p>
        </w:tc>
        <w:tc>
          <w:tcPr>
            <w:tcW w:w="929" w:type="dxa"/>
            <w:tcBorders>
              <w:top w:val="nil"/>
              <w:left w:val="nil"/>
              <w:bottom w:val="nil"/>
              <w:right w:val="nil"/>
            </w:tcBorders>
            <w:shd w:val="clear" w:color="auto" w:fill="auto"/>
            <w:vAlign w:val="center"/>
          </w:tcPr>
          <w:p w14:paraId="15607F89">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70</w:t>
            </w:r>
          </w:p>
        </w:tc>
        <w:tc>
          <w:tcPr>
            <w:tcW w:w="1236" w:type="dxa"/>
            <w:tcBorders>
              <w:top w:val="nil"/>
              <w:left w:val="nil"/>
              <w:bottom w:val="nil"/>
              <w:right w:val="nil"/>
            </w:tcBorders>
            <w:shd w:val="clear" w:color="auto" w:fill="auto"/>
            <w:vAlign w:val="center"/>
          </w:tcPr>
          <w:p w14:paraId="209DB188">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欧式看跌</w:t>
            </w:r>
          </w:p>
        </w:tc>
        <w:tc>
          <w:tcPr>
            <w:tcW w:w="1356" w:type="dxa"/>
            <w:tcBorders>
              <w:top w:val="nil"/>
              <w:left w:val="nil"/>
              <w:bottom w:val="nil"/>
              <w:right w:val="nil"/>
            </w:tcBorders>
            <w:shd w:val="clear" w:color="auto" w:fill="auto"/>
            <w:vAlign w:val="center"/>
          </w:tcPr>
          <w:p w14:paraId="3EAA032F">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0.25</w:t>
            </w:r>
          </w:p>
        </w:tc>
        <w:tc>
          <w:tcPr>
            <w:tcW w:w="945" w:type="dxa"/>
            <w:tcBorders>
              <w:top w:val="nil"/>
              <w:left w:val="nil"/>
              <w:bottom w:val="nil"/>
              <w:right w:val="nil"/>
            </w:tcBorders>
            <w:shd w:val="clear" w:color="auto" w:fill="auto"/>
            <w:vAlign w:val="center"/>
          </w:tcPr>
          <w:p w14:paraId="18B45E9F">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81.31</w:t>
            </w:r>
          </w:p>
        </w:tc>
        <w:tc>
          <w:tcPr>
            <w:tcW w:w="780" w:type="dxa"/>
            <w:tcBorders>
              <w:top w:val="nil"/>
              <w:left w:val="nil"/>
              <w:bottom w:val="nil"/>
              <w:right w:val="nil"/>
            </w:tcBorders>
            <w:vAlign w:val="center"/>
          </w:tcPr>
          <w:p w14:paraId="159F1809">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53.71</w:t>
            </w:r>
          </w:p>
        </w:tc>
        <w:tc>
          <w:tcPr>
            <w:tcW w:w="956" w:type="dxa"/>
            <w:tcBorders>
              <w:top w:val="nil"/>
              <w:left w:val="nil"/>
              <w:bottom w:val="nil"/>
              <w:right w:val="nil"/>
            </w:tcBorders>
            <w:vAlign w:val="center"/>
          </w:tcPr>
          <w:p w14:paraId="70872E0C">
            <w:pPr>
              <w:widowControl w:val="0"/>
              <w:numPr>
                <w:ilvl w:val="0"/>
                <w:numId w:val="0"/>
              </w:numPr>
              <w:snapToGrid w:val="0"/>
              <w:spacing w:line="24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10.91%</w:t>
            </w:r>
          </w:p>
        </w:tc>
      </w:tr>
      <w:tr w14:paraId="6BD4D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73" w:type="dxa"/>
            <w:tcBorders>
              <w:top w:val="nil"/>
              <w:left w:val="nil"/>
              <w:bottom w:val="nil"/>
              <w:right w:val="nil"/>
            </w:tcBorders>
            <w:shd w:val="clear" w:color="auto" w:fill="auto"/>
            <w:vAlign w:val="center"/>
          </w:tcPr>
          <w:p w14:paraId="013CF2AE">
            <w:pPr>
              <w:widowControl w:val="0"/>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kern w:val="2"/>
                <w:sz w:val="24"/>
                <w:szCs w:val="21"/>
                <w:vertAlign w:val="baseline"/>
                <w:lang w:val="en-US" w:eastAsia="zh-CN" w:bidi="ar-SA"/>
                <w14:ligatures w14:val="standardContextual"/>
              </w:rPr>
            </w:pPr>
            <w:r>
              <w:rPr>
                <w:rFonts w:hint="eastAsia" w:cs="Times New Roman"/>
                <w:kern w:val="2"/>
                <w:sz w:val="24"/>
                <w:szCs w:val="21"/>
                <w:vertAlign w:val="baseline"/>
                <w:lang w:val="en-US" w:eastAsia="zh-CN" w:bidi="ar-SA"/>
                <w14:ligatures w14:val="standardContextual"/>
              </w:rPr>
              <w:t>10%</w:t>
            </w:r>
          </w:p>
        </w:tc>
        <w:tc>
          <w:tcPr>
            <w:tcW w:w="902" w:type="dxa"/>
            <w:tcBorders>
              <w:top w:val="nil"/>
              <w:left w:val="nil"/>
              <w:bottom w:val="nil"/>
              <w:right w:val="nil"/>
            </w:tcBorders>
            <w:shd w:val="clear" w:color="auto" w:fill="auto"/>
            <w:vAlign w:val="center"/>
          </w:tcPr>
          <w:p w14:paraId="1870EDC0">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看涨</w:t>
            </w:r>
          </w:p>
        </w:tc>
        <w:tc>
          <w:tcPr>
            <w:tcW w:w="929" w:type="dxa"/>
            <w:tcBorders>
              <w:top w:val="nil"/>
              <w:left w:val="nil"/>
              <w:bottom w:val="nil"/>
              <w:right w:val="nil"/>
            </w:tcBorders>
            <w:shd w:val="clear" w:color="auto" w:fill="auto"/>
            <w:vAlign w:val="center"/>
          </w:tcPr>
          <w:p w14:paraId="23E38CFB">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70</w:t>
            </w:r>
          </w:p>
        </w:tc>
        <w:tc>
          <w:tcPr>
            <w:tcW w:w="1236" w:type="dxa"/>
            <w:tcBorders>
              <w:top w:val="nil"/>
              <w:left w:val="nil"/>
              <w:bottom w:val="nil"/>
              <w:right w:val="nil"/>
            </w:tcBorders>
            <w:shd w:val="clear" w:color="auto" w:fill="auto"/>
            <w:vAlign w:val="center"/>
          </w:tcPr>
          <w:p w14:paraId="16290BB9">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欧式看跌</w:t>
            </w:r>
          </w:p>
        </w:tc>
        <w:tc>
          <w:tcPr>
            <w:tcW w:w="1356" w:type="dxa"/>
            <w:tcBorders>
              <w:top w:val="nil"/>
              <w:left w:val="nil"/>
              <w:bottom w:val="nil"/>
              <w:right w:val="nil"/>
            </w:tcBorders>
            <w:shd w:val="clear" w:color="auto" w:fill="auto"/>
            <w:vAlign w:val="center"/>
          </w:tcPr>
          <w:p w14:paraId="54EF82F6">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0.25</w:t>
            </w:r>
          </w:p>
        </w:tc>
        <w:tc>
          <w:tcPr>
            <w:tcW w:w="945" w:type="dxa"/>
            <w:tcBorders>
              <w:top w:val="nil"/>
              <w:left w:val="nil"/>
              <w:bottom w:val="nil"/>
              <w:right w:val="nil"/>
            </w:tcBorders>
            <w:shd w:val="clear" w:color="auto" w:fill="auto"/>
            <w:vAlign w:val="center"/>
          </w:tcPr>
          <w:p w14:paraId="6CC465B5">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81.31</w:t>
            </w:r>
          </w:p>
        </w:tc>
        <w:tc>
          <w:tcPr>
            <w:tcW w:w="780" w:type="dxa"/>
            <w:tcBorders>
              <w:top w:val="nil"/>
              <w:left w:val="nil"/>
              <w:bottom w:val="nil"/>
              <w:right w:val="nil"/>
            </w:tcBorders>
            <w:shd w:val="clear"/>
            <w:vAlign w:val="center"/>
          </w:tcPr>
          <w:p w14:paraId="48C3469E">
            <w:pPr>
              <w:widowControl w:val="0"/>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kern w:val="2"/>
                <w:sz w:val="24"/>
                <w:szCs w:val="21"/>
                <w:vertAlign w:val="baseline"/>
                <w:lang w:val="en-US" w:eastAsia="zh-CN" w:bidi="ar-SA"/>
                <w14:ligatures w14:val="standardContextual"/>
              </w:rPr>
            </w:pPr>
            <w:r>
              <w:rPr>
                <w:rFonts w:hint="eastAsia" w:ascii="Times New Roman" w:hAnsi="Times New Roman" w:eastAsia="宋体" w:cs="Times New Roman"/>
                <w:kern w:val="2"/>
                <w:sz w:val="24"/>
                <w:szCs w:val="21"/>
                <w:vertAlign w:val="baseline"/>
                <w:lang w:val="en-US" w:eastAsia="zh-CN" w:bidi="ar-SA"/>
                <w14:ligatures w14:val="standardContextual"/>
              </w:rPr>
              <w:t>57.8</w:t>
            </w:r>
            <w:r>
              <w:rPr>
                <w:rFonts w:hint="eastAsia" w:cs="Times New Roman"/>
                <w:kern w:val="2"/>
                <w:sz w:val="24"/>
                <w:szCs w:val="21"/>
                <w:vertAlign w:val="baseline"/>
                <w:lang w:val="en-US" w:eastAsia="zh-CN" w:bidi="ar-SA"/>
                <w14:ligatures w14:val="standardContextual"/>
              </w:rPr>
              <w:t>2</w:t>
            </w:r>
          </w:p>
        </w:tc>
        <w:tc>
          <w:tcPr>
            <w:tcW w:w="956" w:type="dxa"/>
            <w:tcBorders>
              <w:top w:val="nil"/>
              <w:left w:val="nil"/>
              <w:bottom w:val="nil"/>
              <w:right w:val="nil"/>
            </w:tcBorders>
            <w:shd w:val="clear"/>
            <w:vAlign w:val="center"/>
          </w:tcPr>
          <w:p w14:paraId="01BF1254">
            <w:pPr>
              <w:widowControl w:val="0"/>
              <w:numPr>
                <w:ilvl w:val="0"/>
                <w:numId w:val="0"/>
              </w:numPr>
              <w:snapToGrid w:val="0"/>
              <w:spacing w:line="24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19.38%</w:t>
            </w:r>
          </w:p>
        </w:tc>
      </w:tr>
      <w:tr w14:paraId="5106D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773" w:type="dxa"/>
            <w:tcBorders>
              <w:top w:val="nil"/>
              <w:left w:val="nil"/>
              <w:bottom w:val="nil"/>
              <w:right w:val="nil"/>
            </w:tcBorders>
            <w:shd w:val="clear" w:color="auto" w:fill="auto"/>
            <w:vAlign w:val="center"/>
          </w:tcPr>
          <w:p w14:paraId="1A86EEA4">
            <w:pPr>
              <w:widowControl w:val="0"/>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kern w:val="2"/>
                <w:sz w:val="24"/>
                <w:szCs w:val="21"/>
                <w:vertAlign w:val="baseline"/>
                <w:lang w:val="en-US" w:eastAsia="zh-CN" w:bidi="ar-SA"/>
                <w14:ligatures w14:val="standardContextual"/>
              </w:rPr>
            </w:pPr>
            <w:r>
              <w:rPr>
                <w:rFonts w:hint="eastAsia" w:cs="Times New Roman"/>
                <w:kern w:val="2"/>
                <w:sz w:val="24"/>
                <w:szCs w:val="21"/>
                <w:vertAlign w:val="baseline"/>
                <w:lang w:val="en-US" w:eastAsia="zh-CN" w:bidi="ar-SA"/>
                <w14:ligatures w14:val="standardContextual"/>
              </w:rPr>
              <w:t>0%</w:t>
            </w:r>
          </w:p>
        </w:tc>
        <w:tc>
          <w:tcPr>
            <w:tcW w:w="902" w:type="dxa"/>
            <w:tcBorders>
              <w:top w:val="nil"/>
              <w:left w:val="nil"/>
              <w:bottom w:val="nil"/>
              <w:right w:val="nil"/>
            </w:tcBorders>
            <w:shd w:val="clear" w:color="auto" w:fill="auto"/>
            <w:vAlign w:val="center"/>
          </w:tcPr>
          <w:p w14:paraId="6DDA0560">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看涨</w:t>
            </w:r>
          </w:p>
        </w:tc>
        <w:tc>
          <w:tcPr>
            <w:tcW w:w="929" w:type="dxa"/>
            <w:tcBorders>
              <w:top w:val="nil"/>
              <w:left w:val="nil"/>
              <w:bottom w:val="nil"/>
              <w:right w:val="nil"/>
            </w:tcBorders>
            <w:shd w:val="clear" w:color="auto" w:fill="auto"/>
            <w:vAlign w:val="center"/>
          </w:tcPr>
          <w:p w14:paraId="7775B311">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70</w:t>
            </w:r>
          </w:p>
        </w:tc>
        <w:tc>
          <w:tcPr>
            <w:tcW w:w="1236" w:type="dxa"/>
            <w:tcBorders>
              <w:top w:val="nil"/>
              <w:left w:val="nil"/>
              <w:bottom w:val="nil"/>
              <w:right w:val="nil"/>
            </w:tcBorders>
            <w:shd w:val="clear" w:color="auto" w:fill="auto"/>
            <w:vAlign w:val="center"/>
          </w:tcPr>
          <w:p w14:paraId="23E28ED9">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美式看跌</w:t>
            </w:r>
          </w:p>
        </w:tc>
        <w:tc>
          <w:tcPr>
            <w:tcW w:w="1356" w:type="dxa"/>
            <w:tcBorders>
              <w:top w:val="nil"/>
              <w:left w:val="nil"/>
              <w:bottom w:val="nil"/>
              <w:right w:val="nil"/>
            </w:tcBorders>
            <w:shd w:val="clear" w:color="auto" w:fill="auto"/>
            <w:vAlign w:val="center"/>
          </w:tcPr>
          <w:p w14:paraId="2885C26F">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0.25</w:t>
            </w:r>
          </w:p>
        </w:tc>
        <w:tc>
          <w:tcPr>
            <w:tcW w:w="945" w:type="dxa"/>
            <w:tcBorders>
              <w:top w:val="nil"/>
              <w:left w:val="nil"/>
              <w:bottom w:val="nil"/>
              <w:right w:val="nil"/>
            </w:tcBorders>
            <w:shd w:val="clear" w:color="auto" w:fill="auto"/>
            <w:vAlign w:val="center"/>
          </w:tcPr>
          <w:p w14:paraId="27E5F081">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81.31</w:t>
            </w:r>
          </w:p>
        </w:tc>
        <w:tc>
          <w:tcPr>
            <w:tcW w:w="780" w:type="dxa"/>
            <w:tcBorders>
              <w:top w:val="nil"/>
              <w:left w:val="nil"/>
              <w:bottom w:val="nil"/>
              <w:right w:val="nil"/>
            </w:tcBorders>
            <w:shd w:val="clear" w:color="auto" w:fill="auto"/>
            <w:vAlign w:val="center"/>
          </w:tcPr>
          <w:p w14:paraId="55780587">
            <w:pPr>
              <w:widowControl w:val="0"/>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51.18</w:t>
            </w:r>
          </w:p>
        </w:tc>
        <w:tc>
          <w:tcPr>
            <w:tcW w:w="956" w:type="dxa"/>
            <w:tcBorders>
              <w:top w:val="nil"/>
              <w:left w:val="nil"/>
              <w:bottom w:val="nil"/>
              <w:right w:val="nil"/>
            </w:tcBorders>
            <w:vAlign w:val="center"/>
          </w:tcPr>
          <w:p w14:paraId="2749E268">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0%</w:t>
            </w:r>
          </w:p>
        </w:tc>
      </w:tr>
      <w:tr w14:paraId="33701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73" w:type="dxa"/>
            <w:tcBorders>
              <w:top w:val="nil"/>
              <w:left w:val="nil"/>
              <w:bottom w:val="nil"/>
              <w:right w:val="nil"/>
            </w:tcBorders>
            <w:shd w:val="clear" w:color="auto" w:fill="auto"/>
            <w:vAlign w:val="center"/>
          </w:tcPr>
          <w:p w14:paraId="73453AAD">
            <w:pPr>
              <w:widowControl w:val="0"/>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kern w:val="2"/>
                <w:sz w:val="24"/>
                <w:szCs w:val="21"/>
                <w:vertAlign w:val="baseline"/>
                <w:lang w:val="en-US" w:eastAsia="zh-CN" w:bidi="ar-SA"/>
                <w14:ligatures w14:val="standardContextual"/>
              </w:rPr>
            </w:pPr>
            <w:r>
              <w:rPr>
                <w:rFonts w:hint="eastAsia" w:cs="Times New Roman"/>
                <w:kern w:val="2"/>
                <w:sz w:val="24"/>
                <w:szCs w:val="21"/>
                <w:vertAlign w:val="baseline"/>
                <w:lang w:val="en-US" w:eastAsia="zh-CN" w:bidi="ar-SA"/>
                <w14:ligatures w14:val="standardContextual"/>
              </w:rPr>
              <w:t>1%</w:t>
            </w:r>
          </w:p>
        </w:tc>
        <w:tc>
          <w:tcPr>
            <w:tcW w:w="902" w:type="dxa"/>
            <w:tcBorders>
              <w:top w:val="nil"/>
              <w:left w:val="nil"/>
              <w:bottom w:val="nil"/>
              <w:right w:val="nil"/>
            </w:tcBorders>
            <w:shd w:val="clear" w:color="auto" w:fill="auto"/>
            <w:vAlign w:val="center"/>
          </w:tcPr>
          <w:p w14:paraId="31912DEB">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看涨</w:t>
            </w:r>
          </w:p>
        </w:tc>
        <w:tc>
          <w:tcPr>
            <w:tcW w:w="929" w:type="dxa"/>
            <w:tcBorders>
              <w:top w:val="nil"/>
              <w:left w:val="nil"/>
              <w:bottom w:val="nil"/>
              <w:right w:val="nil"/>
            </w:tcBorders>
            <w:shd w:val="clear" w:color="auto" w:fill="auto"/>
            <w:vAlign w:val="center"/>
          </w:tcPr>
          <w:p w14:paraId="0A7AAD0F">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70</w:t>
            </w:r>
          </w:p>
        </w:tc>
        <w:tc>
          <w:tcPr>
            <w:tcW w:w="1236" w:type="dxa"/>
            <w:tcBorders>
              <w:top w:val="nil"/>
              <w:left w:val="nil"/>
              <w:bottom w:val="nil"/>
              <w:right w:val="nil"/>
            </w:tcBorders>
            <w:shd w:val="clear" w:color="auto" w:fill="auto"/>
            <w:vAlign w:val="center"/>
          </w:tcPr>
          <w:p w14:paraId="701BCC6F">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美式看跌</w:t>
            </w:r>
          </w:p>
        </w:tc>
        <w:tc>
          <w:tcPr>
            <w:tcW w:w="1356" w:type="dxa"/>
            <w:tcBorders>
              <w:top w:val="nil"/>
              <w:left w:val="nil"/>
              <w:bottom w:val="nil"/>
              <w:right w:val="nil"/>
            </w:tcBorders>
            <w:shd w:val="clear" w:color="auto" w:fill="auto"/>
            <w:vAlign w:val="center"/>
          </w:tcPr>
          <w:p w14:paraId="548E0F62">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0.25</w:t>
            </w:r>
          </w:p>
        </w:tc>
        <w:tc>
          <w:tcPr>
            <w:tcW w:w="945" w:type="dxa"/>
            <w:tcBorders>
              <w:top w:val="nil"/>
              <w:left w:val="nil"/>
              <w:bottom w:val="nil"/>
              <w:right w:val="nil"/>
            </w:tcBorders>
            <w:shd w:val="clear" w:color="auto" w:fill="auto"/>
            <w:vAlign w:val="center"/>
          </w:tcPr>
          <w:p w14:paraId="4FBF7443">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81.31</w:t>
            </w:r>
          </w:p>
        </w:tc>
        <w:tc>
          <w:tcPr>
            <w:tcW w:w="780" w:type="dxa"/>
            <w:tcBorders>
              <w:top w:val="nil"/>
              <w:left w:val="nil"/>
              <w:bottom w:val="nil"/>
              <w:right w:val="nil"/>
            </w:tcBorders>
            <w:shd w:val="clear"/>
            <w:vAlign w:val="center"/>
          </w:tcPr>
          <w:p w14:paraId="5024A701">
            <w:pPr>
              <w:widowControl w:val="0"/>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53.26</w:t>
            </w:r>
          </w:p>
        </w:tc>
        <w:tc>
          <w:tcPr>
            <w:tcW w:w="956" w:type="dxa"/>
            <w:tcBorders>
              <w:top w:val="nil"/>
              <w:left w:val="nil"/>
              <w:bottom w:val="nil"/>
              <w:right w:val="nil"/>
            </w:tcBorders>
            <w:shd w:val="clear"/>
            <w:vAlign w:val="center"/>
          </w:tcPr>
          <w:p w14:paraId="390C811F">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4.06%</w:t>
            </w:r>
          </w:p>
        </w:tc>
      </w:tr>
      <w:tr w14:paraId="7D8A6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73" w:type="dxa"/>
            <w:tcBorders>
              <w:top w:val="nil"/>
              <w:left w:val="nil"/>
              <w:bottom w:val="nil"/>
              <w:right w:val="nil"/>
            </w:tcBorders>
            <w:shd w:val="clear" w:color="auto" w:fill="auto"/>
            <w:vAlign w:val="center"/>
          </w:tcPr>
          <w:p w14:paraId="1C7AF4A7">
            <w:pPr>
              <w:widowControl w:val="0"/>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kern w:val="2"/>
                <w:sz w:val="24"/>
                <w:szCs w:val="21"/>
                <w:vertAlign w:val="baseline"/>
                <w:lang w:val="en-US" w:eastAsia="zh-CN" w:bidi="ar-SA"/>
                <w14:ligatures w14:val="standardContextual"/>
              </w:rPr>
            </w:pPr>
            <w:r>
              <w:rPr>
                <w:rFonts w:hint="eastAsia" w:cs="Times New Roman"/>
                <w:kern w:val="2"/>
                <w:sz w:val="24"/>
                <w:szCs w:val="21"/>
                <w:vertAlign w:val="baseline"/>
                <w:lang w:val="en-US" w:eastAsia="zh-CN" w:bidi="ar-SA"/>
                <w14:ligatures w14:val="standardContextual"/>
              </w:rPr>
              <w:t>3%</w:t>
            </w:r>
          </w:p>
        </w:tc>
        <w:tc>
          <w:tcPr>
            <w:tcW w:w="902" w:type="dxa"/>
            <w:tcBorders>
              <w:top w:val="nil"/>
              <w:left w:val="nil"/>
              <w:bottom w:val="nil"/>
              <w:right w:val="nil"/>
            </w:tcBorders>
            <w:shd w:val="clear" w:color="auto" w:fill="auto"/>
            <w:vAlign w:val="center"/>
          </w:tcPr>
          <w:p w14:paraId="26A87A9B">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看涨</w:t>
            </w:r>
          </w:p>
        </w:tc>
        <w:tc>
          <w:tcPr>
            <w:tcW w:w="929" w:type="dxa"/>
            <w:tcBorders>
              <w:top w:val="nil"/>
              <w:left w:val="nil"/>
              <w:bottom w:val="nil"/>
              <w:right w:val="nil"/>
            </w:tcBorders>
            <w:shd w:val="clear" w:color="auto" w:fill="auto"/>
            <w:vAlign w:val="center"/>
          </w:tcPr>
          <w:p w14:paraId="24D1D196">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70</w:t>
            </w:r>
          </w:p>
        </w:tc>
        <w:tc>
          <w:tcPr>
            <w:tcW w:w="1236" w:type="dxa"/>
            <w:tcBorders>
              <w:top w:val="nil"/>
              <w:left w:val="nil"/>
              <w:bottom w:val="nil"/>
              <w:right w:val="nil"/>
            </w:tcBorders>
            <w:shd w:val="clear" w:color="auto" w:fill="auto"/>
            <w:vAlign w:val="center"/>
          </w:tcPr>
          <w:p w14:paraId="0B37A550">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美式看跌</w:t>
            </w:r>
          </w:p>
        </w:tc>
        <w:tc>
          <w:tcPr>
            <w:tcW w:w="1356" w:type="dxa"/>
            <w:tcBorders>
              <w:top w:val="nil"/>
              <w:left w:val="nil"/>
              <w:bottom w:val="nil"/>
              <w:right w:val="nil"/>
            </w:tcBorders>
            <w:shd w:val="clear" w:color="auto" w:fill="auto"/>
            <w:vAlign w:val="center"/>
          </w:tcPr>
          <w:p w14:paraId="69B387FF">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0.25</w:t>
            </w:r>
          </w:p>
        </w:tc>
        <w:tc>
          <w:tcPr>
            <w:tcW w:w="945" w:type="dxa"/>
            <w:tcBorders>
              <w:top w:val="nil"/>
              <w:left w:val="nil"/>
              <w:bottom w:val="nil"/>
              <w:right w:val="nil"/>
            </w:tcBorders>
            <w:shd w:val="clear" w:color="auto" w:fill="auto"/>
            <w:vAlign w:val="center"/>
          </w:tcPr>
          <w:p w14:paraId="74B4E0DE">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81.31</w:t>
            </w:r>
          </w:p>
        </w:tc>
        <w:tc>
          <w:tcPr>
            <w:tcW w:w="780" w:type="dxa"/>
            <w:tcBorders>
              <w:top w:val="nil"/>
              <w:left w:val="nil"/>
              <w:bottom w:val="nil"/>
              <w:right w:val="nil"/>
            </w:tcBorders>
            <w:shd w:val="clear"/>
            <w:vAlign w:val="center"/>
          </w:tcPr>
          <w:p w14:paraId="5CACF3D2">
            <w:pPr>
              <w:widowControl w:val="0"/>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54.94</w:t>
            </w:r>
          </w:p>
        </w:tc>
        <w:tc>
          <w:tcPr>
            <w:tcW w:w="956" w:type="dxa"/>
            <w:tcBorders>
              <w:top w:val="nil"/>
              <w:left w:val="nil"/>
              <w:bottom w:val="nil"/>
              <w:right w:val="nil"/>
            </w:tcBorders>
            <w:shd w:val="clear"/>
            <w:vAlign w:val="center"/>
          </w:tcPr>
          <w:p w14:paraId="0E57BA89">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7.35%</w:t>
            </w:r>
          </w:p>
        </w:tc>
      </w:tr>
      <w:tr w14:paraId="73112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73" w:type="dxa"/>
            <w:tcBorders>
              <w:top w:val="nil"/>
              <w:left w:val="nil"/>
              <w:bottom w:val="nil"/>
              <w:right w:val="nil"/>
            </w:tcBorders>
            <w:shd w:val="clear" w:color="auto" w:fill="auto"/>
            <w:vAlign w:val="center"/>
          </w:tcPr>
          <w:p w14:paraId="652D922D">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cs="Times New Roman"/>
                <w:kern w:val="2"/>
                <w:sz w:val="24"/>
                <w:szCs w:val="21"/>
                <w:vertAlign w:val="baseline"/>
                <w:lang w:val="en-US" w:eastAsia="zh-CN" w:bidi="ar-SA"/>
                <w14:ligatures w14:val="standardContextual"/>
              </w:rPr>
              <w:t>5%</w:t>
            </w:r>
          </w:p>
        </w:tc>
        <w:tc>
          <w:tcPr>
            <w:tcW w:w="902" w:type="dxa"/>
            <w:tcBorders>
              <w:top w:val="nil"/>
              <w:left w:val="nil"/>
              <w:bottom w:val="nil"/>
              <w:right w:val="nil"/>
            </w:tcBorders>
            <w:shd w:val="clear" w:color="auto" w:fill="auto"/>
            <w:vAlign w:val="center"/>
          </w:tcPr>
          <w:p w14:paraId="512644BB">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看涨</w:t>
            </w:r>
          </w:p>
        </w:tc>
        <w:tc>
          <w:tcPr>
            <w:tcW w:w="929" w:type="dxa"/>
            <w:tcBorders>
              <w:top w:val="nil"/>
              <w:left w:val="nil"/>
              <w:bottom w:val="nil"/>
              <w:right w:val="nil"/>
            </w:tcBorders>
            <w:shd w:val="clear" w:color="auto" w:fill="auto"/>
            <w:vAlign w:val="center"/>
          </w:tcPr>
          <w:p w14:paraId="1C7C71E9">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70</w:t>
            </w:r>
          </w:p>
        </w:tc>
        <w:tc>
          <w:tcPr>
            <w:tcW w:w="1236" w:type="dxa"/>
            <w:tcBorders>
              <w:top w:val="nil"/>
              <w:left w:val="nil"/>
              <w:bottom w:val="nil"/>
              <w:right w:val="nil"/>
            </w:tcBorders>
            <w:shd w:val="clear" w:color="auto" w:fill="auto"/>
            <w:vAlign w:val="center"/>
          </w:tcPr>
          <w:p w14:paraId="42DE0937">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美式看跌</w:t>
            </w:r>
          </w:p>
        </w:tc>
        <w:tc>
          <w:tcPr>
            <w:tcW w:w="1356" w:type="dxa"/>
            <w:tcBorders>
              <w:top w:val="nil"/>
              <w:left w:val="nil"/>
              <w:bottom w:val="nil"/>
              <w:right w:val="nil"/>
            </w:tcBorders>
            <w:shd w:val="clear" w:color="auto" w:fill="auto"/>
            <w:vAlign w:val="center"/>
          </w:tcPr>
          <w:p w14:paraId="53BFEB28">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0.25</w:t>
            </w:r>
          </w:p>
        </w:tc>
        <w:tc>
          <w:tcPr>
            <w:tcW w:w="945" w:type="dxa"/>
            <w:tcBorders>
              <w:top w:val="nil"/>
              <w:left w:val="nil"/>
              <w:bottom w:val="nil"/>
              <w:right w:val="nil"/>
            </w:tcBorders>
            <w:shd w:val="clear" w:color="auto" w:fill="auto"/>
            <w:vAlign w:val="center"/>
          </w:tcPr>
          <w:p w14:paraId="616D9AE7">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81.31</w:t>
            </w:r>
          </w:p>
        </w:tc>
        <w:tc>
          <w:tcPr>
            <w:tcW w:w="780" w:type="dxa"/>
            <w:tcBorders>
              <w:top w:val="nil"/>
              <w:left w:val="nil"/>
              <w:bottom w:val="nil"/>
              <w:right w:val="nil"/>
            </w:tcBorders>
            <w:shd w:val="clear"/>
            <w:vAlign w:val="center"/>
          </w:tcPr>
          <w:p w14:paraId="0596CEC8">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56.63</w:t>
            </w:r>
          </w:p>
        </w:tc>
        <w:tc>
          <w:tcPr>
            <w:tcW w:w="956" w:type="dxa"/>
            <w:tcBorders>
              <w:top w:val="nil"/>
              <w:left w:val="nil"/>
              <w:bottom w:val="nil"/>
              <w:right w:val="nil"/>
            </w:tcBorders>
            <w:shd w:val="clear"/>
            <w:vAlign w:val="center"/>
          </w:tcPr>
          <w:p w14:paraId="4FCADCBE">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10.65%</w:t>
            </w:r>
          </w:p>
        </w:tc>
      </w:tr>
      <w:tr w14:paraId="124B2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73" w:type="dxa"/>
            <w:tcBorders>
              <w:top w:val="nil"/>
              <w:left w:val="nil"/>
              <w:bottom w:val="nil"/>
              <w:right w:val="nil"/>
            </w:tcBorders>
            <w:shd w:val="clear"/>
            <w:vAlign w:val="center"/>
          </w:tcPr>
          <w:p w14:paraId="181F5B7A">
            <w:pPr>
              <w:widowControl w:val="0"/>
              <w:numPr>
                <w:ilvl w:val="0"/>
                <w:numId w:val="0"/>
              </w:numPr>
              <w:snapToGrid w:val="0"/>
              <w:spacing w:line="240" w:lineRule="auto"/>
              <w:ind w:left="0" w:leftChars="0" w:right="0" w:rightChars="0" w:firstLine="0" w:firstLineChars="0"/>
              <w:jc w:val="center"/>
              <w:rPr>
                <w:rFonts w:hint="default" w:cs="Times New Roman"/>
                <w:kern w:val="2"/>
                <w:sz w:val="24"/>
                <w:szCs w:val="21"/>
                <w:vertAlign w:val="baseline"/>
                <w:lang w:val="en-US" w:eastAsia="zh-CN" w:bidi="ar-SA"/>
                <w14:ligatures w14:val="standardContextual"/>
              </w:rPr>
            </w:pPr>
            <w:r>
              <w:rPr>
                <w:rFonts w:hint="eastAsia" w:cs="Times New Roman"/>
                <w:kern w:val="2"/>
                <w:sz w:val="24"/>
                <w:szCs w:val="21"/>
                <w:vertAlign w:val="baseline"/>
                <w:lang w:val="en-US" w:eastAsia="zh-CN" w:bidi="ar-SA"/>
                <w14:ligatures w14:val="standardContextual"/>
              </w:rPr>
              <w:t>10%</w:t>
            </w:r>
          </w:p>
        </w:tc>
        <w:tc>
          <w:tcPr>
            <w:tcW w:w="902" w:type="dxa"/>
            <w:tcBorders>
              <w:top w:val="nil"/>
              <w:left w:val="nil"/>
              <w:bottom w:val="nil"/>
              <w:right w:val="nil"/>
            </w:tcBorders>
            <w:shd w:val="clear" w:color="auto" w:fill="auto"/>
            <w:vAlign w:val="center"/>
          </w:tcPr>
          <w:p w14:paraId="1F9EC6C5">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看涨</w:t>
            </w:r>
          </w:p>
        </w:tc>
        <w:tc>
          <w:tcPr>
            <w:tcW w:w="929" w:type="dxa"/>
            <w:tcBorders>
              <w:top w:val="nil"/>
              <w:left w:val="nil"/>
              <w:bottom w:val="nil"/>
              <w:right w:val="nil"/>
            </w:tcBorders>
            <w:shd w:val="clear" w:color="auto" w:fill="auto"/>
            <w:vAlign w:val="center"/>
          </w:tcPr>
          <w:p w14:paraId="6302A390">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70</w:t>
            </w:r>
          </w:p>
        </w:tc>
        <w:tc>
          <w:tcPr>
            <w:tcW w:w="1236" w:type="dxa"/>
            <w:tcBorders>
              <w:top w:val="nil"/>
              <w:left w:val="nil"/>
              <w:bottom w:val="nil"/>
              <w:right w:val="nil"/>
            </w:tcBorders>
            <w:shd w:val="clear" w:color="auto" w:fill="auto"/>
            <w:vAlign w:val="center"/>
          </w:tcPr>
          <w:p w14:paraId="51F84A82">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美式看跌</w:t>
            </w:r>
          </w:p>
        </w:tc>
        <w:tc>
          <w:tcPr>
            <w:tcW w:w="1356" w:type="dxa"/>
            <w:tcBorders>
              <w:top w:val="nil"/>
              <w:left w:val="nil"/>
              <w:bottom w:val="nil"/>
              <w:right w:val="nil"/>
            </w:tcBorders>
            <w:shd w:val="clear" w:color="auto" w:fill="auto"/>
            <w:vAlign w:val="center"/>
          </w:tcPr>
          <w:p w14:paraId="209AF523">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0.25</w:t>
            </w:r>
          </w:p>
        </w:tc>
        <w:tc>
          <w:tcPr>
            <w:tcW w:w="945" w:type="dxa"/>
            <w:tcBorders>
              <w:top w:val="nil"/>
              <w:left w:val="nil"/>
              <w:bottom w:val="nil"/>
              <w:right w:val="nil"/>
            </w:tcBorders>
            <w:shd w:val="clear" w:color="auto" w:fill="auto"/>
            <w:vAlign w:val="center"/>
          </w:tcPr>
          <w:p w14:paraId="08392A28">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81.31</w:t>
            </w:r>
          </w:p>
        </w:tc>
        <w:tc>
          <w:tcPr>
            <w:tcW w:w="780" w:type="dxa"/>
            <w:tcBorders>
              <w:top w:val="nil"/>
              <w:left w:val="nil"/>
              <w:bottom w:val="nil"/>
              <w:right w:val="nil"/>
            </w:tcBorders>
            <w:vAlign w:val="center"/>
          </w:tcPr>
          <w:p w14:paraId="5598C838">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60.84</w:t>
            </w:r>
          </w:p>
        </w:tc>
        <w:tc>
          <w:tcPr>
            <w:tcW w:w="956" w:type="dxa"/>
            <w:tcBorders>
              <w:top w:val="nil"/>
              <w:left w:val="nil"/>
              <w:bottom w:val="nil"/>
              <w:right w:val="nil"/>
            </w:tcBorders>
            <w:shd w:val="clear"/>
            <w:vAlign w:val="center"/>
          </w:tcPr>
          <w:p w14:paraId="1D50FE60">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18.87%</w:t>
            </w:r>
          </w:p>
        </w:tc>
      </w:tr>
    </w:tbl>
    <w:p w14:paraId="53D4CDFD">
      <w:pPr>
        <m:rPr/>
        <w:rPr>
          <w:rFonts w:hint="default" w:hAnsi="Cambria Math"/>
          <w:i w:val="0"/>
          <w:lang w:val="en-US" w:eastAsia="zh-CN"/>
        </w:rPr>
      </w:pPr>
    </w:p>
    <w:p w14:paraId="661DF5CD">
      <w:pPr>
        <w:ind w:firstLine="420" w:firstLineChars="0"/>
        <m:rPr/>
        <w:rPr>
          <w:rFonts w:hint="default" w:hAnsi="Cambria Math"/>
          <w:i w:val="0"/>
          <w:lang w:val="en-US" w:eastAsia="zh-CN"/>
        </w:rPr>
      </w:pPr>
      <w:r>
        <m:rPr/>
        <w:rPr>
          <w:rFonts w:hint="eastAsia" w:hAnsi="Cambria Math"/>
          <w:i w:val="0"/>
          <w:lang w:val="en-US" w:eastAsia="zh-CN"/>
        </w:rPr>
        <w:t>由上表可知，期权X的定价对波动率的变化极其敏感，方向为同向变化，并且内层为欧式期权的X的定价相比美式期权对波动率更为敏感。以基准价为基准的欧式期权为例，波动率增加1%，定价增加4.19%，波动率增加5%，定价增加10.91%。</w:t>
      </w:r>
    </w:p>
    <w:p w14:paraId="2018B189">
      <w:pPr>
        <w:rPr>
          <w:rFonts w:hint="eastAsia" w:hAnsi="Cambria Math"/>
          <w:i w:val="0"/>
          <w:lang w:val="en-US" w:eastAsia="zh-CN"/>
        </w:rPr>
      </w:pPr>
      <w:r>
        <w:rPr>
          <w:rFonts w:hint="eastAsia" w:hAnsi="Cambria Math"/>
          <w:i w:val="0"/>
          <w:lang w:val="en-US" w:eastAsia="zh-CN"/>
        </w:rPr>
        <w:t>3.3.2 内层期权到期日TV1的敏感性分析</w:t>
      </w:r>
    </w:p>
    <w:p w14:paraId="44066D03">
      <w:pPr>
        <w:ind w:firstLine="420" w:firstLineChars="0"/>
        <w:rPr>
          <w:rFonts w:hint="eastAsia" w:hAnsi="Cambria Math"/>
          <w:i w:val="0"/>
          <w:lang w:val="en-US" w:eastAsia="zh-CN"/>
        </w:rPr>
      </w:pPr>
      <w:r>
        <w:rPr>
          <w:rFonts w:hint="eastAsia" w:hAnsi="Cambria Math"/>
          <w:i w:val="0"/>
          <w:lang w:val="en-US" w:eastAsia="zh-CN"/>
        </w:rPr>
        <w:t>理论上，内层期权到期时间越长，内层期权到期处于实值的可能性越大，期望收益增加，T时刻期望价格增加，则外层期权T时刻期望收益增加，外层期权定价增高。</w:t>
      </w:r>
    </w:p>
    <w:p w14:paraId="631173EC">
      <w:pPr>
        <w:ind w:firstLine="420" w:firstLineChars="0"/>
        <w:rPr>
          <w:rFonts w:hint="eastAsia" w:hAnsi="Cambria Math"/>
          <w:i w:val="0"/>
          <w:lang w:val="en-US" w:eastAsia="zh-CN"/>
        </w:rPr>
      </w:pPr>
      <w:r>
        <w:rPr>
          <w:rFonts w:hint="eastAsia" w:hAnsi="Cambria Math"/>
          <w:i w:val="0"/>
          <w:lang w:val="en-US" w:eastAsia="zh-CN"/>
        </w:rPr>
        <w:t>本文的内层期权基准期限为3个月，为验证上述推论，本文取期限为6个月、9个月的内层期权期限作敏感性分析，得出X的价格变化如下表所示：</w:t>
      </w:r>
    </w:p>
    <w:p w14:paraId="5CDD78A2">
      <w:pPr>
        <w:ind w:firstLine="420" w:firstLineChars="0"/>
        <w:rPr>
          <w:rFonts w:hint="eastAsia" w:hAnsi="Cambria Math"/>
          <w:i w:val="0"/>
          <w:lang w:val="en-US" w:eastAsia="zh-CN"/>
        </w:rPr>
      </w:pPr>
    </w:p>
    <w:tbl>
      <w:tblPr>
        <w:tblStyle w:val="21"/>
        <w:tblW w:w="78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9"/>
        <w:gridCol w:w="867"/>
        <w:gridCol w:w="898"/>
        <w:gridCol w:w="1176"/>
        <w:gridCol w:w="1333"/>
        <w:gridCol w:w="930"/>
        <w:gridCol w:w="778"/>
        <w:gridCol w:w="956"/>
      </w:tblGrid>
      <w:tr w14:paraId="62486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39" w:type="dxa"/>
            <w:tcBorders>
              <w:top w:val="single" w:color="auto" w:sz="12" w:space="0"/>
              <w:left w:val="nil"/>
              <w:bottom w:val="single" w:color="auto" w:sz="4" w:space="0"/>
              <w:right w:val="nil"/>
            </w:tcBorders>
            <w:shd w:val="clear" w:color="auto" w:fill="auto"/>
            <w:vAlign w:val="center"/>
          </w:tcPr>
          <w:p w14:paraId="5C202BAD">
            <w:pPr>
              <w:widowControl w:val="0"/>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b/>
                <w:kern w:val="2"/>
                <w:sz w:val="24"/>
                <w:szCs w:val="21"/>
                <w:vertAlign w:val="baseline"/>
                <w:lang w:val="en-US" w:eastAsia="zh-CN" w:bidi="ar-SA"/>
                <w14:ligatures w14:val="standardContextual"/>
              </w:rPr>
            </w:pPr>
            <w:r>
              <w:rPr>
                <w:rFonts w:hint="eastAsia" w:cs="Times New Roman"/>
                <w:b/>
                <w:kern w:val="2"/>
                <w:sz w:val="24"/>
                <w:szCs w:val="21"/>
                <w:vertAlign w:val="baseline"/>
                <w:lang w:val="en-US" w:eastAsia="zh-CN" w:bidi="ar-SA"/>
                <w14:ligatures w14:val="standardContextual"/>
              </w:rPr>
              <w:t>内层期权期限（月）</w:t>
            </w:r>
          </w:p>
        </w:tc>
        <w:tc>
          <w:tcPr>
            <w:tcW w:w="867" w:type="dxa"/>
            <w:tcBorders>
              <w:top w:val="single" w:color="auto" w:sz="12" w:space="0"/>
              <w:left w:val="nil"/>
              <w:bottom w:val="single" w:color="auto" w:sz="4" w:space="0"/>
              <w:right w:val="nil"/>
            </w:tcBorders>
            <w:vAlign w:val="center"/>
          </w:tcPr>
          <w:p w14:paraId="703E293E">
            <w:pPr>
              <w:widowControl w:val="0"/>
              <w:numPr>
                <w:ilvl w:val="0"/>
                <w:numId w:val="0"/>
              </w:numPr>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外层期权类型</w:t>
            </w:r>
          </w:p>
        </w:tc>
        <w:tc>
          <w:tcPr>
            <w:tcW w:w="898" w:type="dxa"/>
            <w:tcBorders>
              <w:top w:val="single" w:color="auto" w:sz="12" w:space="0"/>
              <w:left w:val="nil"/>
              <w:bottom w:val="single" w:color="auto" w:sz="4" w:space="0"/>
              <w:right w:val="nil"/>
            </w:tcBorders>
            <w:vAlign w:val="center"/>
          </w:tcPr>
          <w:p w14:paraId="7609FAC5">
            <w:pPr>
              <w:widowControl w:val="0"/>
              <w:numPr>
                <w:ilvl w:val="0"/>
                <w:numId w:val="0"/>
              </w:numPr>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外层期权执行价K1</w:t>
            </w:r>
          </w:p>
        </w:tc>
        <w:tc>
          <w:tcPr>
            <w:tcW w:w="1176" w:type="dxa"/>
            <w:tcBorders>
              <w:top w:val="single" w:color="auto" w:sz="12" w:space="0"/>
              <w:left w:val="nil"/>
              <w:bottom w:val="single" w:color="auto" w:sz="4" w:space="0"/>
              <w:right w:val="nil"/>
            </w:tcBorders>
            <w:shd w:val="clear" w:color="auto" w:fill="auto"/>
            <w:vAlign w:val="center"/>
          </w:tcPr>
          <w:p w14:paraId="7BF5A070">
            <w:pPr>
              <w:widowControl w:val="0"/>
              <w:numPr>
                <w:ilvl w:val="0"/>
                <w:numId w:val="0"/>
              </w:numPr>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内层期权类型</w:t>
            </w:r>
          </w:p>
        </w:tc>
        <w:tc>
          <w:tcPr>
            <w:tcW w:w="1333" w:type="dxa"/>
            <w:tcBorders>
              <w:top w:val="single" w:color="auto" w:sz="12" w:space="0"/>
              <w:left w:val="nil"/>
              <w:bottom w:val="single" w:color="auto" w:sz="4" w:space="0"/>
              <w:right w:val="nil"/>
            </w:tcBorders>
            <w:shd w:val="clear" w:color="auto" w:fill="auto"/>
            <w:vAlign w:val="center"/>
          </w:tcPr>
          <w:p w14:paraId="201B0EAA">
            <w:pPr>
              <w:widowControl w:val="0"/>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b/>
                <w:kern w:val="2"/>
                <w:sz w:val="24"/>
                <w:szCs w:val="21"/>
                <w:vertAlign w:val="baseline"/>
                <w:lang w:val="en-US" w:eastAsia="zh-CN" w:bidi="ar-SA"/>
                <w14:ligatures w14:val="standardContextual"/>
              </w:rPr>
            </w:pPr>
            <w:r>
              <w:rPr>
                <w:rFonts w:hint="eastAsia"/>
                <w:b/>
                <w:vertAlign w:val="baseline"/>
                <w:lang w:val="en-US" w:eastAsia="zh-CN"/>
              </w:rPr>
              <w:t>内层期权期限C_inner（年）</w:t>
            </w:r>
          </w:p>
        </w:tc>
        <w:tc>
          <w:tcPr>
            <w:tcW w:w="930" w:type="dxa"/>
            <w:tcBorders>
              <w:top w:val="single" w:color="auto" w:sz="12" w:space="0"/>
              <w:left w:val="nil"/>
              <w:bottom w:val="single" w:color="auto" w:sz="4" w:space="0"/>
              <w:right w:val="nil"/>
            </w:tcBorders>
            <w:shd w:val="clear" w:color="auto" w:fill="auto"/>
            <w:vAlign w:val="center"/>
          </w:tcPr>
          <w:p w14:paraId="0B9AB30F">
            <w:pPr>
              <w:widowControl w:val="0"/>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b/>
                <w:kern w:val="2"/>
                <w:sz w:val="24"/>
                <w:szCs w:val="21"/>
                <w:vertAlign w:val="baseline"/>
                <w:lang w:val="en-US" w:eastAsia="zh-CN" w:bidi="ar-SA"/>
                <w14:ligatures w14:val="standardContextual"/>
              </w:rPr>
            </w:pPr>
            <w:r>
              <w:rPr>
                <w:rFonts w:hint="eastAsia"/>
                <w:b/>
                <w:vertAlign w:val="baseline"/>
                <w:lang w:val="en-US" w:eastAsia="zh-CN"/>
              </w:rPr>
              <w:t>内层期权执行价K2</w:t>
            </w:r>
          </w:p>
        </w:tc>
        <w:tc>
          <w:tcPr>
            <w:tcW w:w="778" w:type="dxa"/>
            <w:tcBorders>
              <w:top w:val="single" w:color="auto" w:sz="12" w:space="0"/>
              <w:left w:val="nil"/>
              <w:bottom w:val="single" w:color="auto" w:sz="4" w:space="0"/>
              <w:right w:val="nil"/>
            </w:tcBorders>
            <w:shd w:val="clear" w:color="auto" w:fill="auto"/>
            <w:vAlign w:val="center"/>
          </w:tcPr>
          <w:p w14:paraId="32398BCF">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b/>
                <w:kern w:val="2"/>
                <w:sz w:val="24"/>
                <w:szCs w:val="21"/>
                <w:vertAlign w:val="baseline"/>
                <w:lang w:val="en-US" w:eastAsia="zh-CN" w:bidi="ar-SA"/>
                <w14:ligatures w14:val="standardContextual"/>
              </w:rPr>
            </w:pPr>
            <w:r>
              <w:rPr>
                <w:rFonts w:hint="eastAsia"/>
                <w:b/>
                <w:vertAlign w:val="baseline"/>
                <w:lang w:val="en-US" w:eastAsia="zh-CN"/>
              </w:rPr>
              <w:t>衍生品X价格</w:t>
            </w:r>
          </w:p>
        </w:tc>
        <w:tc>
          <w:tcPr>
            <w:tcW w:w="956" w:type="dxa"/>
            <w:tcBorders>
              <w:top w:val="single" w:color="auto" w:sz="12" w:space="0"/>
              <w:left w:val="nil"/>
              <w:bottom w:val="single" w:color="auto" w:sz="4" w:space="0"/>
              <w:right w:val="nil"/>
            </w:tcBorders>
            <w:shd w:val="clear" w:color="auto" w:fill="auto"/>
            <w:vAlign w:val="center"/>
          </w:tcPr>
          <w:p w14:paraId="4ECA255A">
            <w:pPr>
              <w:widowControl w:val="0"/>
              <w:numPr>
                <w:ilvl w:val="0"/>
                <w:numId w:val="0"/>
              </w:numPr>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X的价格变化率</w:t>
            </w:r>
          </w:p>
        </w:tc>
      </w:tr>
      <w:tr w14:paraId="6A9B5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39" w:type="dxa"/>
            <w:tcBorders>
              <w:top w:val="single" w:color="auto" w:sz="4" w:space="0"/>
              <w:left w:val="nil"/>
              <w:bottom w:val="nil"/>
              <w:right w:val="nil"/>
            </w:tcBorders>
            <w:shd w:val="clear" w:color="auto" w:fill="auto"/>
            <w:vAlign w:val="center"/>
          </w:tcPr>
          <w:p w14:paraId="2AE097F6">
            <w:pPr>
              <w:widowControl w:val="0"/>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kern w:val="2"/>
                <w:sz w:val="24"/>
                <w:szCs w:val="21"/>
                <w:vertAlign w:val="baseline"/>
                <w:lang w:val="en-US" w:eastAsia="zh-CN" w:bidi="ar-SA"/>
                <w14:ligatures w14:val="standardContextual"/>
              </w:rPr>
            </w:pPr>
            <w:r>
              <w:rPr>
                <w:rFonts w:hint="eastAsia" w:cs="Times New Roman"/>
                <w:kern w:val="2"/>
                <w:sz w:val="24"/>
                <w:szCs w:val="21"/>
                <w:vertAlign w:val="baseline"/>
                <w:lang w:val="en-US" w:eastAsia="zh-CN" w:bidi="ar-SA"/>
                <w14:ligatures w14:val="standardContextual"/>
              </w:rPr>
              <w:t>3</w:t>
            </w:r>
          </w:p>
        </w:tc>
        <w:tc>
          <w:tcPr>
            <w:tcW w:w="867" w:type="dxa"/>
            <w:tcBorders>
              <w:top w:val="single" w:color="auto" w:sz="4" w:space="0"/>
              <w:left w:val="nil"/>
              <w:bottom w:val="nil"/>
              <w:right w:val="nil"/>
            </w:tcBorders>
            <w:vAlign w:val="center"/>
          </w:tcPr>
          <w:p w14:paraId="402E6571">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看涨</w:t>
            </w:r>
          </w:p>
        </w:tc>
        <w:tc>
          <w:tcPr>
            <w:tcW w:w="898" w:type="dxa"/>
            <w:tcBorders>
              <w:top w:val="single" w:color="auto" w:sz="4" w:space="0"/>
              <w:left w:val="nil"/>
              <w:bottom w:val="nil"/>
              <w:right w:val="nil"/>
            </w:tcBorders>
            <w:vAlign w:val="center"/>
          </w:tcPr>
          <w:p w14:paraId="6EC41759">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70</w:t>
            </w:r>
          </w:p>
        </w:tc>
        <w:tc>
          <w:tcPr>
            <w:tcW w:w="1176" w:type="dxa"/>
            <w:tcBorders>
              <w:top w:val="single" w:color="auto" w:sz="4" w:space="0"/>
              <w:left w:val="nil"/>
              <w:bottom w:val="nil"/>
              <w:right w:val="nil"/>
            </w:tcBorders>
            <w:vAlign w:val="center"/>
          </w:tcPr>
          <w:p w14:paraId="54F745E2">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欧式看跌</w:t>
            </w:r>
          </w:p>
        </w:tc>
        <w:tc>
          <w:tcPr>
            <w:tcW w:w="1333" w:type="dxa"/>
            <w:tcBorders>
              <w:top w:val="single" w:color="auto" w:sz="4" w:space="0"/>
              <w:left w:val="nil"/>
              <w:bottom w:val="nil"/>
              <w:right w:val="nil"/>
            </w:tcBorders>
            <w:vAlign w:val="center"/>
          </w:tcPr>
          <w:p w14:paraId="2182EFF9">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0.25</w:t>
            </w:r>
          </w:p>
        </w:tc>
        <w:tc>
          <w:tcPr>
            <w:tcW w:w="930" w:type="dxa"/>
            <w:tcBorders>
              <w:top w:val="single" w:color="auto" w:sz="4" w:space="0"/>
              <w:left w:val="nil"/>
              <w:bottom w:val="nil"/>
              <w:right w:val="nil"/>
            </w:tcBorders>
            <w:vAlign w:val="center"/>
          </w:tcPr>
          <w:p w14:paraId="5EBA0F7B">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81.31</w:t>
            </w:r>
          </w:p>
        </w:tc>
        <w:tc>
          <w:tcPr>
            <w:tcW w:w="778" w:type="dxa"/>
            <w:tcBorders>
              <w:top w:val="single" w:color="auto" w:sz="4" w:space="0"/>
              <w:left w:val="nil"/>
              <w:bottom w:val="nil"/>
              <w:right w:val="nil"/>
            </w:tcBorders>
            <w:vAlign w:val="center"/>
          </w:tcPr>
          <w:p w14:paraId="4F46837A">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48.43</w:t>
            </w:r>
          </w:p>
        </w:tc>
        <w:tc>
          <w:tcPr>
            <w:tcW w:w="956" w:type="dxa"/>
            <w:tcBorders>
              <w:top w:val="single" w:color="auto" w:sz="4" w:space="0"/>
              <w:left w:val="nil"/>
              <w:bottom w:val="nil"/>
              <w:right w:val="nil"/>
            </w:tcBorders>
            <w:vAlign w:val="center"/>
          </w:tcPr>
          <w:p w14:paraId="1136FB5C">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0%</w:t>
            </w:r>
          </w:p>
        </w:tc>
      </w:tr>
      <w:tr w14:paraId="278A6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939" w:type="dxa"/>
            <w:tcBorders>
              <w:top w:val="nil"/>
              <w:left w:val="nil"/>
              <w:bottom w:val="nil"/>
              <w:right w:val="nil"/>
            </w:tcBorders>
            <w:shd w:val="clear" w:color="auto" w:fill="auto"/>
            <w:vAlign w:val="center"/>
          </w:tcPr>
          <w:p w14:paraId="46A58DA4">
            <w:pPr>
              <w:widowControl w:val="0"/>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kern w:val="2"/>
                <w:sz w:val="24"/>
                <w:szCs w:val="21"/>
                <w:vertAlign w:val="baseline"/>
                <w:lang w:val="en-US" w:eastAsia="zh-CN" w:bidi="ar-SA"/>
                <w14:ligatures w14:val="standardContextual"/>
              </w:rPr>
            </w:pPr>
            <w:r>
              <w:rPr>
                <w:rFonts w:hint="eastAsia" w:cs="Times New Roman"/>
                <w:kern w:val="2"/>
                <w:sz w:val="24"/>
                <w:szCs w:val="21"/>
                <w:vertAlign w:val="baseline"/>
                <w:lang w:val="en-US" w:eastAsia="zh-CN" w:bidi="ar-SA"/>
                <w14:ligatures w14:val="standardContextual"/>
              </w:rPr>
              <w:t>6</w:t>
            </w:r>
          </w:p>
        </w:tc>
        <w:tc>
          <w:tcPr>
            <w:tcW w:w="867" w:type="dxa"/>
            <w:tcBorders>
              <w:top w:val="nil"/>
              <w:left w:val="nil"/>
              <w:bottom w:val="nil"/>
              <w:right w:val="nil"/>
            </w:tcBorders>
            <w:shd w:val="clear" w:color="auto" w:fill="auto"/>
            <w:vAlign w:val="center"/>
          </w:tcPr>
          <w:p w14:paraId="736F492E">
            <w:pPr>
              <w:widowControl w:val="0"/>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看涨</w:t>
            </w:r>
          </w:p>
        </w:tc>
        <w:tc>
          <w:tcPr>
            <w:tcW w:w="898" w:type="dxa"/>
            <w:tcBorders>
              <w:top w:val="nil"/>
              <w:left w:val="nil"/>
              <w:bottom w:val="nil"/>
              <w:right w:val="nil"/>
            </w:tcBorders>
            <w:shd w:val="clear" w:color="auto" w:fill="auto"/>
            <w:vAlign w:val="center"/>
          </w:tcPr>
          <w:p w14:paraId="2B1241B0">
            <w:pPr>
              <w:widowControl w:val="0"/>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70</w:t>
            </w:r>
          </w:p>
        </w:tc>
        <w:tc>
          <w:tcPr>
            <w:tcW w:w="1176" w:type="dxa"/>
            <w:tcBorders>
              <w:top w:val="nil"/>
              <w:left w:val="nil"/>
              <w:bottom w:val="nil"/>
              <w:right w:val="nil"/>
            </w:tcBorders>
            <w:shd w:val="clear" w:color="auto" w:fill="auto"/>
            <w:vAlign w:val="center"/>
          </w:tcPr>
          <w:p w14:paraId="37F3443D">
            <w:pPr>
              <w:widowControl w:val="0"/>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欧式看跌</w:t>
            </w:r>
          </w:p>
        </w:tc>
        <w:tc>
          <w:tcPr>
            <w:tcW w:w="1333" w:type="dxa"/>
            <w:tcBorders>
              <w:top w:val="nil"/>
              <w:left w:val="nil"/>
              <w:bottom w:val="nil"/>
              <w:right w:val="nil"/>
            </w:tcBorders>
            <w:shd w:val="clear" w:color="auto" w:fill="auto"/>
            <w:vAlign w:val="center"/>
          </w:tcPr>
          <w:p w14:paraId="7F67EF49">
            <w:pPr>
              <w:widowControl w:val="0"/>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0.25</w:t>
            </w:r>
          </w:p>
        </w:tc>
        <w:tc>
          <w:tcPr>
            <w:tcW w:w="930" w:type="dxa"/>
            <w:tcBorders>
              <w:top w:val="nil"/>
              <w:left w:val="nil"/>
              <w:bottom w:val="nil"/>
              <w:right w:val="nil"/>
            </w:tcBorders>
            <w:shd w:val="clear" w:color="auto" w:fill="auto"/>
            <w:vAlign w:val="center"/>
          </w:tcPr>
          <w:p w14:paraId="2006E663">
            <w:pPr>
              <w:widowControl w:val="0"/>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81.31</w:t>
            </w:r>
          </w:p>
        </w:tc>
        <w:tc>
          <w:tcPr>
            <w:tcW w:w="778" w:type="dxa"/>
            <w:tcBorders>
              <w:top w:val="nil"/>
              <w:left w:val="nil"/>
              <w:bottom w:val="nil"/>
              <w:right w:val="nil"/>
            </w:tcBorders>
            <w:vAlign w:val="center"/>
          </w:tcPr>
          <w:p w14:paraId="604508BD">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default"/>
                <w:vertAlign w:val="baseline"/>
                <w:lang w:val="en-US" w:eastAsia="zh-CN"/>
              </w:rPr>
              <w:t>55.24</w:t>
            </w:r>
          </w:p>
        </w:tc>
        <w:tc>
          <w:tcPr>
            <w:tcW w:w="956" w:type="dxa"/>
            <w:tcBorders>
              <w:top w:val="nil"/>
              <w:left w:val="nil"/>
              <w:bottom w:val="nil"/>
              <w:right w:val="nil"/>
            </w:tcBorders>
            <w:vAlign w:val="center"/>
          </w:tcPr>
          <w:p w14:paraId="1F90B777">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default"/>
                <w:vertAlign w:val="baseline"/>
                <w:lang w:val="en-US" w:eastAsia="zh-CN"/>
              </w:rPr>
              <w:t>14.07%</w:t>
            </w:r>
          </w:p>
        </w:tc>
      </w:tr>
      <w:tr w14:paraId="4A4DA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39" w:type="dxa"/>
            <w:tcBorders>
              <w:top w:val="nil"/>
              <w:left w:val="nil"/>
              <w:bottom w:val="nil"/>
              <w:right w:val="nil"/>
            </w:tcBorders>
            <w:shd w:val="clear" w:color="auto" w:fill="auto"/>
            <w:vAlign w:val="center"/>
          </w:tcPr>
          <w:p w14:paraId="2030BDCF">
            <w:pPr>
              <w:widowControl w:val="0"/>
              <w:numPr>
                <w:ilvl w:val="0"/>
                <w:numId w:val="0"/>
              </w:numPr>
              <w:snapToGrid w:val="0"/>
              <w:spacing w:line="240" w:lineRule="auto"/>
              <w:ind w:left="0" w:leftChars="0" w:right="0" w:rightChars="0" w:firstLine="0" w:firstLineChars="0"/>
              <w:jc w:val="center"/>
              <w:rPr>
                <w:rFonts w:hint="default" w:cs="Times New Roman"/>
                <w:kern w:val="2"/>
                <w:sz w:val="24"/>
                <w:szCs w:val="21"/>
                <w:vertAlign w:val="baseline"/>
                <w:lang w:val="en-US" w:eastAsia="zh-CN" w:bidi="ar-SA"/>
                <w14:ligatures w14:val="standardContextual"/>
              </w:rPr>
            </w:pPr>
            <w:r>
              <w:rPr>
                <w:rFonts w:hint="eastAsia" w:cs="Times New Roman"/>
                <w:kern w:val="2"/>
                <w:sz w:val="24"/>
                <w:szCs w:val="21"/>
                <w:vertAlign w:val="baseline"/>
                <w:lang w:val="en-US" w:eastAsia="zh-CN" w:bidi="ar-SA"/>
                <w14:ligatures w14:val="standardContextual"/>
              </w:rPr>
              <w:t>9</w:t>
            </w:r>
          </w:p>
        </w:tc>
        <w:tc>
          <w:tcPr>
            <w:tcW w:w="867" w:type="dxa"/>
            <w:tcBorders>
              <w:top w:val="nil"/>
              <w:left w:val="nil"/>
              <w:bottom w:val="nil"/>
              <w:right w:val="nil"/>
            </w:tcBorders>
            <w:shd w:val="clear" w:color="auto" w:fill="auto"/>
            <w:vAlign w:val="center"/>
          </w:tcPr>
          <w:p w14:paraId="1FFF705D">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看涨</w:t>
            </w:r>
          </w:p>
        </w:tc>
        <w:tc>
          <w:tcPr>
            <w:tcW w:w="898" w:type="dxa"/>
            <w:tcBorders>
              <w:top w:val="nil"/>
              <w:left w:val="nil"/>
              <w:bottom w:val="nil"/>
              <w:right w:val="nil"/>
            </w:tcBorders>
            <w:shd w:val="clear" w:color="auto" w:fill="auto"/>
            <w:vAlign w:val="center"/>
          </w:tcPr>
          <w:p w14:paraId="1DA6D242">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70</w:t>
            </w:r>
          </w:p>
        </w:tc>
        <w:tc>
          <w:tcPr>
            <w:tcW w:w="1176" w:type="dxa"/>
            <w:tcBorders>
              <w:top w:val="nil"/>
              <w:left w:val="nil"/>
              <w:bottom w:val="nil"/>
              <w:right w:val="nil"/>
            </w:tcBorders>
            <w:shd w:val="clear" w:color="auto" w:fill="auto"/>
            <w:vAlign w:val="center"/>
          </w:tcPr>
          <w:p w14:paraId="578B4A95">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欧式看跌</w:t>
            </w:r>
          </w:p>
        </w:tc>
        <w:tc>
          <w:tcPr>
            <w:tcW w:w="1333" w:type="dxa"/>
            <w:tcBorders>
              <w:top w:val="nil"/>
              <w:left w:val="nil"/>
              <w:bottom w:val="nil"/>
              <w:right w:val="nil"/>
            </w:tcBorders>
            <w:shd w:val="clear" w:color="auto" w:fill="auto"/>
            <w:vAlign w:val="center"/>
          </w:tcPr>
          <w:p w14:paraId="26EB9450">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0.25</w:t>
            </w:r>
          </w:p>
        </w:tc>
        <w:tc>
          <w:tcPr>
            <w:tcW w:w="930" w:type="dxa"/>
            <w:tcBorders>
              <w:top w:val="nil"/>
              <w:left w:val="nil"/>
              <w:bottom w:val="nil"/>
              <w:right w:val="nil"/>
            </w:tcBorders>
            <w:shd w:val="clear" w:color="auto" w:fill="auto"/>
            <w:vAlign w:val="center"/>
          </w:tcPr>
          <w:p w14:paraId="084F0CB4">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81.31</w:t>
            </w:r>
          </w:p>
        </w:tc>
        <w:tc>
          <w:tcPr>
            <w:tcW w:w="778" w:type="dxa"/>
            <w:tcBorders>
              <w:top w:val="nil"/>
              <w:left w:val="nil"/>
              <w:bottom w:val="nil"/>
              <w:right w:val="nil"/>
            </w:tcBorders>
            <w:vAlign w:val="center"/>
          </w:tcPr>
          <w:p w14:paraId="6026BFFB">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default"/>
                <w:vertAlign w:val="baseline"/>
                <w:lang w:val="en-US" w:eastAsia="zh-CN"/>
              </w:rPr>
              <w:t>62.20</w:t>
            </w:r>
          </w:p>
        </w:tc>
        <w:tc>
          <w:tcPr>
            <w:tcW w:w="956" w:type="dxa"/>
            <w:tcBorders>
              <w:top w:val="nil"/>
              <w:left w:val="nil"/>
              <w:bottom w:val="nil"/>
              <w:right w:val="nil"/>
            </w:tcBorders>
            <w:vAlign w:val="center"/>
          </w:tcPr>
          <w:p w14:paraId="6D736BDD">
            <w:pPr>
              <w:widowControl w:val="0"/>
              <w:numPr>
                <w:ilvl w:val="0"/>
                <w:numId w:val="0"/>
              </w:numPr>
              <w:snapToGrid w:val="0"/>
              <w:spacing w:line="24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28.44%</w:t>
            </w:r>
          </w:p>
        </w:tc>
      </w:tr>
      <w:tr w14:paraId="3EC15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939" w:type="dxa"/>
            <w:tcBorders>
              <w:top w:val="nil"/>
              <w:left w:val="nil"/>
              <w:bottom w:val="nil"/>
              <w:right w:val="nil"/>
            </w:tcBorders>
            <w:shd w:val="clear" w:color="auto" w:fill="auto"/>
            <w:vAlign w:val="center"/>
          </w:tcPr>
          <w:p w14:paraId="63227C61">
            <w:pPr>
              <w:widowControl w:val="0"/>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kern w:val="2"/>
                <w:sz w:val="24"/>
                <w:szCs w:val="21"/>
                <w:vertAlign w:val="baseline"/>
                <w:lang w:val="en-US" w:eastAsia="zh-CN" w:bidi="ar-SA"/>
                <w14:ligatures w14:val="standardContextual"/>
              </w:rPr>
            </w:pPr>
            <w:r>
              <w:rPr>
                <w:rFonts w:hint="eastAsia" w:cs="Times New Roman"/>
                <w:kern w:val="2"/>
                <w:sz w:val="24"/>
                <w:szCs w:val="21"/>
                <w:vertAlign w:val="baseline"/>
                <w:lang w:val="en-US" w:eastAsia="zh-CN" w:bidi="ar-SA"/>
                <w14:ligatures w14:val="standardContextual"/>
              </w:rPr>
              <w:t>3</w:t>
            </w:r>
          </w:p>
        </w:tc>
        <w:tc>
          <w:tcPr>
            <w:tcW w:w="867" w:type="dxa"/>
            <w:tcBorders>
              <w:top w:val="nil"/>
              <w:left w:val="nil"/>
              <w:bottom w:val="nil"/>
              <w:right w:val="nil"/>
            </w:tcBorders>
            <w:shd w:val="clear" w:color="auto" w:fill="auto"/>
            <w:vAlign w:val="center"/>
          </w:tcPr>
          <w:p w14:paraId="0A1E8C81">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看涨</w:t>
            </w:r>
          </w:p>
        </w:tc>
        <w:tc>
          <w:tcPr>
            <w:tcW w:w="898" w:type="dxa"/>
            <w:tcBorders>
              <w:top w:val="nil"/>
              <w:left w:val="nil"/>
              <w:bottom w:val="nil"/>
              <w:right w:val="nil"/>
            </w:tcBorders>
            <w:shd w:val="clear" w:color="auto" w:fill="auto"/>
            <w:vAlign w:val="center"/>
          </w:tcPr>
          <w:p w14:paraId="424217BE">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70</w:t>
            </w:r>
          </w:p>
        </w:tc>
        <w:tc>
          <w:tcPr>
            <w:tcW w:w="1176" w:type="dxa"/>
            <w:tcBorders>
              <w:top w:val="nil"/>
              <w:left w:val="nil"/>
              <w:bottom w:val="nil"/>
              <w:right w:val="nil"/>
            </w:tcBorders>
            <w:shd w:val="clear" w:color="auto" w:fill="auto"/>
            <w:vAlign w:val="center"/>
          </w:tcPr>
          <w:p w14:paraId="090F257F">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美式看跌</w:t>
            </w:r>
          </w:p>
        </w:tc>
        <w:tc>
          <w:tcPr>
            <w:tcW w:w="1333" w:type="dxa"/>
            <w:tcBorders>
              <w:top w:val="nil"/>
              <w:left w:val="nil"/>
              <w:bottom w:val="nil"/>
              <w:right w:val="nil"/>
            </w:tcBorders>
            <w:shd w:val="clear" w:color="auto" w:fill="auto"/>
            <w:vAlign w:val="center"/>
          </w:tcPr>
          <w:p w14:paraId="381B8076">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0.25</w:t>
            </w:r>
          </w:p>
        </w:tc>
        <w:tc>
          <w:tcPr>
            <w:tcW w:w="930" w:type="dxa"/>
            <w:tcBorders>
              <w:top w:val="nil"/>
              <w:left w:val="nil"/>
              <w:bottom w:val="nil"/>
              <w:right w:val="nil"/>
            </w:tcBorders>
            <w:shd w:val="clear" w:color="auto" w:fill="auto"/>
            <w:vAlign w:val="center"/>
          </w:tcPr>
          <w:p w14:paraId="18FB21EF">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81.31</w:t>
            </w:r>
          </w:p>
        </w:tc>
        <w:tc>
          <w:tcPr>
            <w:tcW w:w="778" w:type="dxa"/>
            <w:tcBorders>
              <w:top w:val="nil"/>
              <w:left w:val="nil"/>
              <w:bottom w:val="nil"/>
              <w:right w:val="nil"/>
            </w:tcBorders>
            <w:shd w:val="clear" w:color="auto" w:fill="auto"/>
            <w:vAlign w:val="center"/>
          </w:tcPr>
          <w:p w14:paraId="5E70B952">
            <w:pPr>
              <w:widowControl w:val="0"/>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51.18</w:t>
            </w:r>
          </w:p>
        </w:tc>
        <w:tc>
          <w:tcPr>
            <w:tcW w:w="956" w:type="dxa"/>
            <w:tcBorders>
              <w:top w:val="nil"/>
              <w:left w:val="nil"/>
              <w:bottom w:val="nil"/>
              <w:right w:val="nil"/>
            </w:tcBorders>
            <w:vAlign w:val="center"/>
          </w:tcPr>
          <w:p w14:paraId="564AEEF2">
            <w:pPr>
              <w:widowControl w:val="0"/>
              <w:numPr>
                <w:ilvl w:val="0"/>
                <w:numId w:val="0"/>
              </w:numPr>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0%</w:t>
            </w:r>
          </w:p>
        </w:tc>
      </w:tr>
      <w:tr w14:paraId="3CF24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39" w:type="dxa"/>
            <w:tcBorders>
              <w:top w:val="nil"/>
              <w:left w:val="nil"/>
              <w:bottom w:val="nil"/>
              <w:right w:val="nil"/>
            </w:tcBorders>
            <w:shd w:val="clear" w:color="auto" w:fill="auto"/>
            <w:vAlign w:val="center"/>
          </w:tcPr>
          <w:p w14:paraId="4B38BC93">
            <w:pPr>
              <w:widowControl w:val="0"/>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kern w:val="2"/>
                <w:sz w:val="24"/>
                <w:szCs w:val="21"/>
                <w:vertAlign w:val="baseline"/>
                <w:lang w:val="en-US" w:eastAsia="zh-CN" w:bidi="ar-SA"/>
                <w14:ligatures w14:val="standardContextual"/>
              </w:rPr>
            </w:pPr>
            <w:r>
              <w:rPr>
                <w:rFonts w:hint="eastAsia" w:cs="Times New Roman"/>
                <w:kern w:val="2"/>
                <w:sz w:val="24"/>
                <w:szCs w:val="21"/>
                <w:vertAlign w:val="baseline"/>
                <w:lang w:val="en-US" w:eastAsia="zh-CN" w:bidi="ar-SA"/>
                <w14:ligatures w14:val="standardContextual"/>
              </w:rPr>
              <w:t>6</w:t>
            </w:r>
          </w:p>
        </w:tc>
        <w:tc>
          <w:tcPr>
            <w:tcW w:w="867" w:type="dxa"/>
            <w:tcBorders>
              <w:top w:val="nil"/>
              <w:left w:val="nil"/>
              <w:bottom w:val="nil"/>
              <w:right w:val="nil"/>
            </w:tcBorders>
            <w:shd w:val="clear" w:color="auto" w:fill="auto"/>
            <w:vAlign w:val="center"/>
          </w:tcPr>
          <w:p w14:paraId="35035F06">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看涨</w:t>
            </w:r>
          </w:p>
        </w:tc>
        <w:tc>
          <w:tcPr>
            <w:tcW w:w="898" w:type="dxa"/>
            <w:tcBorders>
              <w:top w:val="nil"/>
              <w:left w:val="nil"/>
              <w:bottom w:val="nil"/>
              <w:right w:val="nil"/>
            </w:tcBorders>
            <w:shd w:val="clear" w:color="auto" w:fill="auto"/>
            <w:vAlign w:val="center"/>
          </w:tcPr>
          <w:p w14:paraId="268A1C5C">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70</w:t>
            </w:r>
          </w:p>
        </w:tc>
        <w:tc>
          <w:tcPr>
            <w:tcW w:w="1176" w:type="dxa"/>
            <w:tcBorders>
              <w:top w:val="nil"/>
              <w:left w:val="nil"/>
              <w:bottom w:val="nil"/>
              <w:right w:val="nil"/>
            </w:tcBorders>
            <w:shd w:val="clear" w:color="auto" w:fill="auto"/>
            <w:vAlign w:val="center"/>
          </w:tcPr>
          <w:p w14:paraId="5A8CE777">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美式看跌</w:t>
            </w:r>
          </w:p>
        </w:tc>
        <w:tc>
          <w:tcPr>
            <w:tcW w:w="1333" w:type="dxa"/>
            <w:tcBorders>
              <w:top w:val="nil"/>
              <w:left w:val="nil"/>
              <w:bottom w:val="nil"/>
              <w:right w:val="nil"/>
            </w:tcBorders>
            <w:shd w:val="clear" w:color="auto" w:fill="auto"/>
            <w:vAlign w:val="center"/>
          </w:tcPr>
          <w:p w14:paraId="439441F0">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0.25</w:t>
            </w:r>
          </w:p>
        </w:tc>
        <w:tc>
          <w:tcPr>
            <w:tcW w:w="930" w:type="dxa"/>
            <w:tcBorders>
              <w:top w:val="nil"/>
              <w:left w:val="nil"/>
              <w:bottom w:val="nil"/>
              <w:right w:val="nil"/>
            </w:tcBorders>
            <w:shd w:val="clear" w:color="auto" w:fill="auto"/>
            <w:vAlign w:val="center"/>
          </w:tcPr>
          <w:p w14:paraId="70B89A0E">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81.31</w:t>
            </w:r>
          </w:p>
        </w:tc>
        <w:tc>
          <w:tcPr>
            <w:tcW w:w="778" w:type="dxa"/>
            <w:tcBorders>
              <w:top w:val="nil"/>
              <w:left w:val="nil"/>
              <w:bottom w:val="nil"/>
              <w:right w:val="nil"/>
            </w:tcBorders>
            <w:shd w:val="clear" w:color="auto" w:fill="auto"/>
            <w:vAlign w:val="center"/>
          </w:tcPr>
          <w:p w14:paraId="00382011">
            <w:pPr>
              <w:widowControl w:val="0"/>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kern w:val="2"/>
                <w:sz w:val="24"/>
                <w:szCs w:val="21"/>
                <w:vertAlign w:val="baseline"/>
                <w:lang w:val="en-US" w:eastAsia="zh-CN" w:bidi="ar-SA"/>
                <w14:ligatures w14:val="standardContextual"/>
              </w:rPr>
            </w:pPr>
            <w:r>
              <w:rPr>
                <w:rFonts w:hint="default" w:ascii="Times New Roman" w:hAnsi="Times New Roman" w:eastAsia="宋体" w:cs="Times New Roman"/>
                <w:kern w:val="2"/>
                <w:sz w:val="24"/>
                <w:szCs w:val="21"/>
                <w:vertAlign w:val="baseline"/>
                <w:lang w:val="en-US" w:eastAsia="zh-CN" w:bidi="ar-SA"/>
                <w14:ligatures w14:val="standardContextual"/>
              </w:rPr>
              <w:t>59.82</w:t>
            </w:r>
          </w:p>
        </w:tc>
        <w:tc>
          <w:tcPr>
            <w:tcW w:w="956" w:type="dxa"/>
            <w:tcBorders>
              <w:top w:val="nil"/>
              <w:left w:val="nil"/>
              <w:bottom w:val="nil"/>
              <w:right w:val="nil"/>
            </w:tcBorders>
            <w:shd w:val="clear" w:color="auto" w:fill="auto"/>
            <w:vAlign w:val="center"/>
          </w:tcPr>
          <w:p w14:paraId="03E49667">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ascii="Times New Roman" w:hAnsi="Times New Roman" w:eastAsia="宋体" w:cs="Times New Roman"/>
                <w:kern w:val="2"/>
                <w:sz w:val="24"/>
                <w:szCs w:val="21"/>
                <w:vertAlign w:val="baseline"/>
                <w:lang w:val="en-US" w:eastAsia="zh-CN" w:bidi="ar-SA"/>
                <w14:ligatures w14:val="standardContextual"/>
              </w:rPr>
              <w:t>16.89%</w:t>
            </w:r>
          </w:p>
        </w:tc>
      </w:tr>
      <w:tr w14:paraId="27954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39" w:type="dxa"/>
            <w:tcBorders>
              <w:top w:val="nil"/>
              <w:left w:val="nil"/>
              <w:bottom w:val="nil"/>
              <w:right w:val="nil"/>
            </w:tcBorders>
            <w:shd w:val="clear" w:color="auto" w:fill="auto"/>
            <w:vAlign w:val="center"/>
          </w:tcPr>
          <w:p w14:paraId="1EE4621B">
            <w:pPr>
              <w:widowControl w:val="0"/>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kern w:val="2"/>
                <w:sz w:val="24"/>
                <w:szCs w:val="21"/>
                <w:vertAlign w:val="baseline"/>
                <w:lang w:val="en-US" w:eastAsia="zh-CN" w:bidi="ar-SA"/>
                <w14:ligatures w14:val="standardContextual"/>
              </w:rPr>
            </w:pPr>
            <w:r>
              <w:rPr>
                <w:rFonts w:hint="eastAsia" w:cs="Times New Roman"/>
                <w:kern w:val="2"/>
                <w:sz w:val="24"/>
                <w:szCs w:val="21"/>
                <w:vertAlign w:val="baseline"/>
                <w:lang w:val="en-US" w:eastAsia="zh-CN" w:bidi="ar-SA"/>
                <w14:ligatures w14:val="standardContextual"/>
              </w:rPr>
              <w:t>9</w:t>
            </w:r>
          </w:p>
        </w:tc>
        <w:tc>
          <w:tcPr>
            <w:tcW w:w="867" w:type="dxa"/>
            <w:tcBorders>
              <w:top w:val="nil"/>
              <w:left w:val="nil"/>
              <w:bottom w:val="nil"/>
              <w:right w:val="nil"/>
            </w:tcBorders>
            <w:shd w:val="clear" w:color="auto" w:fill="auto"/>
            <w:vAlign w:val="center"/>
          </w:tcPr>
          <w:p w14:paraId="6D187A5D">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看涨</w:t>
            </w:r>
          </w:p>
        </w:tc>
        <w:tc>
          <w:tcPr>
            <w:tcW w:w="898" w:type="dxa"/>
            <w:tcBorders>
              <w:top w:val="nil"/>
              <w:left w:val="nil"/>
              <w:bottom w:val="nil"/>
              <w:right w:val="nil"/>
            </w:tcBorders>
            <w:shd w:val="clear" w:color="auto" w:fill="auto"/>
            <w:vAlign w:val="center"/>
          </w:tcPr>
          <w:p w14:paraId="5AE169F5">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70</w:t>
            </w:r>
          </w:p>
        </w:tc>
        <w:tc>
          <w:tcPr>
            <w:tcW w:w="1176" w:type="dxa"/>
            <w:tcBorders>
              <w:top w:val="nil"/>
              <w:left w:val="nil"/>
              <w:bottom w:val="nil"/>
              <w:right w:val="nil"/>
            </w:tcBorders>
            <w:shd w:val="clear" w:color="auto" w:fill="auto"/>
            <w:vAlign w:val="center"/>
          </w:tcPr>
          <w:p w14:paraId="5D19721B">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美式看跌</w:t>
            </w:r>
          </w:p>
        </w:tc>
        <w:tc>
          <w:tcPr>
            <w:tcW w:w="1333" w:type="dxa"/>
            <w:tcBorders>
              <w:top w:val="nil"/>
              <w:left w:val="nil"/>
              <w:bottom w:val="nil"/>
              <w:right w:val="nil"/>
            </w:tcBorders>
            <w:shd w:val="clear" w:color="auto" w:fill="auto"/>
            <w:vAlign w:val="center"/>
          </w:tcPr>
          <w:p w14:paraId="26B4470B">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0.25</w:t>
            </w:r>
          </w:p>
        </w:tc>
        <w:tc>
          <w:tcPr>
            <w:tcW w:w="930" w:type="dxa"/>
            <w:tcBorders>
              <w:top w:val="nil"/>
              <w:left w:val="nil"/>
              <w:bottom w:val="nil"/>
              <w:right w:val="nil"/>
            </w:tcBorders>
            <w:shd w:val="clear" w:color="auto" w:fill="auto"/>
            <w:vAlign w:val="center"/>
          </w:tcPr>
          <w:p w14:paraId="09A4FE77">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vertAlign w:val="baseline"/>
                <w:lang w:val="en-US" w:eastAsia="zh-CN"/>
              </w:rPr>
              <w:t>81.31</w:t>
            </w:r>
          </w:p>
        </w:tc>
        <w:tc>
          <w:tcPr>
            <w:tcW w:w="778" w:type="dxa"/>
            <w:tcBorders>
              <w:top w:val="nil"/>
              <w:left w:val="nil"/>
              <w:bottom w:val="nil"/>
              <w:right w:val="nil"/>
            </w:tcBorders>
            <w:shd w:val="clear" w:color="auto" w:fill="auto"/>
            <w:vAlign w:val="center"/>
          </w:tcPr>
          <w:p w14:paraId="08603D5A">
            <w:pPr>
              <w:widowControl w:val="0"/>
              <w:numPr>
                <w:ilvl w:val="0"/>
                <w:numId w:val="0"/>
              </w:numPr>
              <w:snapToGrid w:val="0"/>
              <w:spacing w:line="240" w:lineRule="auto"/>
              <w:ind w:left="0" w:leftChars="0" w:right="0" w:rightChars="0" w:firstLine="0" w:firstLineChars="0"/>
              <w:jc w:val="center"/>
              <w:rPr>
                <w:rFonts w:hint="default" w:ascii="Times New Roman" w:hAnsi="Times New Roman" w:eastAsia="宋体" w:cs="Times New Roman"/>
                <w:kern w:val="2"/>
                <w:sz w:val="24"/>
                <w:szCs w:val="21"/>
                <w:vertAlign w:val="baseline"/>
                <w:lang w:val="en-US" w:eastAsia="zh-CN" w:bidi="ar-SA"/>
                <w14:ligatures w14:val="standardContextual"/>
              </w:rPr>
            </w:pPr>
            <w:r>
              <w:rPr>
                <w:rFonts w:hint="default" w:ascii="Times New Roman" w:hAnsi="Times New Roman" w:eastAsia="宋体" w:cs="Times New Roman"/>
                <w:kern w:val="2"/>
                <w:sz w:val="24"/>
                <w:szCs w:val="21"/>
                <w:vertAlign w:val="baseline"/>
                <w:lang w:val="en-US" w:eastAsia="zh-CN" w:bidi="ar-SA"/>
                <w14:ligatures w14:val="standardContextual"/>
              </w:rPr>
              <w:t>68.60</w:t>
            </w:r>
          </w:p>
        </w:tc>
        <w:tc>
          <w:tcPr>
            <w:tcW w:w="956" w:type="dxa"/>
            <w:tcBorders>
              <w:top w:val="nil"/>
              <w:left w:val="nil"/>
              <w:bottom w:val="nil"/>
              <w:right w:val="nil"/>
            </w:tcBorders>
            <w:shd w:val="clear" w:color="auto" w:fill="auto"/>
            <w:vAlign w:val="center"/>
          </w:tcPr>
          <w:p w14:paraId="32622B35">
            <w:pPr>
              <w:widowControl w:val="0"/>
              <w:numPr>
                <w:ilvl w:val="0"/>
                <w:numId w:val="0"/>
              </w:numPr>
              <w:snapToGrid w:val="0"/>
              <w:spacing w:line="240" w:lineRule="auto"/>
              <w:ind w:left="0" w:leftChars="0" w:right="0" w:rightChars="0" w:firstLine="0" w:firstLineChars="0"/>
              <w:jc w:val="center"/>
              <w:rPr>
                <w:rFonts w:hint="eastAsia" w:ascii="Times New Roman" w:hAnsi="Times New Roman" w:eastAsia="宋体" w:cs="Times New Roman"/>
                <w:kern w:val="2"/>
                <w:sz w:val="24"/>
                <w:szCs w:val="21"/>
                <w:vertAlign w:val="baseline"/>
                <w:lang w:val="en-US" w:eastAsia="zh-CN" w:bidi="ar-SA"/>
                <w14:ligatures w14:val="standardContextual"/>
              </w:rPr>
            </w:pPr>
            <w:r>
              <w:rPr>
                <w:rFonts w:hint="eastAsia" w:ascii="Times New Roman" w:hAnsi="Times New Roman" w:eastAsia="宋体" w:cs="Times New Roman"/>
                <w:kern w:val="2"/>
                <w:sz w:val="24"/>
                <w:szCs w:val="21"/>
                <w:vertAlign w:val="baseline"/>
                <w:lang w:val="en-US" w:eastAsia="zh-CN" w:bidi="ar-SA"/>
                <w14:ligatures w14:val="standardContextual"/>
              </w:rPr>
              <w:t>34.05%</w:t>
            </w:r>
          </w:p>
        </w:tc>
      </w:tr>
    </w:tbl>
    <w:p w14:paraId="7ADC9663">
      <w:pPr>
        <w:ind w:firstLine="420" w:firstLineChars="0"/>
        <w:rPr>
          <w:rFonts w:hint="default" w:hAnsi="Cambria Math"/>
          <w:i w:val="0"/>
          <w:lang w:val="en-US" w:eastAsia="zh-CN"/>
        </w:rPr>
      </w:pPr>
    </w:p>
    <w:p w14:paraId="351847CF">
      <w:pPr>
        <w:ind w:firstLine="420" w:firstLineChars="0"/>
        <w:rPr>
          <w:rFonts w:hint="default" w:hAnsi="Cambria Math"/>
          <w:i w:val="0"/>
          <w:lang w:val="en-US" w:eastAsia="zh-CN"/>
        </w:rPr>
      </w:pPr>
      <w:r>
        <w:rPr>
          <w:rFonts w:hint="eastAsia" w:hAnsi="Cambria Math"/>
          <w:i w:val="0"/>
          <w:lang w:val="en-US" w:eastAsia="zh-CN"/>
        </w:rPr>
        <w:t>如上表所示，内层期权期限越长，X的价格越高，并且美式期权相比于欧式期权对内层期权期限的变化更为敏感。</w:t>
      </w:r>
    </w:p>
    <w:p w14:paraId="383DE0A5">
      <w:pPr>
        <w:pStyle w:val="2"/>
        <w:numPr>
          <w:ilvl w:val="0"/>
          <w:numId w:val="1"/>
        </w:numPr>
        <w:bidi w:val="0"/>
        <w:rPr>
          <w:rFonts w:hint="eastAsia"/>
          <w:lang w:val="en-US" w:eastAsia="zh-CN"/>
        </w:rPr>
      </w:pPr>
      <w:bookmarkStart w:id="17" w:name="_Toc6612"/>
      <w:r>
        <w:rPr>
          <w:rFonts w:hint="eastAsia"/>
          <w:lang w:val="en-US" w:eastAsia="zh-CN"/>
        </w:rPr>
        <w:t>蒙特卡洛模拟定价</w:t>
      </w:r>
      <w:bookmarkEnd w:id="17"/>
    </w:p>
    <w:p w14:paraId="19948545">
      <w:pPr>
        <w:widowControl w:val="0"/>
        <w:numPr>
          <w:ilvl w:val="0"/>
          <w:numId w:val="0"/>
        </w:numPr>
        <w:spacing w:line="300" w:lineRule="auto"/>
        <w:jc w:val="both"/>
        <w:rPr>
          <w:rFonts w:hint="default"/>
          <w:lang w:val="en-US" w:eastAsia="zh-CN"/>
        </w:rPr>
      </w:pPr>
    </w:p>
    <w:p w14:paraId="5BB662B7">
      <w:pPr>
        <w:pStyle w:val="2"/>
        <w:numPr>
          <w:ilvl w:val="0"/>
          <w:numId w:val="1"/>
        </w:numPr>
        <w:bidi w:val="0"/>
        <w:rPr>
          <w:rFonts w:hint="eastAsia"/>
          <w:lang w:val="en-US" w:eastAsia="zh-CN"/>
        </w:rPr>
      </w:pPr>
      <w:bookmarkStart w:id="18" w:name="_Toc15528"/>
      <w:r>
        <w:rPr>
          <w:rFonts w:hint="eastAsia"/>
          <w:lang w:val="en-US" w:eastAsia="zh-CN"/>
        </w:rPr>
        <w:t>希腊值</w:t>
      </w:r>
      <w:bookmarkEnd w:id="18"/>
    </w:p>
    <w:p w14:paraId="6ADF8984">
      <w:pPr>
        <w:widowControl w:val="0"/>
        <w:numPr>
          <w:ilvl w:val="0"/>
          <w:numId w:val="0"/>
        </w:numPr>
        <w:spacing w:line="300" w:lineRule="auto"/>
        <w:jc w:val="both"/>
        <w:rPr>
          <w:rFonts w:hint="default"/>
          <w:lang w:val="en-US" w:eastAsia="zh-CN"/>
        </w:rPr>
      </w:pPr>
    </w:p>
    <w:p w14:paraId="08F9A1CB">
      <w:pPr>
        <w:pStyle w:val="2"/>
        <w:numPr>
          <w:ilvl w:val="0"/>
          <w:numId w:val="1"/>
        </w:numPr>
        <w:bidi w:val="0"/>
        <w:ind w:left="0" w:leftChars="0" w:firstLine="0" w:firstLineChars="0"/>
        <w:rPr>
          <w:rFonts w:hint="eastAsia"/>
          <w:lang w:val="en-US" w:eastAsia="zh-CN"/>
        </w:rPr>
      </w:pPr>
      <w:bookmarkStart w:id="19" w:name="_Toc13074"/>
      <w:r>
        <w:rPr>
          <w:rFonts w:hint="eastAsia"/>
          <w:lang w:val="en-US" w:eastAsia="zh-CN"/>
        </w:rPr>
        <w:t>总结</w:t>
      </w:r>
      <w:bookmarkEnd w:id="19"/>
    </w:p>
    <w:p w14:paraId="720B19FD">
      <w:pPr>
        <w:widowControl w:val="0"/>
        <w:numPr>
          <w:ilvl w:val="0"/>
          <w:numId w:val="0"/>
        </w:numPr>
        <w:spacing w:line="300" w:lineRule="auto"/>
        <w:jc w:val="both"/>
        <w:rPr>
          <w:rFonts w:hint="default"/>
          <w:lang w:val="en-US" w:eastAsia="zh-CN"/>
        </w:rPr>
      </w:pPr>
    </w:p>
    <w:p w14:paraId="085BBB70">
      <w:pPr>
        <w:pStyle w:val="2"/>
        <w:numPr>
          <w:ilvl w:val="0"/>
          <w:numId w:val="1"/>
        </w:numPr>
        <w:bidi w:val="0"/>
        <w:ind w:left="0" w:leftChars="0" w:firstLine="0" w:firstLineChars="0"/>
        <w:rPr>
          <w:rFonts w:hint="eastAsia"/>
          <w:lang w:val="en-US" w:eastAsia="zh-CN"/>
        </w:rPr>
      </w:pPr>
      <w:bookmarkStart w:id="20" w:name="_Toc15246"/>
      <w:r>
        <w:rPr>
          <w:rFonts w:hint="eastAsia"/>
          <w:lang w:val="en-US" w:eastAsia="zh-CN"/>
        </w:rPr>
        <w:t>参考</w:t>
      </w:r>
      <w:bookmarkEnd w:id="20"/>
    </w:p>
    <w:p w14:paraId="2CC56D21">
      <w:pPr>
        <w:widowControl w:val="0"/>
        <w:numPr>
          <w:ilvl w:val="0"/>
          <w:numId w:val="0"/>
        </w:numPr>
        <w:spacing w:line="300" w:lineRule="auto"/>
        <w:jc w:val="both"/>
        <w:rPr>
          <w:rFonts w:hint="default"/>
          <w:lang w:val="en-US" w:eastAsia="zh-CN"/>
        </w:rPr>
      </w:pPr>
    </w:p>
    <w:p w14:paraId="4C6EDB38">
      <w:pPr>
        <w:pStyle w:val="2"/>
        <w:numPr>
          <w:ilvl w:val="0"/>
          <w:numId w:val="1"/>
        </w:numPr>
        <w:bidi w:val="0"/>
        <w:ind w:left="0" w:leftChars="0" w:firstLine="0" w:firstLineChars="0"/>
        <w:rPr>
          <w:rFonts w:hint="eastAsia"/>
          <w:lang w:val="en-US" w:eastAsia="zh-CN"/>
        </w:rPr>
      </w:pPr>
      <w:bookmarkStart w:id="21" w:name="_Toc1436"/>
      <w:r>
        <w:rPr>
          <w:rFonts w:hint="eastAsia"/>
          <w:lang w:val="en-US" w:eastAsia="zh-CN"/>
        </w:rPr>
        <w:t>附录</w:t>
      </w:r>
      <w:bookmarkEnd w:id="21"/>
    </w:p>
    <w:p w14:paraId="29F583F0">
      <w:pPr>
        <w:pStyle w:val="3"/>
        <w:bidi w:val="0"/>
        <w:rPr>
          <w:rFonts w:hint="default"/>
          <w:lang w:val="en-US" w:eastAsia="zh-CN"/>
        </w:rPr>
      </w:pPr>
      <w:bookmarkStart w:id="22" w:name="_Toc18652"/>
      <w:r>
        <w:rPr>
          <w:rFonts w:hint="eastAsia"/>
          <w:lang w:val="en-US" w:eastAsia="zh-CN"/>
        </w:rPr>
        <w:t>8.1 二项式定价代码</w:t>
      </w:r>
      <w:bookmarkEnd w:id="22"/>
    </w:p>
    <w:p w14:paraId="2D123425">
      <w:pPr>
        <w:pStyle w:val="3"/>
        <w:bidi w:val="0"/>
        <w:rPr>
          <w:rFonts w:hint="default"/>
          <w:lang w:val="en-US" w:eastAsia="zh-CN"/>
        </w:rPr>
      </w:pPr>
      <w:bookmarkStart w:id="23" w:name="_Toc30481"/>
      <w:r>
        <w:rPr>
          <w:rFonts w:hint="eastAsia"/>
          <w:lang w:val="en-US" w:eastAsia="zh-CN"/>
        </w:rPr>
        <w:t>8.2 蒙特卡洛模拟定价代码</w:t>
      </w:r>
      <w:bookmarkEnd w:id="23"/>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4B9D63"/>
    <w:multiLevelType w:val="singleLevel"/>
    <w:tmpl w:val="8C4B9D63"/>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35399C"/>
    <w:rsid w:val="03411FB9"/>
    <w:rsid w:val="0C35399C"/>
    <w:rsid w:val="0FF64448"/>
    <w:rsid w:val="13417C24"/>
    <w:rsid w:val="14294AD0"/>
    <w:rsid w:val="14380564"/>
    <w:rsid w:val="16F5513D"/>
    <w:rsid w:val="179761F4"/>
    <w:rsid w:val="1B9D5E5B"/>
    <w:rsid w:val="2244248A"/>
    <w:rsid w:val="25096983"/>
    <w:rsid w:val="2634591B"/>
    <w:rsid w:val="2A6D37AC"/>
    <w:rsid w:val="2D9E66A8"/>
    <w:rsid w:val="37661A13"/>
    <w:rsid w:val="3862042D"/>
    <w:rsid w:val="39163A04"/>
    <w:rsid w:val="3A0B0650"/>
    <w:rsid w:val="3F087854"/>
    <w:rsid w:val="465A00E2"/>
    <w:rsid w:val="46C82ABD"/>
    <w:rsid w:val="492360EA"/>
    <w:rsid w:val="4CD817CF"/>
    <w:rsid w:val="52C129E8"/>
    <w:rsid w:val="54171791"/>
    <w:rsid w:val="5BF154A0"/>
    <w:rsid w:val="5D445DA8"/>
    <w:rsid w:val="6D162FB8"/>
    <w:rsid w:val="72E444E7"/>
    <w:rsid w:val="72F13B80"/>
    <w:rsid w:val="749D3FBF"/>
    <w:rsid w:val="7B346C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Times New Roman" w:hAnsi="Times New Roman" w:eastAsia="宋体" w:cs="Times New Roman"/>
      <w:kern w:val="2"/>
      <w:sz w:val="24"/>
      <w:szCs w:val="21"/>
      <w:lang w:val="en-US" w:eastAsia="zh-CN" w:bidi="ar-SA"/>
      <w14:ligatures w14:val="standardContextual"/>
    </w:rPr>
  </w:style>
  <w:style w:type="paragraph" w:styleId="2">
    <w:name w:val="heading 1"/>
    <w:basedOn w:val="1"/>
    <w:next w:val="1"/>
    <w:link w:val="27"/>
    <w:autoRedefine/>
    <w:qFormat/>
    <w:uiPriority w:val="9"/>
    <w:pPr>
      <w:keepNext/>
      <w:keepLines/>
      <w:spacing w:before="120" w:after="240" w:line="240" w:lineRule="auto"/>
      <w:jc w:val="center"/>
      <w:outlineLvl w:val="0"/>
    </w:pPr>
    <w:rPr>
      <w:rFonts w:eastAsia="黑体" w:asciiTheme="majorHAnsi" w:hAnsiTheme="majorHAnsi" w:cstheme="majorBidi"/>
      <w:bCs/>
      <w:sz w:val="30"/>
      <w:szCs w:val="48"/>
    </w:rPr>
  </w:style>
  <w:style w:type="paragraph" w:styleId="3">
    <w:name w:val="heading 2"/>
    <w:basedOn w:val="1"/>
    <w:next w:val="1"/>
    <w:link w:val="25"/>
    <w:autoRedefine/>
    <w:unhideWhenUsed/>
    <w:qFormat/>
    <w:uiPriority w:val="9"/>
    <w:pPr>
      <w:keepNext/>
      <w:keepLines/>
      <w:adjustRightInd w:val="0"/>
      <w:jc w:val="left"/>
      <w:outlineLvl w:val="1"/>
    </w:pPr>
    <w:rPr>
      <w:rFonts w:ascii="Times New Roman" w:hAnsi="Times New Roman" w:eastAsia="宋体" w:cstheme="majorBidi"/>
      <w:b/>
      <w:sz w:val="24"/>
      <w:szCs w:val="40"/>
    </w:rPr>
  </w:style>
  <w:style w:type="paragraph" w:styleId="4">
    <w:name w:val="heading 3"/>
    <w:basedOn w:val="1"/>
    <w:next w:val="1"/>
    <w:link w:val="28"/>
    <w:autoRedefine/>
    <w:unhideWhenUsed/>
    <w:qFormat/>
    <w:uiPriority w:val="9"/>
    <w:pPr>
      <w:keepNext/>
      <w:keepLines/>
      <w:spacing w:before="160" w:after="80"/>
      <w:jc w:val="left"/>
      <w:outlineLvl w:val="2"/>
    </w:pPr>
    <w:rPr>
      <w:rFonts w:asciiTheme="majorAscii" w:hAnsiTheme="majorAscii" w:cstheme="majorBidi"/>
      <w:b/>
      <w:sz w:val="24"/>
      <w:szCs w:val="32"/>
    </w:rPr>
  </w:style>
  <w:style w:type="paragraph" w:styleId="5">
    <w:name w:val="heading 4"/>
    <w:basedOn w:val="1"/>
    <w:next w:val="1"/>
    <w:link w:val="26"/>
    <w:unhideWhenUsed/>
    <w:qFormat/>
    <w:uiPriority w:val="9"/>
    <w:pPr>
      <w:keepNext/>
      <w:keepLines/>
      <w:spacing w:before="80" w:after="40"/>
      <w:jc w:val="center"/>
      <w:outlineLvl w:val="3"/>
    </w:pPr>
    <w:rPr>
      <w:rFonts w:cstheme="majorBidi"/>
      <w:color w:val="2E54A1" w:themeColor="accent1" w:themeShade="BF"/>
      <w:sz w:val="28"/>
      <w:szCs w:val="28"/>
    </w:rPr>
  </w:style>
  <w:style w:type="paragraph" w:styleId="6">
    <w:name w:val="heading 5"/>
    <w:basedOn w:val="1"/>
    <w:next w:val="1"/>
    <w:link w:val="29"/>
    <w:unhideWhenUsed/>
    <w:qFormat/>
    <w:uiPriority w:val="9"/>
    <w:pPr>
      <w:keepNext/>
      <w:keepLines/>
      <w:spacing w:before="80" w:after="40"/>
      <w:outlineLvl w:val="4"/>
    </w:pPr>
    <w:rPr>
      <w:rFonts w:ascii="Times New Roman" w:hAnsi="Times New Roman" w:cstheme="majorBidi"/>
      <w:b/>
      <w:color w:val="000000" w:themeColor="text1"/>
      <w:szCs w:val="24"/>
      <w14:textFill>
        <w14:solidFill>
          <w14:schemeClr w14:val="tx1"/>
        </w14:solidFill>
      </w14:textFill>
    </w:rPr>
  </w:style>
  <w:style w:type="paragraph" w:styleId="7">
    <w:name w:val="heading 6"/>
    <w:basedOn w:val="1"/>
    <w:next w:val="1"/>
    <w:link w:val="30"/>
    <w:semiHidden/>
    <w:unhideWhenUsed/>
    <w:qFormat/>
    <w:uiPriority w:val="9"/>
    <w:pPr>
      <w:keepNext/>
      <w:keepLines/>
      <w:spacing w:before="40"/>
      <w:outlineLvl w:val="5"/>
    </w:pPr>
    <w:rPr>
      <w:rFonts w:cstheme="majorBidi"/>
      <w:b/>
      <w:bCs/>
      <w:color w:val="2E54A1" w:themeColor="accent1" w:themeShade="BF"/>
    </w:rPr>
  </w:style>
  <w:style w:type="paragraph" w:styleId="8">
    <w:name w:val="heading 7"/>
    <w:basedOn w:val="1"/>
    <w:next w:val="1"/>
    <w:link w:val="3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2">
    <w:name w:val="Default Paragraph Font"/>
    <w:semiHidden/>
    <w:unhideWhenUsed/>
    <w:qFormat/>
    <w:uiPriority w:val="1"/>
  </w:style>
  <w:style w:type="table" w:default="1" w:styleId="20">
    <w:name w:val="Normal Table"/>
    <w:semiHidden/>
    <w:qFormat/>
    <w:uiPriority w:val="0"/>
    <w:tblPr>
      <w:tblCellMar>
        <w:top w:w="0" w:type="dxa"/>
        <w:left w:w="108" w:type="dxa"/>
        <w:bottom w:w="0" w:type="dxa"/>
        <w:right w:w="108" w:type="dxa"/>
      </w:tblCellMar>
    </w:tblPr>
  </w:style>
  <w:style w:type="paragraph" w:styleId="11">
    <w:name w:val="Body Text"/>
    <w:basedOn w:val="1"/>
    <w:link w:val="44"/>
    <w:semiHidden/>
    <w:qFormat/>
    <w:uiPriority w:val="0"/>
    <w:pPr>
      <w:widowControl/>
      <w:kinsoku w:val="0"/>
      <w:autoSpaceDE w:val="0"/>
      <w:autoSpaceDN w:val="0"/>
      <w:adjustRightInd w:val="0"/>
      <w:snapToGrid w:val="0"/>
      <w:spacing w:line="240" w:lineRule="auto"/>
      <w:jc w:val="left"/>
      <w:textAlignment w:val="baseline"/>
    </w:pPr>
    <w:rPr>
      <w:rFonts w:ascii="宋体" w:hAnsi="宋体" w:cs="宋体"/>
      <w:snapToGrid w:val="0"/>
      <w:color w:val="000000"/>
      <w:kern w:val="0"/>
      <w:sz w:val="21"/>
      <w:lang w:eastAsia="en-US"/>
    </w:rPr>
  </w:style>
  <w:style w:type="paragraph" w:styleId="12">
    <w:name w:val="toc 3"/>
    <w:basedOn w:val="1"/>
    <w:next w:val="1"/>
    <w:qFormat/>
    <w:uiPriority w:val="0"/>
    <w:pPr>
      <w:ind w:left="840" w:leftChars="400"/>
    </w:pPr>
  </w:style>
  <w:style w:type="paragraph" w:styleId="13">
    <w:name w:val="footer"/>
    <w:basedOn w:val="1"/>
    <w:link w:val="48"/>
    <w:unhideWhenUsed/>
    <w:qFormat/>
    <w:uiPriority w:val="99"/>
    <w:pPr>
      <w:tabs>
        <w:tab w:val="center" w:pos="4153"/>
        <w:tab w:val="right" w:pos="8306"/>
      </w:tabs>
      <w:snapToGrid w:val="0"/>
      <w:spacing w:line="240" w:lineRule="auto"/>
      <w:jc w:val="left"/>
    </w:pPr>
    <w:rPr>
      <w:sz w:val="18"/>
      <w:szCs w:val="18"/>
    </w:rPr>
  </w:style>
  <w:style w:type="paragraph" w:styleId="14">
    <w:name w:val="header"/>
    <w:basedOn w:val="1"/>
    <w:link w:val="43"/>
    <w:qFormat/>
    <w:uiPriority w:val="0"/>
    <w:pPr>
      <w:pBdr>
        <w:bottom w:val="single" w:color="auto" w:sz="6" w:space="1"/>
      </w:pBdr>
      <w:tabs>
        <w:tab w:val="center" w:pos="4153"/>
        <w:tab w:val="right" w:pos="8306"/>
      </w:tabs>
      <w:snapToGrid w:val="0"/>
      <w:spacing w:line="240" w:lineRule="auto"/>
      <w:jc w:val="center"/>
    </w:pPr>
    <w:rPr>
      <w:sz w:val="18"/>
      <w:szCs w:val="18"/>
      <w14:ligatures w14:val="none"/>
    </w:rPr>
  </w:style>
  <w:style w:type="paragraph" w:styleId="15">
    <w:name w:val="toc 1"/>
    <w:basedOn w:val="1"/>
    <w:next w:val="1"/>
    <w:autoRedefine/>
    <w:unhideWhenUsed/>
    <w:qFormat/>
    <w:uiPriority w:val="39"/>
  </w:style>
  <w:style w:type="paragraph" w:styleId="16">
    <w:name w:val="Subtitle"/>
    <w:basedOn w:val="1"/>
    <w:next w:val="1"/>
    <w:link w:val="35"/>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oc 2"/>
    <w:basedOn w:val="1"/>
    <w:next w:val="1"/>
    <w:autoRedefine/>
    <w:unhideWhenUsed/>
    <w:qFormat/>
    <w:uiPriority w:val="39"/>
    <w:pPr>
      <w:ind w:left="420" w:leftChars="200"/>
    </w:pPr>
  </w:style>
  <w:style w:type="paragraph" w:styleId="18">
    <w:name w:val="Normal (Web)"/>
    <w:basedOn w:val="1"/>
    <w:semiHidden/>
    <w:unhideWhenUsed/>
    <w:qFormat/>
    <w:uiPriority w:val="99"/>
    <w:pPr>
      <w:widowControl/>
      <w:spacing w:before="100" w:beforeAutospacing="1" w:after="100" w:afterAutospacing="1" w:line="240" w:lineRule="auto"/>
      <w:jc w:val="left"/>
    </w:pPr>
    <w:rPr>
      <w:rFonts w:ascii="宋体" w:hAnsi="宋体" w:cs="宋体"/>
      <w:kern w:val="0"/>
      <w:szCs w:val="24"/>
    </w:rPr>
  </w:style>
  <w:style w:type="paragraph" w:styleId="19">
    <w:name w:val="Title"/>
    <w:basedOn w:val="1"/>
    <w:next w:val="1"/>
    <w:link w:val="34"/>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bCs/>
    </w:rPr>
  </w:style>
  <w:style w:type="character" w:styleId="24">
    <w:name w:val="Hyperlink"/>
    <w:basedOn w:val="22"/>
    <w:unhideWhenUsed/>
    <w:qFormat/>
    <w:uiPriority w:val="99"/>
    <w:rPr>
      <w:color w:val="0000FF"/>
      <w:u w:val="single"/>
    </w:rPr>
  </w:style>
  <w:style w:type="character" w:customStyle="1" w:styleId="25">
    <w:name w:val="标题 2 字符"/>
    <w:basedOn w:val="22"/>
    <w:link w:val="3"/>
    <w:qFormat/>
    <w:uiPriority w:val="9"/>
    <w:rPr>
      <w:rFonts w:ascii="Times New Roman" w:hAnsi="Times New Roman" w:eastAsia="宋体" w:cstheme="majorBidi"/>
      <w:b/>
      <w:sz w:val="24"/>
      <w:szCs w:val="40"/>
    </w:rPr>
  </w:style>
  <w:style w:type="character" w:customStyle="1" w:styleId="26">
    <w:name w:val="标题 4 字符"/>
    <w:basedOn w:val="22"/>
    <w:link w:val="5"/>
    <w:qFormat/>
    <w:uiPriority w:val="9"/>
    <w:rPr>
      <w:rFonts w:cstheme="majorBidi"/>
      <w:color w:val="2E54A1" w:themeColor="accent1" w:themeShade="BF"/>
      <w:sz w:val="28"/>
      <w:szCs w:val="28"/>
    </w:rPr>
  </w:style>
  <w:style w:type="character" w:customStyle="1" w:styleId="27">
    <w:name w:val="标题 1 字符"/>
    <w:basedOn w:val="22"/>
    <w:link w:val="2"/>
    <w:qFormat/>
    <w:uiPriority w:val="9"/>
    <w:rPr>
      <w:rFonts w:eastAsia="黑体" w:asciiTheme="majorHAnsi" w:hAnsiTheme="majorHAnsi" w:cstheme="majorBidi"/>
      <w:bCs/>
      <w:sz w:val="30"/>
      <w:szCs w:val="48"/>
    </w:rPr>
  </w:style>
  <w:style w:type="character" w:customStyle="1" w:styleId="28">
    <w:name w:val="标题 3 字符"/>
    <w:basedOn w:val="22"/>
    <w:link w:val="4"/>
    <w:qFormat/>
    <w:uiPriority w:val="9"/>
    <w:rPr>
      <w:rFonts w:eastAsia="宋体" w:asciiTheme="majorAscii" w:hAnsiTheme="majorAscii" w:cstheme="majorBidi"/>
      <w:b/>
      <w:sz w:val="24"/>
      <w:szCs w:val="32"/>
    </w:rPr>
  </w:style>
  <w:style w:type="character" w:customStyle="1" w:styleId="29">
    <w:name w:val="标题 5 字符"/>
    <w:basedOn w:val="22"/>
    <w:link w:val="6"/>
    <w:semiHidden/>
    <w:qFormat/>
    <w:uiPriority w:val="9"/>
    <w:rPr>
      <w:rFonts w:ascii="Times New Roman" w:hAnsi="Times New Roman" w:eastAsia="宋体" w:cstheme="majorBidi"/>
      <w:b/>
      <w:color w:val="000000" w:themeColor="text1"/>
      <w:szCs w:val="24"/>
      <w14:textFill>
        <w14:solidFill>
          <w14:schemeClr w14:val="tx1"/>
        </w14:solidFill>
      </w14:textFill>
    </w:rPr>
  </w:style>
  <w:style w:type="character" w:customStyle="1" w:styleId="30">
    <w:name w:val="标题 6 字符"/>
    <w:basedOn w:val="22"/>
    <w:link w:val="7"/>
    <w:semiHidden/>
    <w:qFormat/>
    <w:uiPriority w:val="9"/>
    <w:rPr>
      <w:rFonts w:cstheme="majorBidi"/>
      <w:b/>
      <w:bCs/>
      <w:color w:val="2E54A1" w:themeColor="accent1" w:themeShade="BF"/>
    </w:rPr>
  </w:style>
  <w:style w:type="character" w:customStyle="1" w:styleId="31">
    <w:name w:val="标题 7 字符"/>
    <w:basedOn w:val="22"/>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2">
    <w:name w:val="标题 8 字符"/>
    <w:basedOn w:val="22"/>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3">
    <w:name w:val="标题 9 字符"/>
    <w:basedOn w:val="22"/>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标题 字符"/>
    <w:basedOn w:val="22"/>
    <w:link w:val="19"/>
    <w:qFormat/>
    <w:uiPriority w:val="10"/>
    <w:rPr>
      <w:rFonts w:asciiTheme="majorHAnsi" w:hAnsiTheme="majorHAnsi" w:eastAsiaTheme="majorEastAsia" w:cstheme="majorBidi"/>
      <w:spacing w:val="-10"/>
      <w:kern w:val="28"/>
      <w:sz w:val="56"/>
      <w:szCs w:val="56"/>
    </w:rPr>
  </w:style>
  <w:style w:type="character" w:customStyle="1" w:styleId="35">
    <w:name w:val="副标题 字符"/>
    <w:basedOn w:val="22"/>
    <w:link w:val="16"/>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引用 字符"/>
    <w:basedOn w:val="22"/>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22"/>
    <w:qFormat/>
    <w:uiPriority w:val="21"/>
    <w:rPr>
      <w:i/>
      <w:iCs/>
      <w:color w:val="2E54A1" w:themeColor="accent1" w:themeShade="BF"/>
    </w:rPr>
  </w:style>
  <w:style w:type="paragraph" w:styleId="40">
    <w:name w:val="Intense Quote"/>
    <w:basedOn w:val="1"/>
    <w:next w:val="1"/>
    <w:link w:val="41"/>
    <w:qFormat/>
    <w:uiPriority w:val="30"/>
    <w:pPr>
      <w:pBdr>
        <w:top w:val="single" w:color="2D54A0" w:themeColor="accent1" w:themeShade="BF" w:sz="4" w:space="10"/>
        <w:bottom w:val="single" w:color="2D54A0" w:themeColor="accent1" w:themeShade="BF" w:sz="4" w:space="10"/>
      </w:pBdr>
      <w:spacing w:before="360" w:after="360"/>
      <w:ind w:left="864" w:right="864"/>
      <w:jc w:val="center"/>
    </w:pPr>
    <w:rPr>
      <w:i/>
      <w:iCs/>
      <w:color w:val="2E54A1" w:themeColor="accent1" w:themeShade="BF"/>
    </w:rPr>
  </w:style>
  <w:style w:type="character" w:customStyle="1" w:styleId="41">
    <w:name w:val="明显引用 字符"/>
    <w:basedOn w:val="22"/>
    <w:link w:val="40"/>
    <w:qFormat/>
    <w:uiPriority w:val="30"/>
    <w:rPr>
      <w:i/>
      <w:iCs/>
      <w:color w:val="2E54A1" w:themeColor="accent1" w:themeShade="BF"/>
    </w:rPr>
  </w:style>
  <w:style w:type="character" w:customStyle="1" w:styleId="42">
    <w:name w:val="Intense Reference"/>
    <w:basedOn w:val="22"/>
    <w:qFormat/>
    <w:uiPriority w:val="32"/>
    <w:rPr>
      <w:b/>
      <w:bCs/>
      <w:smallCaps/>
      <w:color w:val="2E54A1" w:themeColor="accent1" w:themeShade="BF"/>
      <w:spacing w:val="5"/>
    </w:rPr>
  </w:style>
  <w:style w:type="character" w:customStyle="1" w:styleId="43">
    <w:name w:val="页眉 字符"/>
    <w:basedOn w:val="22"/>
    <w:link w:val="14"/>
    <w:qFormat/>
    <w:uiPriority w:val="0"/>
    <w:rPr>
      <w:sz w:val="18"/>
      <w:szCs w:val="18"/>
      <w14:ligatures w14:val="none"/>
    </w:rPr>
  </w:style>
  <w:style w:type="character" w:customStyle="1" w:styleId="44">
    <w:name w:val="正文文本 字符"/>
    <w:basedOn w:val="22"/>
    <w:link w:val="11"/>
    <w:semiHidden/>
    <w:qFormat/>
    <w:uiPriority w:val="0"/>
    <w:rPr>
      <w:rFonts w:ascii="宋体" w:hAnsi="宋体" w:cs="宋体"/>
      <w:snapToGrid w:val="0"/>
      <w:color w:val="000000"/>
      <w:kern w:val="0"/>
      <w:sz w:val="21"/>
      <w:lang w:eastAsia="en-US"/>
    </w:rPr>
  </w:style>
  <w:style w:type="table" w:customStyle="1" w:styleId="45">
    <w:name w:val="Table Normal"/>
    <w:semiHidden/>
    <w:unhideWhenUsed/>
    <w:qFormat/>
    <w:uiPriority w:val="0"/>
    <w:rPr>
      <w:rFonts w:ascii="Arial" w:hAnsi="Arial" w:cs="Arial"/>
      <w:kern w:val="0"/>
      <w:sz w:val="20"/>
      <w:szCs w:val="20"/>
    </w:rPr>
    <w:tblPr>
      <w:tblCellMar>
        <w:top w:w="0" w:type="dxa"/>
        <w:left w:w="0" w:type="dxa"/>
        <w:bottom w:w="0" w:type="dxa"/>
        <w:right w:w="0" w:type="dxa"/>
      </w:tblCellMar>
    </w:tblPr>
  </w:style>
  <w:style w:type="paragraph" w:customStyle="1" w:styleId="46">
    <w:name w:val="Table Text"/>
    <w:basedOn w:val="1"/>
    <w:semiHidden/>
    <w:qFormat/>
    <w:uiPriority w:val="0"/>
    <w:pPr>
      <w:widowControl/>
      <w:kinsoku w:val="0"/>
      <w:autoSpaceDE w:val="0"/>
      <w:autoSpaceDN w:val="0"/>
      <w:adjustRightInd w:val="0"/>
      <w:snapToGrid w:val="0"/>
      <w:spacing w:line="240" w:lineRule="auto"/>
      <w:jc w:val="left"/>
      <w:textAlignment w:val="baseline"/>
    </w:pPr>
    <w:rPr>
      <w:rFonts w:eastAsia="Times New Roman"/>
      <w:snapToGrid w:val="0"/>
      <w:color w:val="000000"/>
      <w:kern w:val="0"/>
      <w:sz w:val="19"/>
      <w:szCs w:val="19"/>
      <w:lang w:eastAsia="en-US"/>
    </w:rPr>
  </w:style>
  <w:style w:type="character" w:styleId="47">
    <w:name w:val="Placeholder Text"/>
    <w:basedOn w:val="22"/>
    <w:semiHidden/>
    <w:qFormat/>
    <w:uiPriority w:val="99"/>
    <w:rPr>
      <w:color w:val="666666"/>
    </w:rPr>
  </w:style>
  <w:style w:type="character" w:customStyle="1" w:styleId="48">
    <w:name w:val="页脚 字符"/>
    <w:basedOn w:val="22"/>
    <w:link w:val="13"/>
    <w:qFormat/>
    <w:uiPriority w:val="99"/>
    <w:rPr>
      <w:sz w:val="18"/>
      <w:szCs w:val="18"/>
    </w:rPr>
  </w:style>
  <w:style w:type="paragraph" w:customStyle="1" w:styleId="49">
    <w:name w:val="TOC Heading"/>
    <w:basedOn w:val="2"/>
    <w:next w:val="1"/>
    <w:unhideWhenUsed/>
    <w:qFormat/>
    <w:uiPriority w:val="39"/>
    <w:pPr>
      <w:widowControl/>
      <w:spacing w:before="240" w:after="0" w:line="259" w:lineRule="auto"/>
      <w:jc w:val="left"/>
      <w:outlineLvl w:val="9"/>
    </w:pPr>
    <w:rPr>
      <w:rFonts w:eastAsiaTheme="majorEastAsia"/>
      <w:b/>
      <w:color w:val="2E54A1" w:themeColor="accent1" w:themeShade="BF"/>
      <w:kern w:val="0"/>
      <w:sz w:val="32"/>
      <w:szCs w:val="32"/>
    </w:rPr>
  </w:style>
  <w:style w:type="character" w:customStyle="1" w:styleId="50">
    <w:name w:val="Unresolved Mention"/>
    <w:basedOn w:val="22"/>
    <w:semiHidden/>
    <w:unhideWhenUsed/>
    <w:qFormat/>
    <w:uiPriority w:val="99"/>
    <w:rPr>
      <w:color w:val="605E5C"/>
      <w:shd w:val="clear" w:color="auto" w:fill="E1DFDD"/>
    </w:rPr>
  </w:style>
  <w:style w:type="paragraph" w:customStyle="1" w:styleId="51">
    <w:name w:val="参考文献"/>
    <w:basedOn w:val="1"/>
    <w:link w:val="52"/>
    <w:autoRedefine/>
    <w:qFormat/>
    <w:uiPriority w:val="0"/>
    <w:rPr>
      <w:sz w:val="21"/>
    </w:rPr>
  </w:style>
  <w:style w:type="character" w:customStyle="1" w:styleId="52">
    <w:name w:val="参考文献 字符"/>
    <w:basedOn w:val="22"/>
    <w:link w:val="51"/>
    <w:qFormat/>
    <w:uiPriority w:val="0"/>
    <w:rPr>
      <w:sz w:val="21"/>
    </w:rPr>
  </w:style>
  <w:style w:type="paragraph" w:customStyle="1" w:styleId="53">
    <w:name w:val="致谢"/>
    <w:basedOn w:val="2"/>
    <w:link w:val="54"/>
    <w:qFormat/>
    <w:uiPriority w:val="0"/>
  </w:style>
  <w:style w:type="character" w:customStyle="1" w:styleId="54">
    <w:name w:val="致谢 字符"/>
    <w:basedOn w:val="27"/>
    <w:link w:val="53"/>
    <w:qFormat/>
    <w:uiPriority w:val="0"/>
  </w:style>
  <w:style w:type="paragraph" w:customStyle="1" w:styleId="55">
    <w:name w:val="WPSOffice手动目录 1"/>
    <w:uiPriority w:val="0"/>
    <w:pPr>
      <w:ind w:leftChars="0"/>
    </w:pPr>
    <w:rPr>
      <w:rFonts w:ascii="Times New Roman" w:hAnsi="Times New Roman" w:eastAsia="宋体" w:cs="Times New Roman"/>
      <w:sz w:val="20"/>
      <w:szCs w:val="20"/>
    </w:rPr>
  </w:style>
  <w:style w:type="paragraph" w:customStyle="1" w:styleId="56">
    <w:name w:val="WPSOffice手动目录 2"/>
    <w:uiPriority w:val="0"/>
    <w:pPr>
      <w:ind w:leftChars="200"/>
    </w:pPr>
    <w:rPr>
      <w:rFonts w:ascii="Times New Roman" w:hAnsi="Times New Roman" w:eastAsia="宋体" w:cs="Times New Roman"/>
      <w:sz w:val="20"/>
      <w:szCs w:val="20"/>
    </w:rPr>
  </w:style>
  <w:style w:type="paragraph" w:customStyle="1" w:styleId="57">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2878</Words>
  <Characters>3597</Characters>
  <Lines>0</Lines>
  <Paragraphs>0</Paragraphs>
  <TotalTime>44</TotalTime>
  <ScaleCrop>false</ScaleCrop>
  <LinksUpToDate>false</LinksUpToDate>
  <CharactersWithSpaces>3844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2025-11-25T01:24:00Z</dcterms:created>
  <dc:creator>lty_uibe</dc:creator>
  <cp:lastModifiedBy>lty_uibe</cp:lastModifiedBy>
  <dcterms:modified xsi:type="dcterms:W3CDTF">2025-11-26T03:27:55Z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58BF30A4AF004B77B47621B28CD71C09_13</vt:lpwstr>
  </property>
  <property fmtid="{D5CDD505-2E9C-101B-9397-08002B2CF9AE}" pid="4" name="KSOTemplateDocerSaveRecord">
    <vt:lpwstr>eyJoZGlkIjoiNmMyM2NjNThhODdhMTkwMTg0ZDJjMWM3OTk2NTZjNWEiLCJ1c2VySWQiOiI5OTYwNDAxNTgifQ==</vt:lpwstr>
  </property>
</Properties>
</file>