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1C185">
      <w:pPr>
        <w:jc w:val="center"/>
        <w:rPr>
          <w:rFonts w:hint="eastAsia" w:ascii="黑体" w:hAnsi="黑体" w:eastAsia="黑体" w:cs="黑体"/>
          <w:sz w:val="30"/>
          <w:szCs w:val="30"/>
        </w:rPr>
      </w:pPr>
      <w:r>
        <w:rPr>
          <w:rFonts w:hint="eastAsia" w:ascii="黑体" w:hAnsi="黑体" w:eastAsia="黑体" w:cs="黑体"/>
          <w:sz w:val="30"/>
          <w:szCs w:val="30"/>
        </w:rPr>
        <w:t>一个带有幂收益结构的复合期权定价研究</w:t>
      </w:r>
    </w:p>
    <w:p w14:paraId="4E99FCC2"/>
    <w:p w14:paraId="04827878">
      <w:pPr>
        <w:tabs>
          <w:tab w:val="left" w:pos="3597"/>
        </w:tabs>
        <w:jc w:val="left"/>
      </w:pPr>
      <w:r>
        <w:rPr>
          <w:rFonts w:hint="eastAsia"/>
        </w:rPr>
        <w:tab/>
      </w:r>
      <w:r>
        <w:rPr>
          <w:rFonts w:hint="eastAsia" w:ascii="黑体" w:hAnsi="黑体" w:eastAsia="黑体" w:cs="黑体"/>
          <w:sz w:val="30"/>
          <w:szCs w:val="30"/>
        </w:rPr>
        <w:t>摘要</w:t>
      </w:r>
    </w:p>
    <w:p w14:paraId="1C544CD7">
      <w:pPr>
        <w:tabs>
          <w:tab w:val="left" w:pos="3597"/>
        </w:tabs>
        <w:jc w:val="left"/>
      </w:pPr>
    </w:p>
    <w:p w14:paraId="6914A540">
      <w:pPr>
        <w:tabs>
          <w:tab w:val="left" w:pos="3597"/>
        </w:tabs>
        <w:jc w:val="left"/>
      </w:pPr>
      <w:r>
        <w:rPr>
          <w:rFonts w:hint="eastAsia"/>
        </w:rPr>
        <w:t xml:space="preserve">本文旨在对一个以奇异看跌期权 </w:t>
      </w:r>
      <m:oMath>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oMath>
      <w:r>
        <w:rPr>
          <w:rFonts w:hint="eastAsia"/>
        </w:rPr>
        <w:t xml:space="preserve"> 为标的资产的复合期权 </w:t>
      </w:r>
      <m:oMath>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oMath>
      <w:r>
        <w:rPr>
          <w:rFonts w:hint="eastAsia"/>
        </w:rPr>
        <w:t xml:space="preserve">（在本项目中称为衍生品 X）进行定价和敏感性分析。内层期权 </w:t>
      </w:r>
      <m:oMath>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oMath>
      <w:r>
        <w:rPr>
          <w:rFonts w:hint="eastAsia"/>
        </w:rPr>
        <w:t xml:space="preserve"> 的收益结构为 </w:t>
      </w:r>
      <m:oMath>
        <m:r>
          <m:rPr>
            <m:sty m:val="p"/>
          </m:rPr>
          <w:rPr>
            <w:rFonts w:hint="eastAsia" w:ascii="Cambria Math" w:hAnsi="Cambria Math"/>
          </w:rPr>
          <m:t>max{</m:t>
        </m:r>
        <m:sSub>
          <m:sSubPr>
            <m:ctrlPr>
              <w:rPr>
                <w:rFonts w:hint="eastAsia" w:ascii="Cambria Math" w:hAnsi="Cambria Math"/>
              </w:rPr>
            </m:ctrlPr>
          </m:sSubPr>
          <m:e>
            <m:r>
              <m:rPr>
                <m:sty m:val="p"/>
              </m:rPr>
              <w:rPr>
                <w:rFonts w:hint="eastAsia" w:ascii="Cambria Math" w:hAnsi="Cambria Math"/>
              </w:rPr>
              <m:t>K</m:t>
            </m:r>
            <m:ctrlPr>
              <w:rPr>
                <w:rFonts w:hint="eastAsia" w:ascii="Cambria Math" w:hAnsi="Cambria Math"/>
              </w:rPr>
            </m:ctrlPr>
          </m:e>
          <m:sub>
            <m:r>
              <m:rPr>
                <m:sty m:val="p"/>
              </m:rPr>
              <w:rPr>
                <w:rFonts w:hint="eastAsia" w:ascii="Cambria Math" w:hAnsi="Cambria Math"/>
              </w:rPr>
              <m:t>2</m:t>
            </m:r>
            <m:ctrlPr>
              <w:rPr>
                <w:rFonts w:hint="eastAsia" w:ascii="Cambria Math" w:hAnsi="Cambria Math"/>
              </w:rPr>
            </m:ctrlPr>
          </m:sub>
        </m:sSub>
        <m:r>
          <m:rPr>
            <m:sty m:val="p"/>
          </m:rPr>
          <w:rPr>
            <w:rFonts w:hint="eastAsia" w:ascii="Cambria Math" w:hAnsi="Cambria Math"/>
          </w:rPr>
          <m:t>−(S(</m:t>
        </m:r>
        <m:sSub>
          <m:sSubPr>
            <m:ctrlPr>
              <w:rPr>
                <w:rFonts w:hint="eastAsia" w:ascii="Cambria Math" w:hAnsi="Cambria Math"/>
              </w:rPr>
            </m:ctrlPr>
          </m:sSubPr>
          <m:e>
            <m:r>
              <m:rPr>
                <m:sty m:val="p"/>
              </m:rPr>
              <w:rPr>
                <w:rFonts w:hint="eastAsia" w:ascii="Cambria Math" w:hAnsi="Cambria Math"/>
              </w:rPr>
              <m:t>t</m:t>
            </m:r>
            <m:ctrlPr>
              <w:rPr>
                <w:rFonts w:hint="eastAsia" w:ascii="Cambria Math" w:hAnsi="Cambria Math"/>
              </w:rPr>
            </m:ctrlPr>
          </m:e>
          <m:sub>
            <m:r>
              <m:rPr>
                <m:sty m:val="p"/>
              </m:rPr>
              <w:rPr>
                <w:rFonts w:hint="eastAsia" w:ascii="Cambria Math" w:hAnsi="Cambria Math"/>
              </w:rPr>
              <m:t>ex</m:t>
            </m:r>
            <m:ctrlPr>
              <w:rPr>
                <w:rFonts w:hint="eastAsia" w:ascii="Cambria Math" w:hAnsi="Cambria Math"/>
              </w:rPr>
            </m:ctrlPr>
          </m:sub>
        </m:sSub>
        <m:r>
          <m:rPr>
            <m:sty m:val="p"/>
          </m:rPr>
          <w:rPr>
            <w:rFonts w:hint="eastAsia" w:ascii="Cambria Math" w:hAnsi="Cambria Math"/>
          </w:rPr>
          <m:t>)</m:t>
        </m:r>
        <m:sSup>
          <m:sSupPr>
            <m:ctrlPr>
              <w:rPr>
                <w:rFonts w:hint="eastAsia" w:ascii="Cambria Math" w:hAnsi="Cambria Math"/>
              </w:rPr>
            </m:ctrlPr>
          </m:sSupPr>
          <m:e>
            <m:r>
              <m:rPr>
                <m:sty m:val="p"/>
              </m:rPr>
              <w:rPr>
                <w:rFonts w:hint="eastAsia" w:ascii="Cambria Math" w:hAnsi="Cambria Math"/>
              </w:rPr>
              <m:t>)</m:t>
            </m:r>
            <m:ctrlPr>
              <w:rPr>
                <w:rFonts w:hint="eastAsia" w:ascii="Cambria Math" w:hAnsi="Cambria Math"/>
              </w:rPr>
            </m:ctrlPr>
          </m:e>
          <m:sup>
            <m:r>
              <m:rPr>
                <m:sty m:val="p"/>
              </m:rPr>
              <w:rPr>
                <w:rFonts w:hint="eastAsia" w:ascii="Cambria Math" w:hAnsi="Cambria Math"/>
              </w:rPr>
              <m:t>3/2</m:t>
            </m:r>
            <m:ctrlPr>
              <w:rPr>
                <w:rFonts w:hint="eastAsia" w:ascii="Cambria Math" w:hAnsi="Cambria Math"/>
              </w:rPr>
            </m:ctrlPr>
          </m:sup>
        </m:sSup>
        <m:r>
          <m:rPr>
            <m:sty m:val="p"/>
          </m:rPr>
          <w:rPr>
            <w:rFonts w:hint="eastAsia" w:ascii="Cambria Math" w:hAnsi="Cambria Math"/>
          </w:rPr>
          <m:t>,0}</m:t>
        </m:r>
      </m:oMath>
      <w:r>
        <w:rPr>
          <w:rFonts w:hint="eastAsia"/>
        </w:rPr>
        <w:t xml:space="preserve">，它具有幂函数的奇异特征。我们选择腾讯控股有限公司（Tencent Holdings Ltd.）的股票作为 </w:t>
      </w:r>
      <m:oMath>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oMath>
      <w:r>
        <w:rPr>
          <w:rFonts w:hint="eastAsia"/>
        </w:rPr>
        <w:t xml:space="preserve"> 的标的资产，并从公开市场数据中估计了历史波动率、股息收益率和无风险收益率等关键输入参数。在定价模型方面，我们分别采用了二项式定价模型和蒙特卡洛模拟（Monte Carlo Simulation, MCS）方法。通过比较两种模型的定价结果，并对关键参数（如波动率、时间、行权价）进行敏感性分析，我们深入理解了这些因素对衍生品 X 价值的影响。特别地，针对内层美式期权 </w:t>
      </w:r>
      <m:oMath>
        <m:sSub>
          <m:sSubPr>
            <m:ctrlPr>
              <w:rPr>
                <w:rFonts w:hint="eastAsia" w:ascii="Cambria Math" w:hAnsi="Cambria Math"/>
              </w:rPr>
            </m:ctrlPr>
          </m:sSubPr>
          <m:e>
            <m:r>
              <m:rPr>
                <m:sty m:val="p"/>
              </m:rPr>
              <w:rPr>
                <w:rFonts w:hint="eastAsia" w:ascii="Cambria Math" w:hAnsi="Cambria Math"/>
              </w:rPr>
              <m:t>V</m:t>
            </m:r>
            <m:ctrlPr>
              <w:rPr>
                <w:rFonts w:hint="eastAsia" w:ascii="Cambria Math" w:hAnsi="Cambria Math"/>
              </w:rPr>
            </m:ctrlPr>
          </m:e>
          <m:sub>
            <m:r>
              <m:rPr>
                <m:sty m:val="p"/>
              </m:rPr>
              <w:rPr>
                <w:rFonts w:hint="eastAsia" w:ascii="Cambria Math" w:hAnsi="Cambria Math"/>
              </w:rPr>
              <m:t>1</m:t>
            </m:r>
            <m:ctrlPr>
              <w:rPr>
                <w:rFonts w:hint="eastAsia" w:ascii="Cambria Math" w:hAnsi="Cambria Math"/>
              </w:rPr>
            </m:ctrlPr>
          </m:sub>
        </m:sSub>
      </m:oMath>
      <w:r>
        <w:rPr>
          <w:rFonts w:hint="eastAsia"/>
        </w:rPr>
        <w:t xml:space="preserve"> 的定价，MCS 模型采用了 Longstaff-Schwartz（LSM）方法进行改进。报告最后还对两种模型的收敛性进行了对比分析。</w:t>
      </w:r>
    </w:p>
    <w:p w14:paraId="58147D96">
      <w:pPr>
        <w:tabs>
          <w:tab w:val="left" w:pos="3597"/>
        </w:tabs>
        <w:jc w:val="left"/>
      </w:pPr>
    </w:p>
    <w:p w14:paraId="2522CE91">
      <w:pPr>
        <w:pStyle w:val="11"/>
        <w:rPr>
          <w:rFonts w:ascii="Times New Roman" w:hAnsi="Times New Roman" w:cs="Times New Roman"/>
          <w:kern w:val="2"/>
          <w:sz w:val="24"/>
          <w:lang w:eastAsia="zh-CN"/>
        </w:rPr>
      </w:pPr>
      <w:r>
        <w:rPr>
          <w:rFonts w:hint="eastAsia" w:ascii="Times New Roman" w:hAnsi="Times New Roman" w:cs="Times New Roman"/>
          <w:snapToGrid/>
          <w:color w:val="auto"/>
          <w:kern w:val="2"/>
          <w:sz w:val="24"/>
          <w:lang w:eastAsia="zh-CN"/>
        </w:rPr>
        <w:t>关键词：复</w:t>
      </w:r>
      <w:r>
        <w:rPr>
          <w:rFonts w:hint="eastAsia" w:ascii="Times New Roman" w:hAnsi="Times New Roman" w:cs="Times New Roman"/>
          <w:kern w:val="2"/>
          <w:sz w:val="24"/>
          <w:lang w:eastAsia="zh-CN"/>
        </w:rPr>
        <w:t>合期权定价、幂收益期权、二项式模型、蒙特卡洛模拟、Longstaff-Schwartz</w:t>
      </w:r>
    </w:p>
    <w:p w14:paraId="435B59CE">
      <w:pPr>
        <w:tabs>
          <w:tab w:val="left" w:pos="3597"/>
        </w:tabs>
        <w:jc w:val="left"/>
      </w:pPr>
    </w:p>
    <w:p w14:paraId="22911877">
      <w:pPr>
        <w:tabs>
          <w:tab w:val="left" w:pos="3597"/>
        </w:tabs>
        <w:jc w:val="left"/>
      </w:pPr>
    </w:p>
    <w:sdt>
      <w:sdtPr>
        <w:rPr>
          <w:rFonts w:ascii="宋体" w:hAnsi="宋体"/>
          <w:sz w:val="21"/>
        </w:rPr>
        <w:id w:val="147467752"/>
        <w15:color w:val="DBDBDB"/>
        <w:docPartObj>
          <w:docPartGallery w:val="Table of Contents"/>
          <w:docPartUnique/>
        </w:docPartObj>
      </w:sdtPr>
      <w:sdtEndPr>
        <w:rPr>
          <w:rFonts w:hint="eastAsia" w:ascii="Times New Roman" w:hAnsi="Times New Roman"/>
          <w:sz w:val="24"/>
        </w:rPr>
      </w:sdtEndPr>
      <w:sdtContent>
        <w:p w14:paraId="336464E6">
          <w:pPr>
            <w:spacing w:line="240" w:lineRule="auto"/>
            <w:jc w:val="center"/>
          </w:pPr>
          <w:r>
            <w:rPr>
              <w:rFonts w:ascii="宋体" w:hAnsi="宋体"/>
              <w:sz w:val="21"/>
            </w:rPr>
            <w:t>目录</w:t>
          </w:r>
        </w:p>
        <w:p w14:paraId="342D85BD">
          <w:pPr>
            <w:pStyle w:val="15"/>
            <w:tabs>
              <w:tab w:val="right" w:pos="8306"/>
            </w:tabs>
          </w:pPr>
          <w:r>
            <w:rPr>
              <w:rFonts w:hint="eastAsia"/>
            </w:rPr>
            <w:fldChar w:fldCharType="begin"/>
          </w:r>
          <w:r>
            <w:rPr>
              <w:rFonts w:hint="eastAsia"/>
            </w:rPr>
            <w:instrText xml:space="preserve">TOC \o "1-3" \h \u </w:instrText>
          </w:r>
          <w:r>
            <w:rPr>
              <w:rFonts w:hint="eastAsia"/>
            </w:rPr>
            <w:fldChar w:fldCharType="separate"/>
          </w:r>
          <w:r>
            <w:rPr>
              <w:rFonts w:hint="eastAsia"/>
            </w:rPr>
            <w:fldChar w:fldCharType="begin"/>
          </w:r>
          <w:r>
            <w:rPr>
              <w:rFonts w:hint="eastAsia"/>
            </w:rPr>
            <w:instrText xml:space="preserve"> HYPERLINK \l _Toc13149 </w:instrText>
          </w:r>
          <w:r>
            <w:rPr>
              <w:rFonts w:hint="eastAsia"/>
            </w:rPr>
            <w:fldChar w:fldCharType="separate"/>
          </w:r>
          <w:r>
            <w:rPr>
              <w:rFonts w:hint="eastAsia"/>
            </w:rPr>
            <w:t>一、 引言</w:t>
          </w:r>
          <w:r>
            <w:tab/>
          </w:r>
          <w:r>
            <w:fldChar w:fldCharType="begin"/>
          </w:r>
          <w:r>
            <w:instrText xml:space="preserve"> PAGEREF _Toc13149 \h </w:instrText>
          </w:r>
          <w:r>
            <w:fldChar w:fldCharType="separate"/>
          </w:r>
          <w:r>
            <w:t>2</w:t>
          </w:r>
          <w:r>
            <w:fldChar w:fldCharType="end"/>
          </w:r>
          <w:r>
            <w:rPr>
              <w:rFonts w:hint="eastAsia"/>
            </w:rPr>
            <w:fldChar w:fldCharType="end"/>
          </w:r>
        </w:p>
        <w:p w14:paraId="57DA0965">
          <w:pPr>
            <w:pStyle w:val="17"/>
            <w:tabs>
              <w:tab w:val="right" w:pos="8306"/>
            </w:tabs>
          </w:pPr>
          <w:r>
            <w:rPr>
              <w:rFonts w:hint="eastAsia"/>
            </w:rPr>
            <w:fldChar w:fldCharType="begin"/>
          </w:r>
          <w:r>
            <w:rPr>
              <w:rFonts w:hint="eastAsia"/>
            </w:rPr>
            <w:instrText xml:space="preserve"> HYPERLINK \l _Toc6651 </w:instrText>
          </w:r>
          <w:r>
            <w:rPr>
              <w:rFonts w:hint="eastAsia"/>
            </w:rPr>
            <w:fldChar w:fldCharType="separate"/>
          </w:r>
          <w:r>
            <w:t xml:space="preserve">1.1 </w:t>
          </w:r>
          <w:r>
            <w:rPr>
              <w:rFonts w:hint="eastAsia"/>
            </w:rPr>
            <w:t>项目背景与衍生品结构</w:t>
          </w:r>
          <w:r>
            <w:tab/>
          </w:r>
          <w:r>
            <w:fldChar w:fldCharType="begin"/>
          </w:r>
          <w:r>
            <w:instrText xml:space="preserve"> PAGEREF _Toc6651 \h </w:instrText>
          </w:r>
          <w:r>
            <w:fldChar w:fldCharType="separate"/>
          </w:r>
          <w:r>
            <w:t>2</w:t>
          </w:r>
          <w:r>
            <w:fldChar w:fldCharType="end"/>
          </w:r>
          <w:r>
            <w:rPr>
              <w:rFonts w:hint="eastAsia"/>
            </w:rPr>
            <w:fldChar w:fldCharType="end"/>
          </w:r>
        </w:p>
        <w:p w14:paraId="6325ED5D">
          <w:pPr>
            <w:pStyle w:val="17"/>
            <w:tabs>
              <w:tab w:val="right" w:pos="8306"/>
            </w:tabs>
          </w:pPr>
          <w:r>
            <w:rPr>
              <w:rFonts w:hint="eastAsia"/>
            </w:rPr>
            <w:fldChar w:fldCharType="begin"/>
          </w:r>
          <w:r>
            <w:rPr>
              <w:rFonts w:hint="eastAsia"/>
            </w:rPr>
            <w:instrText xml:space="preserve"> HYPERLINK \l _Toc30557 </w:instrText>
          </w:r>
          <w:r>
            <w:rPr>
              <w:rFonts w:hint="eastAsia"/>
            </w:rPr>
            <w:fldChar w:fldCharType="separate"/>
          </w:r>
          <w:r>
            <w:t xml:space="preserve">1.2 </w:t>
          </w:r>
          <w:r>
            <w:rPr>
              <w:rFonts w:hint="eastAsia"/>
            </w:rPr>
            <w:t>定价方法概述</w:t>
          </w:r>
          <w:r>
            <w:tab/>
          </w:r>
          <w:r>
            <w:fldChar w:fldCharType="begin"/>
          </w:r>
          <w:r>
            <w:instrText xml:space="preserve"> PAGEREF _Toc30557 \h </w:instrText>
          </w:r>
          <w:r>
            <w:fldChar w:fldCharType="separate"/>
          </w:r>
          <w:r>
            <w:t>3</w:t>
          </w:r>
          <w:r>
            <w:fldChar w:fldCharType="end"/>
          </w:r>
          <w:r>
            <w:rPr>
              <w:rFonts w:hint="eastAsia"/>
            </w:rPr>
            <w:fldChar w:fldCharType="end"/>
          </w:r>
        </w:p>
        <w:p w14:paraId="558BB223">
          <w:pPr>
            <w:pStyle w:val="17"/>
            <w:tabs>
              <w:tab w:val="right" w:pos="8306"/>
            </w:tabs>
          </w:pPr>
          <w:r>
            <w:rPr>
              <w:rFonts w:hint="eastAsia"/>
            </w:rPr>
            <w:fldChar w:fldCharType="begin"/>
          </w:r>
          <w:r>
            <w:rPr>
              <w:rFonts w:hint="eastAsia"/>
            </w:rPr>
            <w:instrText xml:space="preserve"> HYPERLINK \l _Toc3001 </w:instrText>
          </w:r>
          <w:r>
            <w:rPr>
              <w:rFonts w:hint="eastAsia"/>
            </w:rPr>
            <w:fldChar w:fldCharType="separate"/>
          </w:r>
          <w:r>
            <w:rPr>
              <w:rFonts w:hint="eastAsia"/>
            </w:rPr>
            <w:t>1.3 本文定价前提假设</w:t>
          </w:r>
          <w:r>
            <w:tab/>
          </w:r>
          <w:r>
            <w:fldChar w:fldCharType="begin"/>
          </w:r>
          <w:r>
            <w:instrText xml:space="preserve"> PAGEREF _Toc3001 \h </w:instrText>
          </w:r>
          <w:r>
            <w:fldChar w:fldCharType="separate"/>
          </w:r>
          <w:r>
            <w:t>3</w:t>
          </w:r>
          <w:r>
            <w:fldChar w:fldCharType="end"/>
          </w:r>
          <w:r>
            <w:rPr>
              <w:rFonts w:hint="eastAsia"/>
            </w:rPr>
            <w:fldChar w:fldCharType="end"/>
          </w:r>
        </w:p>
        <w:p w14:paraId="61982B42">
          <w:pPr>
            <w:pStyle w:val="15"/>
            <w:tabs>
              <w:tab w:val="right" w:pos="8306"/>
            </w:tabs>
          </w:pPr>
          <w:r>
            <w:rPr>
              <w:rFonts w:hint="eastAsia"/>
            </w:rPr>
            <w:fldChar w:fldCharType="begin"/>
          </w:r>
          <w:r>
            <w:rPr>
              <w:rFonts w:hint="eastAsia"/>
            </w:rPr>
            <w:instrText xml:space="preserve"> HYPERLINK \l _Toc26769 </w:instrText>
          </w:r>
          <w:r>
            <w:rPr>
              <w:rFonts w:hint="eastAsia"/>
            </w:rPr>
            <w:fldChar w:fldCharType="separate"/>
          </w:r>
          <w:r>
            <w:rPr>
              <w:rFonts w:hint="eastAsia"/>
            </w:rPr>
            <w:t>二、 标的资产</w:t>
          </w:r>
          <w:r>
            <w:tab/>
          </w:r>
          <w:r>
            <w:fldChar w:fldCharType="begin"/>
          </w:r>
          <w:r>
            <w:instrText xml:space="preserve"> PAGEREF _Toc26769 \h </w:instrText>
          </w:r>
          <w:r>
            <w:fldChar w:fldCharType="separate"/>
          </w:r>
          <w:r>
            <w:t>3</w:t>
          </w:r>
          <w:r>
            <w:fldChar w:fldCharType="end"/>
          </w:r>
          <w:r>
            <w:rPr>
              <w:rFonts w:hint="eastAsia"/>
            </w:rPr>
            <w:fldChar w:fldCharType="end"/>
          </w:r>
        </w:p>
        <w:p w14:paraId="2628E963">
          <w:pPr>
            <w:pStyle w:val="17"/>
            <w:tabs>
              <w:tab w:val="right" w:pos="8306"/>
            </w:tabs>
          </w:pPr>
          <w:r>
            <w:rPr>
              <w:rFonts w:hint="eastAsia"/>
            </w:rPr>
            <w:fldChar w:fldCharType="begin"/>
          </w:r>
          <w:r>
            <w:rPr>
              <w:rFonts w:hint="eastAsia"/>
            </w:rPr>
            <w:instrText xml:space="preserve"> HYPERLINK \l _Toc26100 </w:instrText>
          </w:r>
          <w:r>
            <w:rPr>
              <w:rFonts w:hint="eastAsia"/>
            </w:rPr>
            <w:fldChar w:fldCharType="separate"/>
          </w:r>
          <w:r>
            <w:rPr>
              <w:rFonts w:hint="eastAsia"/>
            </w:rPr>
            <w:t>2.1 标的资产介绍</w:t>
          </w:r>
          <w:r>
            <w:tab/>
          </w:r>
          <w:r>
            <w:fldChar w:fldCharType="begin"/>
          </w:r>
          <w:r>
            <w:instrText xml:space="preserve"> PAGEREF _Toc26100 \h </w:instrText>
          </w:r>
          <w:r>
            <w:fldChar w:fldCharType="separate"/>
          </w:r>
          <w:r>
            <w:t>3</w:t>
          </w:r>
          <w:r>
            <w:fldChar w:fldCharType="end"/>
          </w:r>
          <w:r>
            <w:rPr>
              <w:rFonts w:hint="eastAsia"/>
            </w:rPr>
            <w:fldChar w:fldCharType="end"/>
          </w:r>
        </w:p>
        <w:p w14:paraId="0618093C">
          <w:pPr>
            <w:pStyle w:val="17"/>
            <w:tabs>
              <w:tab w:val="right" w:pos="8306"/>
            </w:tabs>
          </w:pPr>
          <w:r>
            <w:rPr>
              <w:rFonts w:hint="eastAsia"/>
            </w:rPr>
            <w:fldChar w:fldCharType="begin"/>
          </w:r>
          <w:r>
            <w:rPr>
              <w:rFonts w:hint="eastAsia"/>
            </w:rPr>
            <w:instrText xml:space="preserve"> HYPERLINK \l _Toc19708 </w:instrText>
          </w:r>
          <w:r>
            <w:rPr>
              <w:rFonts w:hint="eastAsia"/>
            </w:rPr>
            <w:fldChar w:fldCharType="separate"/>
          </w:r>
          <w:r>
            <w:rPr>
              <w:rFonts w:hint="eastAsia"/>
            </w:rPr>
            <w:t>2.2 历史波动率</w:t>
          </w:r>
          <w:r>
            <w:tab/>
          </w:r>
          <w:r>
            <w:fldChar w:fldCharType="begin"/>
          </w:r>
          <w:r>
            <w:instrText xml:space="preserve"> PAGEREF _Toc19708 \h </w:instrText>
          </w:r>
          <w:r>
            <w:fldChar w:fldCharType="separate"/>
          </w:r>
          <w:r>
            <w:t>3</w:t>
          </w:r>
          <w:r>
            <w:fldChar w:fldCharType="end"/>
          </w:r>
          <w:r>
            <w:rPr>
              <w:rFonts w:hint="eastAsia"/>
            </w:rPr>
            <w:fldChar w:fldCharType="end"/>
          </w:r>
        </w:p>
        <w:p w14:paraId="00F5DA6F">
          <w:pPr>
            <w:pStyle w:val="17"/>
            <w:tabs>
              <w:tab w:val="right" w:pos="8306"/>
            </w:tabs>
          </w:pPr>
          <w:r>
            <w:rPr>
              <w:rFonts w:hint="eastAsia"/>
            </w:rPr>
            <w:fldChar w:fldCharType="begin"/>
          </w:r>
          <w:r>
            <w:rPr>
              <w:rFonts w:hint="eastAsia"/>
            </w:rPr>
            <w:instrText xml:space="preserve"> HYPERLINK \l _Toc27005 </w:instrText>
          </w:r>
          <w:r>
            <w:rPr>
              <w:rFonts w:hint="eastAsia"/>
            </w:rPr>
            <w:fldChar w:fldCharType="separate"/>
          </w:r>
          <w:r>
            <w:rPr>
              <w:rFonts w:hint="eastAsia"/>
            </w:rPr>
            <w:t>2.3 隐含波动率</w:t>
          </w:r>
          <w:r>
            <w:tab/>
          </w:r>
          <w:r>
            <w:fldChar w:fldCharType="begin"/>
          </w:r>
          <w:r>
            <w:instrText xml:space="preserve"> PAGEREF _Toc27005 \h </w:instrText>
          </w:r>
          <w:r>
            <w:fldChar w:fldCharType="separate"/>
          </w:r>
          <w:r>
            <w:t>4</w:t>
          </w:r>
          <w:r>
            <w:fldChar w:fldCharType="end"/>
          </w:r>
          <w:r>
            <w:rPr>
              <w:rFonts w:hint="eastAsia"/>
            </w:rPr>
            <w:fldChar w:fldCharType="end"/>
          </w:r>
        </w:p>
        <w:p w14:paraId="47771EEC">
          <w:pPr>
            <w:pStyle w:val="17"/>
            <w:tabs>
              <w:tab w:val="right" w:pos="8306"/>
            </w:tabs>
          </w:pPr>
          <w:r>
            <w:rPr>
              <w:rFonts w:hint="eastAsia"/>
            </w:rPr>
            <w:fldChar w:fldCharType="begin"/>
          </w:r>
          <w:r>
            <w:rPr>
              <w:rFonts w:hint="eastAsia"/>
            </w:rPr>
            <w:instrText xml:space="preserve"> HYPERLINK \l _Toc4510 </w:instrText>
          </w:r>
          <w:r>
            <w:rPr>
              <w:rFonts w:hint="eastAsia"/>
            </w:rPr>
            <w:fldChar w:fldCharType="separate"/>
          </w:r>
          <w:r>
            <w:rPr>
              <w:rFonts w:hint="eastAsia"/>
            </w:rPr>
            <w:t>2.4股息收益率</w:t>
          </w:r>
          <w:r>
            <w:tab/>
          </w:r>
          <w:r>
            <w:fldChar w:fldCharType="begin"/>
          </w:r>
          <w:r>
            <w:instrText xml:space="preserve"> PAGEREF _Toc4510 \h </w:instrText>
          </w:r>
          <w:r>
            <w:fldChar w:fldCharType="separate"/>
          </w:r>
          <w:r>
            <w:t>4</w:t>
          </w:r>
          <w:r>
            <w:fldChar w:fldCharType="end"/>
          </w:r>
          <w:r>
            <w:rPr>
              <w:rFonts w:hint="eastAsia"/>
            </w:rPr>
            <w:fldChar w:fldCharType="end"/>
          </w:r>
        </w:p>
        <w:p w14:paraId="4CC3AA54">
          <w:pPr>
            <w:pStyle w:val="17"/>
            <w:tabs>
              <w:tab w:val="right" w:pos="8306"/>
            </w:tabs>
          </w:pPr>
          <w:r>
            <w:rPr>
              <w:rFonts w:hint="eastAsia"/>
            </w:rPr>
            <w:fldChar w:fldCharType="begin"/>
          </w:r>
          <w:r>
            <w:rPr>
              <w:rFonts w:hint="eastAsia"/>
            </w:rPr>
            <w:instrText xml:space="preserve"> HYPERLINK \l _Toc2306 </w:instrText>
          </w:r>
          <w:r>
            <w:rPr>
              <w:rFonts w:hint="eastAsia"/>
            </w:rPr>
            <w:fldChar w:fldCharType="separate"/>
          </w:r>
          <w:r>
            <w:rPr>
              <w:rFonts w:hint="eastAsia"/>
            </w:rPr>
            <w:t>2.5无风险收益率</w:t>
          </w:r>
          <w:r>
            <w:tab/>
          </w:r>
          <w:r>
            <w:fldChar w:fldCharType="begin"/>
          </w:r>
          <w:r>
            <w:instrText xml:space="preserve"> PAGEREF _Toc2306 \h </w:instrText>
          </w:r>
          <w:r>
            <w:fldChar w:fldCharType="separate"/>
          </w:r>
          <w:r>
            <w:t>4</w:t>
          </w:r>
          <w:r>
            <w:fldChar w:fldCharType="end"/>
          </w:r>
          <w:r>
            <w:rPr>
              <w:rFonts w:hint="eastAsia"/>
            </w:rPr>
            <w:fldChar w:fldCharType="end"/>
          </w:r>
        </w:p>
        <w:p w14:paraId="33930C1A">
          <w:pPr>
            <w:pStyle w:val="15"/>
            <w:tabs>
              <w:tab w:val="right" w:pos="8306"/>
            </w:tabs>
          </w:pPr>
          <w:r>
            <w:rPr>
              <w:rFonts w:hint="eastAsia"/>
            </w:rPr>
            <w:fldChar w:fldCharType="begin"/>
          </w:r>
          <w:r>
            <w:rPr>
              <w:rFonts w:hint="eastAsia"/>
            </w:rPr>
            <w:instrText xml:space="preserve"> HYPERLINK \l _Toc22891 </w:instrText>
          </w:r>
          <w:r>
            <w:rPr>
              <w:rFonts w:hint="eastAsia"/>
            </w:rPr>
            <w:fldChar w:fldCharType="separate"/>
          </w:r>
          <w:r>
            <w:rPr>
              <w:rFonts w:hint="eastAsia"/>
            </w:rPr>
            <w:t>三、 二项式定价</w:t>
          </w:r>
          <w:r>
            <w:tab/>
          </w:r>
          <w:r>
            <w:fldChar w:fldCharType="begin"/>
          </w:r>
          <w:r>
            <w:instrText xml:space="preserve"> PAGEREF _Toc22891 \h </w:instrText>
          </w:r>
          <w:r>
            <w:fldChar w:fldCharType="separate"/>
          </w:r>
          <w:r>
            <w:t>5</w:t>
          </w:r>
          <w:r>
            <w:fldChar w:fldCharType="end"/>
          </w:r>
          <w:r>
            <w:rPr>
              <w:rFonts w:hint="eastAsia"/>
            </w:rPr>
            <w:fldChar w:fldCharType="end"/>
          </w:r>
        </w:p>
        <w:p w14:paraId="780105AC">
          <w:pPr>
            <w:pStyle w:val="17"/>
            <w:tabs>
              <w:tab w:val="right" w:pos="8306"/>
            </w:tabs>
          </w:pPr>
          <w:r>
            <w:rPr>
              <w:rFonts w:hint="eastAsia"/>
            </w:rPr>
            <w:fldChar w:fldCharType="begin"/>
          </w:r>
          <w:r>
            <w:rPr>
              <w:rFonts w:hint="eastAsia"/>
            </w:rPr>
            <w:instrText xml:space="preserve"> HYPERLINK \l _Toc29342 </w:instrText>
          </w:r>
          <w:r>
            <w:rPr>
              <w:rFonts w:hint="eastAsia"/>
            </w:rPr>
            <w:fldChar w:fldCharType="separate"/>
          </w:r>
          <w:r>
            <w:rPr>
              <w:rFonts w:hint="eastAsia"/>
            </w:rPr>
            <w:t>3.1 二项式定价原理</w:t>
          </w:r>
          <w:r>
            <w:tab/>
          </w:r>
          <w:r>
            <w:fldChar w:fldCharType="begin"/>
          </w:r>
          <w:r>
            <w:instrText xml:space="preserve"> PAGEREF _Toc29342 \h </w:instrText>
          </w:r>
          <w:r>
            <w:fldChar w:fldCharType="separate"/>
          </w:r>
          <w:r>
            <w:t>5</w:t>
          </w:r>
          <w:r>
            <w:fldChar w:fldCharType="end"/>
          </w:r>
          <w:r>
            <w:rPr>
              <w:rFonts w:hint="eastAsia"/>
            </w:rPr>
            <w:fldChar w:fldCharType="end"/>
          </w:r>
        </w:p>
        <w:p w14:paraId="486F928C">
          <w:pPr>
            <w:pStyle w:val="12"/>
            <w:tabs>
              <w:tab w:val="right" w:pos="8306"/>
            </w:tabs>
          </w:pPr>
          <w:r>
            <w:rPr>
              <w:rFonts w:hint="eastAsia"/>
            </w:rPr>
            <w:fldChar w:fldCharType="begin"/>
          </w:r>
          <w:r>
            <w:rPr>
              <w:rFonts w:hint="eastAsia"/>
            </w:rPr>
            <w:instrText xml:space="preserve"> HYPERLINK \l _Toc15658 </w:instrText>
          </w:r>
          <w:r>
            <w:rPr>
              <w:rFonts w:hint="eastAsia"/>
            </w:rPr>
            <w:fldChar w:fldCharType="separate"/>
          </w:r>
          <w:r>
            <w:rPr>
              <w:rFonts w:hint="eastAsia"/>
            </w:rPr>
            <w:t>3.1.1 美式期权的二项式定价</w:t>
          </w:r>
          <w:r>
            <w:tab/>
          </w:r>
          <w:r>
            <w:fldChar w:fldCharType="begin"/>
          </w:r>
          <w:r>
            <w:instrText xml:space="preserve"> PAGEREF _Toc15658 \h </w:instrText>
          </w:r>
          <w:r>
            <w:fldChar w:fldCharType="separate"/>
          </w:r>
          <w:r>
            <w:t>5</w:t>
          </w:r>
          <w:r>
            <w:fldChar w:fldCharType="end"/>
          </w:r>
          <w:r>
            <w:rPr>
              <w:rFonts w:hint="eastAsia"/>
            </w:rPr>
            <w:fldChar w:fldCharType="end"/>
          </w:r>
        </w:p>
        <w:p w14:paraId="6ABA3DF2">
          <w:pPr>
            <w:pStyle w:val="12"/>
            <w:tabs>
              <w:tab w:val="right" w:pos="8306"/>
            </w:tabs>
          </w:pPr>
          <w:r>
            <w:rPr>
              <w:rFonts w:hint="eastAsia"/>
            </w:rPr>
            <w:fldChar w:fldCharType="begin"/>
          </w:r>
          <w:r>
            <w:rPr>
              <w:rFonts w:hint="eastAsia"/>
            </w:rPr>
            <w:instrText xml:space="preserve"> HYPERLINK \l _Toc15052 </w:instrText>
          </w:r>
          <w:r>
            <w:rPr>
              <w:rFonts w:hint="eastAsia"/>
            </w:rPr>
            <w:fldChar w:fldCharType="separate"/>
          </w:r>
          <w:r>
            <w:rPr>
              <w:rFonts w:hint="eastAsia"/>
            </w:rPr>
            <w:t>3.1.2 复合期权X的二项式定价模型实现</w:t>
          </w:r>
          <w:r>
            <w:tab/>
          </w:r>
          <w:r>
            <w:fldChar w:fldCharType="begin"/>
          </w:r>
          <w:r>
            <w:instrText xml:space="preserve"> PAGEREF _Toc15052 \h </w:instrText>
          </w:r>
          <w:r>
            <w:fldChar w:fldCharType="separate"/>
          </w:r>
          <w:r>
            <w:t>5</w:t>
          </w:r>
          <w:r>
            <w:fldChar w:fldCharType="end"/>
          </w:r>
          <w:r>
            <w:rPr>
              <w:rFonts w:hint="eastAsia"/>
            </w:rPr>
            <w:fldChar w:fldCharType="end"/>
          </w:r>
        </w:p>
        <w:p w14:paraId="2ABE08A7">
          <w:pPr>
            <w:pStyle w:val="17"/>
            <w:tabs>
              <w:tab w:val="right" w:pos="8306"/>
            </w:tabs>
          </w:pPr>
          <w:r>
            <w:rPr>
              <w:rFonts w:hint="eastAsia"/>
            </w:rPr>
            <w:fldChar w:fldCharType="begin"/>
          </w:r>
          <w:r>
            <w:rPr>
              <w:rFonts w:hint="eastAsia"/>
            </w:rPr>
            <w:instrText xml:space="preserve"> HYPERLINK \l _Toc2827 </w:instrText>
          </w:r>
          <w:r>
            <w:rPr>
              <w:rFonts w:hint="eastAsia"/>
            </w:rPr>
            <w:fldChar w:fldCharType="separate"/>
          </w:r>
          <w:r>
            <w:rPr>
              <w:rFonts w:hint="eastAsia"/>
            </w:rPr>
            <w:t>3.2 二项式定价结果</w:t>
          </w:r>
          <w:r>
            <w:tab/>
          </w:r>
          <w:r>
            <w:fldChar w:fldCharType="begin"/>
          </w:r>
          <w:r>
            <w:instrText xml:space="preserve"> PAGEREF _Toc2827 \h </w:instrText>
          </w:r>
          <w:r>
            <w:fldChar w:fldCharType="separate"/>
          </w:r>
          <w:r>
            <w:t>6</w:t>
          </w:r>
          <w:r>
            <w:fldChar w:fldCharType="end"/>
          </w:r>
          <w:r>
            <w:rPr>
              <w:rFonts w:hint="eastAsia"/>
            </w:rPr>
            <w:fldChar w:fldCharType="end"/>
          </w:r>
        </w:p>
        <w:p w14:paraId="5AA5EC38">
          <w:pPr>
            <w:pStyle w:val="12"/>
            <w:tabs>
              <w:tab w:val="right" w:pos="8306"/>
            </w:tabs>
          </w:pPr>
          <w:r>
            <w:rPr>
              <w:rFonts w:hint="eastAsia"/>
            </w:rPr>
            <w:fldChar w:fldCharType="begin"/>
          </w:r>
          <w:r>
            <w:rPr>
              <w:rFonts w:hint="eastAsia"/>
            </w:rPr>
            <w:instrText xml:space="preserve"> HYPERLINK \l _Toc23564 </w:instrText>
          </w:r>
          <w:r>
            <w:rPr>
              <w:rFonts w:hint="eastAsia"/>
            </w:rPr>
            <w:fldChar w:fldCharType="separate"/>
          </w:r>
          <w:r>
            <w:rPr>
              <w:rFonts w:hint="eastAsia"/>
            </w:rPr>
            <w:t>3.2.1 期权合约及二项式参数</w:t>
          </w:r>
          <w:r>
            <w:tab/>
          </w:r>
          <w:r>
            <w:fldChar w:fldCharType="begin"/>
          </w:r>
          <w:r>
            <w:instrText xml:space="preserve"> PAGEREF _Toc23564 \h </w:instrText>
          </w:r>
          <w:r>
            <w:fldChar w:fldCharType="separate"/>
          </w:r>
          <w:r>
            <w:t>6</w:t>
          </w:r>
          <w:r>
            <w:fldChar w:fldCharType="end"/>
          </w:r>
          <w:r>
            <w:rPr>
              <w:rFonts w:hint="eastAsia"/>
            </w:rPr>
            <w:fldChar w:fldCharType="end"/>
          </w:r>
        </w:p>
        <w:p w14:paraId="2575A725">
          <w:pPr>
            <w:pStyle w:val="15"/>
            <w:tabs>
              <w:tab w:val="right" w:pos="8306"/>
            </w:tabs>
          </w:pPr>
          <w:r>
            <w:rPr>
              <w:rFonts w:hint="eastAsia"/>
            </w:rPr>
            <w:fldChar w:fldCharType="begin"/>
          </w:r>
          <w:r>
            <w:rPr>
              <w:rFonts w:hint="eastAsia"/>
            </w:rPr>
            <w:instrText xml:space="preserve"> HYPERLINK \l _Toc3130 </w:instrText>
          </w:r>
          <w:r>
            <w:rPr>
              <w:rFonts w:hint="eastAsia"/>
            </w:rPr>
            <w:fldChar w:fldCharType="separate"/>
          </w:r>
          <w:r>
            <w:rPr>
              <w:rFonts w:hint="eastAsia"/>
            </w:rPr>
            <w:t>四、 蒙特卡洛模拟定价</w:t>
          </w:r>
          <w:r>
            <w:tab/>
          </w:r>
          <w:r>
            <w:fldChar w:fldCharType="begin"/>
          </w:r>
          <w:r>
            <w:instrText xml:space="preserve"> PAGEREF _Toc3130 \h </w:instrText>
          </w:r>
          <w:r>
            <w:fldChar w:fldCharType="separate"/>
          </w:r>
          <w:r>
            <w:t>7</w:t>
          </w:r>
          <w:r>
            <w:fldChar w:fldCharType="end"/>
          </w:r>
          <w:r>
            <w:rPr>
              <w:rFonts w:hint="eastAsia"/>
            </w:rPr>
            <w:fldChar w:fldCharType="end"/>
          </w:r>
        </w:p>
        <w:p w14:paraId="62ECF263">
          <w:pPr>
            <w:pStyle w:val="17"/>
            <w:tabs>
              <w:tab w:val="right" w:pos="8306"/>
            </w:tabs>
          </w:pPr>
          <w:r>
            <w:rPr>
              <w:rFonts w:hint="eastAsia"/>
            </w:rPr>
            <w:fldChar w:fldCharType="begin"/>
          </w:r>
          <w:r>
            <w:rPr>
              <w:rFonts w:hint="eastAsia"/>
            </w:rPr>
            <w:instrText xml:space="preserve"> HYPERLINK \l _Toc6347 </w:instrText>
          </w:r>
          <w:r>
            <w:rPr>
              <w:rFonts w:hint="eastAsia"/>
            </w:rPr>
            <w:fldChar w:fldCharType="separate"/>
          </w:r>
          <w:r>
            <w:rPr>
              <w:rFonts w:hint="eastAsia"/>
            </w:rPr>
            <w:t>4.1蒙特卡洛模拟基础</w:t>
          </w:r>
          <w:r>
            <w:tab/>
          </w:r>
          <w:r>
            <w:fldChar w:fldCharType="begin"/>
          </w:r>
          <w:r>
            <w:instrText xml:space="preserve"> PAGEREF _Toc6347 \h </w:instrText>
          </w:r>
          <w:r>
            <w:fldChar w:fldCharType="separate"/>
          </w:r>
          <w:r>
            <w:t>7</w:t>
          </w:r>
          <w:r>
            <w:fldChar w:fldCharType="end"/>
          </w:r>
          <w:r>
            <w:rPr>
              <w:rFonts w:hint="eastAsia"/>
            </w:rPr>
            <w:fldChar w:fldCharType="end"/>
          </w:r>
        </w:p>
        <w:p w14:paraId="2D098DCA">
          <w:pPr>
            <w:pStyle w:val="12"/>
            <w:tabs>
              <w:tab w:val="right" w:pos="8306"/>
            </w:tabs>
          </w:pPr>
          <w:r>
            <w:rPr>
              <w:rFonts w:hint="eastAsia"/>
            </w:rPr>
            <w:fldChar w:fldCharType="begin"/>
          </w:r>
          <w:r>
            <w:rPr>
              <w:rFonts w:hint="eastAsia"/>
            </w:rPr>
            <w:instrText xml:space="preserve"> HYPERLINK \l _Toc18361 </w:instrText>
          </w:r>
          <w:r>
            <w:rPr>
              <w:rFonts w:hint="eastAsia"/>
            </w:rPr>
            <w:fldChar w:fldCharType="separate"/>
          </w:r>
          <w:r>
            <w:rPr>
              <w:rFonts w:hint="eastAsia"/>
            </w:rPr>
            <w:t>4.1.1定义</w:t>
          </w:r>
          <w:r>
            <w:tab/>
          </w:r>
          <w:r>
            <w:fldChar w:fldCharType="begin"/>
          </w:r>
          <w:r>
            <w:instrText xml:space="preserve"> PAGEREF _Toc18361 \h </w:instrText>
          </w:r>
          <w:r>
            <w:fldChar w:fldCharType="separate"/>
          </w:r>
          <w:r>
            <w:t>7</w:t>
          </w:r>
          <w:r>
            <w:fldChar w:fldCharType="end"/>
          </w:r>
          <w:r>
            <w:rPr>
              <w:rFonts w:hint="eastAsia"/>
            </w:rPr>
            <w:fldChar w:fldCharType="end"/>
          </w:r>
        </w:p>
        <w:p w14:paraId="55C73532">
          <w:pPr>
            <w:pStyle w:val="12"/>
            <w:tabs>
              <w:tab w:val="right" w:pos="8306"/>
            </w:tabs>
          </w:pPr>
          <w:r>
            <w:rPr>
              <w:rFonts w:hint="eastAsia"/>
            </w:rPr>
            <w:fldChar w:fldCharType="begin"/>
          </w:r>
          <w:r>
            <w:rPr>
              <w:rFonts w:hint="eastAsia"/>
            </w:rPr>
            <w:instrText xml:space="preserve"> HYPERLINK \l _Toc31036 </w:instrText>
          </w:r>
          <w:r>
            <w:rPr>
              <w:rFonts w:hint="eastAsia"/>
            </w:rPr>
            <w:fldChar w:fldCharType="separate"/>
          </w:r>
          <w:r>
            <w:rPr>
              <w:rFonts w:hint="eastAsia"/>
            </w:rPr>
            <w:t>4.1.2 奇异期权的结构分析</w:t>
          </w:r>
          <w:r>
            <w:tab/>
          </w:r>
          <w:r>
            <w:fldChar w:fldCharType="begin"/>
          </w:r>
          <w:r>
            <w:instrText xml:space="preserve"> PAGEREF _Toc31036 \h </w:instrText>
          </w:r>
          <w:r>
            <w:fldChar w:fldCharType="separate"/>
          </w:r>
          <w:r>
            <w:t>7</w:t>
          </w:r>
          <w:r>
            <w:fldChar w:fldCharType="end"/>
          </w:r>
          <w:r>
            <w:rPr>
              <w:rFonts w:hint="eastAsia"/>
            </w:rPr>
            <w:fldChar w:fldCharType="end"/>
          </w:r>
        </w:p>
        <w:p w14:paraId="27C4B675">
          <w:pPr>
            <w:pStyle w:val="17"/>
            <w:tabs>
              <w:tab w:val="right" w:pos="8306"/>
            </w:tabs>
          </w:pPr>
          <w:r>
            <w:rPr>
              <w:rFonts w:hint="eastAsia"/>
            </w:rPr>
            <w:fldChar w:fldCharType="begin"/>
          </w:r>
          <w:r>
            <w:rPr>
              <w:rFonts w:hint="eastAsia"/>
            </w:rPr>
            <w:instrText xml:space="preserve"> HYPERLINK \l _Toc13630 </w:instrText>
          </w:r>
          <w:r>
            <w:rPr>
              <w:rFonts w:hint="eastAsia"/>
            </w:rPr>
            <w:fldChar w:fldCharType="separate"/>
          </w:r>
          <w:r>
            <w:rPr>
              <w:rFonts w:hint="eastAsia"/>
            </w:rPr>
            <w:t>4.2蒙特卡洛模拟结果</w:t>
          </w:r>
          <w:r>
            <w:tab/>
          </w:r>
          <w:r>
            <w:fldChar w:fldCharType="begin"/>
          </w:r>
          <w:r>
            <w:instrText xml:space="preserve"> PAGEREF _Toc13630 \h </w:instrText>
          </w:r>
          <w:r>
            <w:fldChar w:fldCharType="separate"/>
          </w:r>
          <w:r>
            <w:t>7</w:t>
          </w:r>
          <w:r>
            <w:fldChar w:fldCharType="end"/>
          </w:r>
          <w:r>
            <w:rPr>
              <w:rFonts w:hint="eastAsia"/>
            </w:rPr>
            <w:fldChar w:fldCharType="end"/>
          </w:r>
        </w:p>
        <w:p w14:paraId="5E56872C">
          <w:pPr>
            <w:pStyle w:val="15"/>
            <w:tabs>
              <w:tab w:val="right" w:pos="8306"/>
            </w:tabs>
          </w:pPr>
          <w:r>
            <w:rPr>
              <w:rFonts w:hint="eastAsia"/>
            </w:rPr>
            <w:fldChar w:fldCharType="begin"/>
          </w:r>
          <w:r>
            <w:rPr>
              <w:rFonts w:hint="eastAsia"/>
            </w:rPr>
            <w:instrText xml:space="preserve"> HYPERLINK \l _Toc11591 </w:instrText>
          </w:r>
          <w:r>
            <w:rPr>
              <w:rFonts w:hint="eastAsia"/>
            </w:rPr>
            <w:fldChar w:fldCharType="separate"/>
          </w:r>
          <w:r>
            <w:rPr>
              <w:rFonts w:hint="eastAsia"/>
            </w:rPr>
            <w:t>五、 敏感性分析</w:t>
          </w:r>
          <w:r>
            <w:tab/>
          </w:r>
          <w:r>
            <w:fldChar w:fldCharType="begin"/>
          </w:r>
          <w:r>
            <w:instrText xml:space="preserve"> PAGEREF _Toc11591 \h </w:instrText>
          </w:r>
          <w:r>
            <w:fldChar w:fldCharType="separate"/>
          </w:r>
          <w:r>
            <w:t>8</w:t>
          </w:r>
          <w:r>
            <w:fldChar w:fldCharType="end"/>
          </w:r>
          <w:r>
            <w:rPr>
              <w:rFonts w:hint="eastAsia"/>
            </w:rPr>
            <w:fldChar w:fldCharType="end"/>
          </w:r>
        </w:p>
        <w:p w14:paraId="551896C1">
          <w:pPr>
            <w:pStyle w:val="17"/>
            <w:tabs>
              <w:tab w:val="right" w:pos="8306"/>
            </w:tabs>
          </w:pPr>
          <w:r>
            <w:rPr>
              <w:rFonts w:hint="eastAsia"/>
            </w:rPr>
            <w:fldChar w:fldCharType="begin"/>
          </w:r>
          <w:r>
            <w:rPr>
              <w:rFonts w:hint="eastAsia"/>
            </w:rPr>
            <w:instrText xml:space="preserve"> HYPERLINK \l _Toc10228 </w:instrText>
          </w:r>
          <w:r>
            <w:rPr>
              <w:rFonts w:hint="eastAsia"/>
            </w:rPr>
            <w:fldChar w:fldCharType="separate"/>
          </w:r>
          <w:r>
            <w:rPr>
              <w:rFonts w:hint="eastAsia"/>
            </w:rPr>
            <w:t>5.1Delta和Gamma定义</w:t>
          </w:r>
          <w:r>
            <w:tab/>
          </w:r>
          <w:r>
            <w:fldChar w:fldCharType="begin"/>
          </w:r>
          <w:r>
            <w:instrText xml:space="preserve"> PAGEREF _Toc10228 \h </w:instrText>
          </w:r>
          <w:r>
            <w:fldChar w:fldCharType="separate"/>
          </w:r>
          <w:r>
            <w:t>8</w:t>
          </w:r>
          <w:r>
            <w:fldChar w:fldCharType="end"/>
          </w:r>
          <w:r>
            <w:rPr>
              <w:rFonts w:hint="eastAsia"/>
            </w:rPr>
            <w:fldChar w:fldCharType="end"/>
          </w:r>
        </w:p>
        <w:p w14:paraId="3F43CBFC">
          <w:pPr>
            <w:pStyle w:val="12"/>
            <w:tabs>
              <w:tab w:val="right" w:pos="8306"/>
            </w:tabs>
          </w:pPr>
          <w:r>
            <w:rPr>
              <w:rFonts w:hint="eastAsia"/>
            </w:rPr>
            <w:fldChar w:fldCharType="begin"/>
          </w:r>
          <w:r>
            <w:rPr>
              <w:rFonts w:hint="eastAsia"/>
            </w:rPr>
            <w:instrText xml:space="preserve"> HYPERLINK \l _Toc6848 </w:instrText>
          </w:r>
          <w:r>
            <w:rPr>
              <w:rFonts w:hint="eastAsia"/>
            </w:rPr>
            <w:fldChar w:fldCharType="separate"/>
          </w:r>
          <w:r>
            <w:rPr>
              <w:rFonts w:hint="eastAsia"/>
            </w:rPr>
            <w:t>5.1</w:t>
          </w:r>
          <w:r>
            <w:rPr>
              <w:rFonts w:hint="eastAsia"/>
              <w:lang w:val="en-US" w:eastAsia="zh-CN"/>
            </w:rPr>
            <w:t xml:space="preserve">.1 </w:t>
          </w:r>
          <w:r>
            <w:t>Delta(Δ)</w:t>
          </w:r>
          <w:r>
            <w:tab/>
          </w:r>
          <w:r>
            <w:fldChar w:fldCharType="begin"/>
          </w:r>
          <w:r>
            <w:instrText xml:space="preserve"> PAGEREF _Toc6848 \h </w:instrText>
          </w:r>
          <w:r>
            <w:fldChar w:fldCharType="separate"/>
          </w:r>
          <w:r>
            <w:t>8</w:t>
          </w:r>
          <w:r>
            <w:fldChar w:fldCharType="end"/>
          </w:r>
          <w:r>
            <w:rPr>
              <w:rFonts w:hint="eastAsia"/>
            </w:rPr>
            <w:fldChar w:fldCharType="end"/>
          </w:r>
        </w:p>
        <w:p w14:paraId="4617F896">
          <w:pPr>
            <w:pStyle w:val="12"/>
            <w:tabs>
              <w:tab w:val="right" w:pos="8306"/>
            </w:tabs>
          </w:pPr>
          <w:r>
            <w:rPr>
              <w:rFonts w:hint="eastAsia"/>
            </w:rPr>
            <w:fldChar w:fldCharType="begin"/>
          </w:r>
          <w:r>
            <w:rPr>
              <w:rFonts w:hint="eastAsia"/>
            </w:rPr>
            <w:instrText xml:space="preserve"> HYPERLINK \l _Toc14414 </w:instrText>
          </w:r>
          <w:r>
            <w:rPr>
              <w:rFonts w:hint="eastAsia"/>
            </w:rPr>
            <w:fldChar w:fldCharType="separate"/>
          </w:r>
          <w:r>
            <w:rPr>
              <w:rFonts w:hint="eastAsia"/>
            </w:rPr>
            <w:t>5</w:t>
          </w:r>
          <w:r>
            <w:rPr>
              <w:rFonts w:hint="eastAsia"/>
              <w:lang w:val="en-US" w:eastAsia="zh-CN"/>
            </w:rPr>
            <w:t>.1.2</w:t>
          </w:r>
          <w:r>
            <w:rPr>
              <w:rFonts w:hint="eastAsia"/>
            </w:rPr>
            <w:t xml:space="preserve"> Gamma(γ)</w:t>
          </w:r>
          <w:r>
            <w:tab/>
          </w:r>
          <w:r>
            <w:fldChar w:fldCharType="begin"/>
          </w:r>
          <w:r>
            <w:instrText xml:space="preserve"> PAGEREF _Toc14414 \h </w:instrText>
          </w:r>
          <w:r>
            <w:fldChar w:fldCharType="separate"/>
          </w:r>
          <w:r>
            <w:t>8</w:t>
          </w:r>
          <w:r>
            <w:fldChar w:fldCharType="end"/>
          </w:r>
          <w:r>
            <w:rPr>
              <w:rFonts w:hint="eastAsia"/>
            </w:rPr>
            <w:fldChar w:fldCharType="end"/>
          </w:r>
        </w:p>
        <w:p w14:paraId="6A71FC64">
          <w:pPr>
            <w:pStyle w:val="17"/>
            <w:tabs>
              <w:tab w:val="right" w:pos="8306"/>
            </w:tabs>
          </w:pPr>
          <w:r>
            <w:rPr>
              <w:rFonts w:hint="eastAsia"/>
            </w:rPr>
            <w:fldChar w:fldCharType="begin"/>
          </w:r>
          <w:r>
            <w:rPr>
              <w:rFonts w:hint="eastAsia"/>
            </w:rPr>
            <w:instrText xml:space="preserve"> HYPERLINK \l _Toc25218 </w:instrText>
          </w:r>
          <w:r>
            <w:rPr>
              <w:rFonts w:hint="eastAsia"/>
            </w:rPr>
            <w:fldChar w:fldCharType="separate"/>
          </w:r>
          <w:r>
            <w:rPr>
              <w:rFonts w:hint="eastAsia"/>
            </w:rPr>
            <w:t>5.2不同情形X的delta和Gamma结果</w:t>
          </w:r>
          <w:r>
            <w:tab/>
          </w:r>
          <w:r>
            <w:fldChar w:fldCharType="begin"/>
          </w:r>
          <w:r>
            <w:instrText xml:space="preserve"> PAGEREF _Toc25218 \h </w:instrText>
          </w:r>
          <w:r>
            <w:fldChar w:fldCharType="separate"/>
          </w:r>
          <w:r>
            <w:t>9</w:t>
          </w:r>
          <w:r>
            <w:fldChar w:fldCharType="end"/>
          </w:r>
          <w:r>
            <w:rPr>
              <w:rFonts w:hint="eastAsia"/>
            </w:rPr>
            <w:fldChar w:fldCharType="end"/>
          </w:r>
        </w:p>
        <w:p w14:paraId="4C5E4F22">
          <w:pPr>
            <w:pStyle w:val="17"/>
            <w:tabs>
              <w:tab w:val="right" w:pos="8306"/>
            </w:tabs>
          </w:pPr>
          <w:r>
            <w:rPr>
              <w:rFonts w:hint="eastAsia"/>
            </w:rPr>
            <w:fldChar w:fldCharType="begin"/>
          </w:r>
          <w:r>
            <w:rPr>
              <w:rFonts w:hint="eastAsia"/>
            </w:rPr>
            <w:instrText xml:space="preserve"> HYPERLINK \l _Toc27970 </w:instrText>
          </w:r>
          <w:r>
            <w:rPr>
              <w:rFonts w:hint="eastAsia"/>
            </w:rPr>
            <w:fldChar w:fldCharType="separate"/>
          </w:r>
          <w:r>
            <w:rPr>
              <w:rFonts w:hint="eastAsia"/>
            </w:rPr>
            <w:t>5.3其他希腊字母分析</w:t>
          </w:r>
          <w:r>
            <w:tab/>
          </w:r>
          <w:r>
            <w:fldChar w:fldCharType="begin"/>
          </w:r>
          <w:r>
            <w:instrText xml:space="preserve"> PAGEREF _Toc27970 \h </w:instrText>
          </w:r>
          <w:r>
            <w:fldChar w:fldCharType="separate"/>
          </w:r>
          <w:r>
            <w:t>9</w:t>
          </w:r>
          <w:r>
            <w:fldChar w:fldCharType="end"/>
          </w:r>
          <w:r>
            <w:rPr>
              <w:rFonts w:hint="eastAsia"/>
            </w:rPr>
            <w:fldChar w:fldCharType="end"/>
          </w:r>
        </w:p>
        <w:p w14:paraId="1E554F53">
          <w:pPr>
            <w:pStyle w:val="12"/>
            <w:tabs>
              <w:tab w:val="right" w:pos="8306"/>
            </w:tabs>
          </w:pPr>
          <w:r>
            <w:rPr>
              <w:rFonts w:hint="eastAsia"/>
            </w:rPr>
            <w:fldChar w:fldCharType="begin"/>
          </w:r>
          <w:r>
            <w:rPr>
              <w:rFonts w:hint="eastAsia"/>
            </w:rPr>
            <w:instrText xml:space="preserve"> HYPERLINK \l _Toc15131 </w:instrText>
          </w:r>
          <w:r>
            <w:rPr>
              <w:rFonts w:hint="eastAsia"/>
            </w:rPr>
            <w:fldChar w:fldCharType="separate"/>
          </w:r>
          <w:r>
            <w:rPr>
              <w:rFonts w:hint="eastAsia"/>
            </w:rPr>
            <w:t>5.3.1 Vega(V)</w:t>
          </w:r>
          <w:r>
            <w:tab/>
          </w:r>
          <w:r>
            <w:fldChar w:fldCharType="begin"/>
          </w:r>
          <w:r>
            <w:instrText xml:space="preserve"> PAGEREF _Toc15131 \h </w:instrText>
          </w:r>
          <w:r>
            <w:fldChar w:fldCharType="separate"/>
          </w:r>
          <w:r>
            <w:t>9</w:t>
          </w:r>
          <w:r>
            <w:fldChar w:fldCharType="end"/>
          </w:r>
          <w:r>
            <w:rPr>
              <w:rFonts w:hint="eastAsia"/>
            </w:rPr>
            <w:fldChar w:fldCharType="end"/>
          </w:r>
        </w:p>
        <w:p w14:paraId="023D320A">
          <w:pPr>
            <w:pStyle w:val="12"/>
            <w:tabs>
              <w:tab w:val="right" w:pos="8306"/>
            </w:tabs>
          </w:pPr>
          <w:r>
            <w:rPr>
              <w:rFonts w:hint="eastAsia"/>
            </w:rPr>
            <w:fldChar w:fldCharType="begin"/>
          </w:r>
          <w:r>
            <w:rPr>
              <w:rFonts w:hint="eastAsia"/>
            </w:rPr>
            <w:instrText xml:space="preserve"> HYPERLINK \l _Toc10419 </w:instrText>
          </w:r>
          <w:r>
            <w:rPr>
              <w:rFonts w:hint="eastAsia"/>
            </w:rPr>
            <w:fldChar w:fldCharType="separate"/>
          </w:r>
          <w:r>
            <w:rPr>
              <w:rFonts w:hint="eastAsia"/>
            </w:rPr>
            <w:t>5.3.2 Theta(</w:t>
          </w:r>
          <w:r>
            <w:rPr>
              <w:position w:val="-11"/>
            </w:rPr>
            <w:object>
              <v:shape id="_x0000_i1040" o:spt="75" type="#_x0000_t75" style="height:17.7pt;width:8.85pt;" o:ole="t" filled="f" o:preferrelative="t" stroked="f" coordsize="21600,21600">
                <v:path/>
                <v:fill on="f" focussize="0,0"/>
                <v:stroke on="f" joinstyle="miter"/>
                <v:imagedata r:id="rId7" o:title=""/>
                <o:lock v:ext="edit" aspectratio="t"/>
                <w10:wrap type="none"/>
                <w10:anchorlock/>
              </v:shape>
              <o:OLEObject Type="Embed" ProgID="Equation.AxMath" ShapeID="_x0000_i1040" DrawAspect="Content" ObjectID="_1468075725" r:id="rId6">
                <o:LockedField>false</o:LockedField>
              </o:OLEObject>
            </w:object>
          </w:r>
          <w:r>
            <w:rPr>
              <w:rFonts w:hint="eastAsia"/>
            </w:rPr>
            <w:t>)</w:t>
          </w:r>
          <w:r>
            <w:tab/>
          </w:r>
          <w:r>
            <w:fldChar w:fldCharType="begin"/>
          </w:r>
          <w:r>
            <w:instrText xml:space="preserve"> PAGEREF _Toc10419 \h </w:instrText>
          </w:r>
          <w:r>
            <w:fldChar w:fldCharType="separate"/>
          </w:r>
          <w:r>
            <w:t>9</w:t>
          </w:r>
          <w:r>
            <w:fldChar w:fldCharType="end"/>
          </w:r>
          <w:r>
            <w:rPr>
              <w:rFonts w:hint="eastAsia"/>
            </w:rPr>
            <w:fldChar w:fldCharType="end"/>
          </w:r>
        </w:p>
        <w:p w14:paraId="6ADD9609">
          <w:pPr>
            <w:pStyle w:val="12"/>
            <w:tabs>
              <w:tab w:val="right" w:pos="8306"/>
            </w:tabs>
          </w:pPr>
          <w:r>
            <w:rPr>
              <w:rFonts w:hint="eastAsia"/>
            </w:rPr>
            <w:fldChar w:fldCharType="begin"/>
          </w:r>
          <w:r>
            <w:rPr>
              <w:rFonts w:hint="eastAsia"/>
            </w:rPr>
            <w:instrText xml:space="preserve"> HYPERLINK \l _Toc13875 </w:instrText>
          </w:r>
          <w:r>
            <w:rPr>
              <w:rFonts w:hint="eastAsia"/>
            </w:rPr>
            <w:fldChar w:fldCharType="separate"/>
          </w:r>
          <w:r>
            <w:rPr>
              <w:rFonts w:hint="eastAsia"/>
            </w:rPr>
            <w:t>5.3.3其他希腊字母敏感性分析结果</w:t>
          </w:r>
          <w:r>
            <w:tab/>
          </w:r>
          <w:r>
            <w:fldChar w:fldCharType="begin"/>
          </w:r>
          <w:r>
            <w:instrText xml:space="preserve"> PAGEREF _Toc13875 \h </w:instrText>
          </w:r>
          <w:r>
            <w:fldChar w:fldCharType="separate"/>
          </w:r>
          <w:r>
            <w:t>9</w:t>
          </w:r>
          <w:r>
            <w:fldChar w:fldCharType="end"/>
          </w:r>
          <w:r>
            <w:rPr>
              <w:rFonts w:hint="eastAsia"/>
            </w:rPr>
            <w:fldChar w:fldCharType="end"/>
          </w:r>
        </w:p>
        <w:p w14:paraId="767DE873">
          <w:pPr>
            <w:pStyle w:val="15"/>
            <w:tabs>
              <w:tab w:val="right" w:pos="8306"/>
            </w:tabs>
          </w:pPr>
          <w:r>
            <w:rPr>
              <w:rFonts w:hint="eastAsia"/>
            </w:rPr>
            <w:fldChar w:fldCharType="begin"/>
          </w:r>
          <w:r>
            <w:rPr>
              <w:rFonts w:hint="eastAsia"/>
            </w:rPr>
            <w:instrText xml:space="preserve"> HYPERLINK \l _Toc14287 </w:instrText>
          </w:r>
          <w:r>
            <w:rPr>
              <w:rFonts w:hint="eastAsia"/>
            </w:rPr>
            <w:fldChar w:fldCharType="separate"/>
          </w:r>
          <w:r>
            <w:rPr>
              <w:rFonts w:hint="eastAsia"/>
            </w:rPr>
            <w:t>六、 参考</w:t>
          </w:r>
          <w:r>
            <w:tab/>
          </w:r>
          <w:r>
            <w:fldChar w:fldCharType="begin"/>
          </w:r>
          <w:r>
            <w:instrText xml:space="preserve"> PAGEREF _Toc14287 \h </w:instrText>
          </w:r>
          <w:r>
            <w:fldChar w:fldCharType="separate"/>
          </w:r>
          <w:r>
            <w:t>10</w:t>
          </w:r>
          <w:r>
            <w:fldChar w:fldCharType="end"/>
          </w:r>
          <w:r>
            <w:rPr>
              <w:rFonts w:hint="eastAsia"/>
            </w:rPr>
            <w:fldChar w:fldCharType="end"/>
          </w:r>
        </w:p>
        <w:p w14:paraId="353A2D6E">
          <w:pPr>
            <w:pStyle w:val="15"/>
            <w:tabs>
              <w:tab w:val="right" w:pos="8306"/>
            </w:tabs>
          </w:pPr>
          <w:r>
            <w:rPr>
              <w:rFonts w:hint="eastAsia"/>
            </w:rPr>
            <w:fldChar w:fldCharType="begin"/>
          </w:r>
          <w:r>
            <w:rPr>
              <w:rFonts w:hint="eastAsia"/>
            </w:rPr>
            <w:instrText xml:space="preserve"> HYPERLINK \l _Toc28115 </w:instrText>
          </w:r>
          <w:r>
            <w:rPr>
              <w:rFonts w:hint="eastAsia"/>
            </w:rPr>
            <w:fldChar w:fldCharType="separate"/>
          </w:r>
          <w:r>
            <w:rPr>
              <w:rFonts w:hint="eastAsia"/>
            </w:rPr>
            <w:t>七、 附录</w:t>
          </w:r>
          <w:r>
            <w:tab/>
          </w:r>
          <w:r>
            <w:fldChar w:fldCharType="begin"/>
          </w:r>
          <w:r>
            <w:instrText xml:space="preserve"> PAGEREF _Toc28115 \h </w:instrText>
          </w:r>
          <w:r>
            <w:fldChar w:fldCharType="separate"/>
          </w:r>
          <w:r>
            <w:t>10</w:t>
          </w:r>
          <w:r>
            <w:fldChar w:fldCharType="end"/>
          </w:r>
          <w:r>
            <w:rPr>
              <w:rFonts w:hint="eastAsia"/>
            </w:rPr>
            <w:fldChar w:fldCharType="end"/>
          </w:r>
        </w:p>
        <w:p w14:paraId="5168E13C">
          <w:pPr>
            <w:pStyle w:val="17"/>
            <w:tabs>
              <w:tab w:val="right" w:pos="8306"/>
            </w:tabs>
          </w:pPr>
          <w:r>
            <w:rPr>
              <w:rFonts w:hint="eastAsia"/>
            </w:rPr>
            <w:fldChar w:fldCharType="begin"/>
          </w:r>
          <w:r>
            <w:rPr>
              <w:rFonts w:hint="eastAsia"/>
            </w:rPr>
            <w:instrText xml:space="preserve"> HYPERLINK \l _Toc12201 </w:instrText>
          </w:r>
          <w:r>
            <w:rPr>
              <w:rFonts w:hint="eastAsia"/>
            </w:rPr>
            <w:fldChar w:fldCharType="separate"/>
          </w:r>
          <w:r>
            <w:rPr>
              <w:rFonts w:hint="eastAsia"/>
              <w:lang w:val="en-US" w:eastAsia="zh-CN"/>
            </w:rPr>
            <w:t>7</w:t>
          </w:r>
          <w:r>
            <w:rPr>
              <w:rFonts w:hint="eastAsia"/>
            </w:rPr>
            <w:t>.1 二项式定价代码</w:t>
          </w:r>
          <w:r>
            <w:tab/>
          </w:r>
          <w:r>
            <w:fldChar w:fldCharType="begin"/>
          </w:r>
          <w:r>
            <w:instrText xml:space="preserve"> PAGEREF _Toc12201 \h </w:instrText>
          </w:r>
          <w:r>
            <w:fldChar w:fldCharType="separate"/>
          </w:r>
          <w:r>
            <w:t>10</w:t>
          </w:r>
          <w:r>
            <w:fldChar w:fldCharType="end"/>
          </w:r>
          <w:r>
            <w:rPr>
              <w:rFonts w:hint="eastAsia"/>
            </w:rPr>
            <w:fldChar w:fldCharType="end"/>
          </w:r>
        </w:p>
        <w:p w14:paraId="68B2DDD0">
          <w:pPr>
            <w:pStyle w:val="17"/>
            <w:tabs>
              <w:tab w:val="right" w:pos="8306"/>
            </w:tabs>
          </w:pPr>
          <w:r>
            <w:rPr>
              <w:rFonts w:hint="eastAsia"/>
            </w:rPr>
            <w:fldChar w:fldCharType="begin"/>
          </w:r>
          <w:r>
            <w:rPr>
              <w:rFonts w:hint="eastAsia"/>
            </w:rPr>
            <w:instrText xml:space="preserve"> HYPERLINK \l _Toc16693 </w:instrText>
          </w:r>
          <w:r>
            <w:rPr>
              <w:rFonts w:hint="eastAsia"/>
            </w:rPr>
            <w:fldChar w:fldCharType="separate"/>
          </w:r>
          <w:r>
            <w:rPr>
              <w:rFonts w:hint="eastAsia"/>
              <w:lang w:val="en-US" w:eastAsia="zh-CN"/>
            </w:rPr>
            <w:t>7</w:t>
          </w:r>
          <w:r>
            <w:rPr>
              <w:rFonts w:hint="eastAsia"/>
            </w:rPr>
            <w:t>.2 蒙特卡洛模拟定价代码</w:t>
          </w:r>
          <w:r>
            <w:tab/>
          </w:r>
          <w:r>
            <w:fldChar w:fldCharType="begin"/>
          </w:r>
          <w:r>
            <w:instrText xml:space="preserve"> PAGEREF _Toc16693 \h </w:instrText>
          </w:r>
          <w:r>
            <w:fldChar w:fldCharType="separate"/>
          </w:r>
          <w:r>
            <w:t>12</w:t>
          </w:r>
          <w:r>
            <w:fldChar w:fldCharType="end"/>
          </w:r>
          <w:r>
            <w:rPr>
              <w:rFonts w:hint="eastAsia"/>
            </w:rPr>
            <w:fldChar w:fldCharType="end"/>
          </w:r>
        </w:p>
        <w:p w14:paraId="7C2FD762">
          <w:pPr>
            <w:tabs>
              <w:tab w:val="left" w:pos="3597"/>
            </w:tabs>
            <w:jc w:val="left"/>
          </w:pPr>
          <w:r>
            <w:rPr>
              <w:rFonts w:hint="eastAsia"/>
            </w:rPr>
            <w:fldChar w:fldCharType="end"/>
          </w:r>
        </w:p>
      </w:sdtContent>
    </w:sdt>
    <w:p w14:paraId="5266C901">
      <w:pPr>
        <w:tabs>
          <w:tab w:val="left" w:pos="3597"/>
        </w:tabs>
        <w:jc w:val="left"/>
      </w:pPr>
      <w:bookmarkStart w:id="35" w:name="_GoBack"/>
      <w:bookmarkEnd w:id="35"/>
    </w:p>
    <w:p w14:paraId="4C3A15B0">
      <w:pPr>
        <w:tabs>
          <w:tab w:val="left" w:pos="3597"/>
        </w:tabs>
        <w:jc w:val="left"/>
      </w:pPr>
    </w:p>
    <w:p w14:paraId="6B5ED11C">
      <w:pPr>
        <w:pStyle w:val="2"/>
        <w:numPr>
          <w:ilvl w:val="0"/>
          <w:numId w:val="1"/>
        </w:numPr>
      </w:pPr>
      <w:bookmarkStart w:id="0" w:name="_Toc13149"/>
      <w:r>
        <w:rPr>
          <w:rFonts w:hint="eastAsia"/>
        </w:rPr>
        <w:t>引言</w:t>
      </w:r>
      <w:bookmarkEnd w:id="0"/>
    </w:p>
    <w:p w14:paraId="2F8906A6">
      <w:pPr>
        <w:pStyle w:val="3"/>
      </w:pPr>
      <w:bookmarkStart w:id="1" w:name="_Toc6651"/>
      <w:r>
        <w:t xml:space="preserve">1.1 </w:t>
      </w:r>
      <w:r>
        <w:rPr>
          <w:rFonts w:hint="eastAsia"/>
        </w:rPr>
        <w:t>项目背景与衍生品结构</w:t>
      </w:r>
      <w:bookmarkEnd w:id="1"/>
    </w:p>
    <w:p w14:paraId="36D0E24D">
      <w:pPr>
        <w:pStyle w:val="11"/>
        <w:spacing w:line="300" w:lineRule="auto"/>
        <w:ind w:firstLine="420"/>
        <w:rPr>
          <w:rFonts w:ascii="Times New Roman" w:hAnsi="Times New Roman" w:cs="Times New Roman"/>
          <w:kern w:val="2"/>
          <w:sz w:val="24"/>
          <w:lang w:eastAsia="zh-CN"/>
        </w:rPr>
      </w:pPr>
      <w:r>
        <w:rPr>
          <w:rFonts w:hint="eastAsia" w:ascii="Times New Roman" w:hAnsi="Times New Roman" w:cs="Times New Roman"/>
          <w:kern w:val="2"/>
          <w:sz w:val="24"/>
          <w:lang w:eastAsia="zh-CN"/>
        </w:rPr>
        <w:t>期权定价是金融衍生品领域的核心问题。本文关注一个具有两层复杂性的衍生品 X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V</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2</m:t>
            </m:r>
            <m:ctrlPr>
              <w:rPr>
                <w:rFonts w:hint="eastAsia" w:ascii="Cambria Math" w:hAnsi="Cambria Math" w:cs="Times New Roman"/>
                <w:kern w:val="2"/>
                <w:sz w:val="24"/>
                <w:lang w:eastAsia="zh-CN"/>
              </w:rPr>
            </m:ctrlPr>
          </m:sub>
        </m:sSub>
      </m:oMath>
      <w:r>
        <w:rPr>
          <w:rFonts w:hint="eastAsia" w:ascii="Times New Roman" w:hAnsi="Times New Roman" w:cs="Times New Roman"/>
          <w:kern w:val="2"/>
          <w:sz w:val="24"/>
          <w:lang w:eastAsia="zh-CN"/>
        </w:rPr>
        <w:t>)：</w:t>
      </w:r>
    </w:p>
    <w:p w14:paraId="06866F34">
      <w:pPr>
        <w:pStyle w:val="11"/>
        <w:spacing w:line="300" w:lineRule="auto"/>
        <w:ind w:firstLine="420"/>
        <w:rPr>
          <w:rFonts w:ascii="Times New Roman" w:hAnsi="Times New Roman" w:cs="Times New Roman"/>
          <w:kern w:val="2"/>
          <w:sz w:val="24"/>
          <w:lang w:eastAsia="zh-CN"/>
        </w:rPr>
      </w:pPr>
      <w:r>
        <w:rPr>
          <w:rFonts w:hint="eastAsia" w:ascii="Times New Roman" w:hAnsi="Times New Roman" w:cs="Times New Roman"/>
          <w:kern w:val="2"/>
          <w:sz w:val="24"/>
          <w:lang w:eastAsia="zh-CN"/>
        </w:rPr>
        <w:t>内层期权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V</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1</m:t>
            </m:r>
            <m:ctrlPr>
              <w:rPr>
                <w:rFonts w:hint="eastAsia" w:ascii="Cambria Math" w:hAnsi="Cambria Math" w:cs="Times New Roman"/>
                <w:kern w:val="2"/>
                <w:sz w:val="24"/>
                <w:lang w:eastAsia="zh-CN"/>
              </w:rPr>
            </m:ctrlPr>
          </m:sub>
        </m:sSub>
      </m:oMath>
      <w:r>
        <w:rPr>
          <w:rFonts w:hint="eastAsia" w:ascii="Times New Roman" w:hAnsi="Times New Roman" w:cs="Times New Roman"/>
          <w:kern w:val="2"/>
          <w:sz w:val="24"/>
          <w:lang w:eastAsia="zh-CN"/>
        </w:rPr>
        <w:t xml:space="preserve">): 一个以标的资产 </w:t>
      </w:r>
      <m:oMath>
        <m:r>
          <m:rPr>
            <m:sty m:val="p"/>
          </m:rPr>
          <w:rPr>
            <w:rFonts w:hint="eastAsia" w:ascii="Times New Roman" w:hAnsi="Times New Roman" w:cs="Times New Roman"/>
            <w:kern w:val="2"/>
            <w:sz w:val="24"/>
            <w:lang w:eastAsia="zh-CN"/>
          </w:rPr>
          <m:t>S</m:t>
        </m:r>
      </m:oMath>
      <w:r>
        <w:rPr>
          <w:rFonts w:hint="eastAsia" w:ascii="Times New Roman" w:hAnsi="Times New Roman" w:cs="Times New Roman"/>
          <w:kern w:val="2"/>
          <w:sz w:val="24"/>
          <w:lang w:eastAsia="zh-CN"/>
        </w:rPr>
        <w:t xml:space="preserve"> 为基础的奇异看跌期权。其到期日为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T</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V1</m:t>
            </m:r>
            <m:ctrlPr>
              <w:rPr>
                <w:rFonts w:hint="eastAsia" w:ascii="Cambria Math" w:hAnsi="Cambria Math" w:cs="Times New Roman"/>
                <w:kern w:val="2"/>
                <w:sz w:val="24"/>
                <w:lang w:eastAsia="zh-CN"/>
              </w:rPr>
            </m:ctrlPr>
          </m:sub>
        </m:sSub>
      </m:oMath>
      <w:r>
        <w:rPr>
          <w:rFonts w:hint="eastAsia" w:ascii="Times New Roman" w:hAnsi="Times New Roman" w:cs="Times New Roman"/>
          <w:kern w:val="2"/>
          <w:sz w:val="24"/>
          <w:lang w:eastAsia="zh-CN"/>
        </w:rPr>
        <w:t xml:space="preserve">，行权价为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K</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2</m:t>
            </m:r>
            <m:ctrlPr>
              <w:rPr>
                <w:rFonts w:hint="eastAsia" w:ascii="Cambria Math" w:hAnsi="Cambria Math" w:cs="Times New Roman"/>
                <w:kern w:val="2"/>
                <w:sz w:val="24"/>
                <w:lang w:eastAsia="zh-CN"/>
              </w:rPr>
            </m:ctrlPr>
          </m:sub>
        </m:sSub>
      </m:oMath>
      <w:r>
        <w:rPr>
          <w:rFonts w:hint="eastAsia" w:ascii="Times New Roman" w:hAnsi="Times New Roman" w:cs="Times New Roman"/>
          <w:kern w:val="2"/>
          <w:sz w:val="24"/>
          <w:lang w:eastAsia="zh-CN"/>
        </w:rPr>
        <w:t xml:space="preserve">，收益结构为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V</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1</m:t>
            </m:r>
            <m:ctrlPr>
              <w:rPr>
                <w:rFonts w:hint="eastAsia" w:ascii="Cambria Math" w:hAnsi="Cambria Math" w:cs="Times New Roman"/>
                <w:kern w:val="2"/>
                <w:sz w:val="24"/>
                <w:lang w:eastAsia="zh-CN"/>
              </w:rPr>
            </m:ctrlPr>
          </m:sub>
        </m:sSub>
        <m:r>
          <m:rPr>
            <m:sty m:val="p"/>
          </m:rPr>
          <w:rPr>
            <w:rFonts w:hint="eastAsia" w:ascii="Times New Roman" w:hAnsi="Times New Roman" w:cs="Times New Roman"/>
            <w:kern w:val="2"/>
            <w:sz w:val="24"/>
            <w:lang w:eastAsia="zh-CN"/>
          </w:rPr>
          <m:t>(S(</m:t>
        </m:r>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T</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V1</m:t>
            </m:r>
            <m:ctrlPr>
              <w:rPr>
                <w:rFonts w:hint="eastAsia" w:ascii="Cambria Math" w:hAnsi="Cambria Math" w:cs="Times New Roman"/>
                <w:kern w:val="2"/>
                <w:sz w:val="24"/>
                <w:lang w:eastAsia="zh-CN"/>
              </w:rPr>
            </m:ctrlPr>
          </m:sub>
        </m:sSub>
        <m:r>
          <m:rPr>
            <m:sty m:val="p"/>
          </m:rPr>
          <w:rPr>
            <w:rFonts w:hint="eastAsia" w:ascii="Times New Roman" w:hAnsi="Times New Roman" w:cs="Times New Roman"/>
            <w:kern w:val="2"/>
            <w:sz w:val="24"/>
            <w:lang w:eastAsia="zh-CN"/>
          </w:rPr>
          <m:t>))=max{</m:t>
        </m:r>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K</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2</m:t>
            </m:r>
            <m:ctrlPr>
              <w:rPr>
                <w:rFonts w:hint="eastAsia" w:ascii="Cambria Math" w:hAnsi="Cambria Math" w:cs="Times New Roman"/>
                <w:kern w:val="2"/>
                <w:sz w:val="24"/>
                <w:lang w:eastAsia="zh-CN"/>
              </w:rPr>
            </m:ctrlPr>
          </m:sub>
        </m:sSub>
        <m:r>
          <m:rPr>
            <m:sty m:val="p"/>
          </m:rPr>
          <w:rPr>
            <w:rFonts w:hint="eastAsia" w:ascii="Times New Roman" w:hAnsi="Times New Roman" w:cs="Times New Roman"/>
            <w:kern w:val="2"/>
            <w:sz w:val="24"/>
            <w:lang w:eastAsia="zh-CN"/>
          </w:rPr>
          <m:t>−(S(</m:t>
        </m:r>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t</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ex</m:t>
            </m:r>
            <m:ctrlPr>
              <w:rPr>
                <w:rFonts w:hint="eastAsia" w:ascii="Cambria Math" w:hAnsi="Cambria Math" w:cs="Times New Roman"/>
                <w:kern w:val="2"/>
                <w:sz w:val="24"/>
                <w:lang w:eastAsia="zh-CN"/>
              </w:rPr>
            </m:ctrlPr>
          </m:sub>
        </m:sSub>
        <m:r>
          <m:rPr>
            <m:sty m:val="p"/>
          </m:rPr>
          <w:rPr>
            <w:rFonts w:hint="eastAsia" w:ascii="Times New Roman" w:hAnsi="Times New Roman" w:cs="Times New Roman"/>
            <w:kern w:val="2"/>
            <w:sz w:val="24"/>
            <w:lang w:eastAsia="zh-CN"/>
          </w:rPr>
          <m:t>)</m:t>
        </m:r>
        <m:sSup>
          <m:sSupPr>
            <m:ctrlPr>
              <w:rPr>
                <w:rFonts w:hint="eastAsia" w:ascii="Cambria Math" w:hAnsi="Cambria Math" w:cs="Times New Roman"/>
                <w:kern w:val="2"/>
                <w:sz w:val="24"/>
                <w:lang w:eastAsia="zh-CN"/>
              </w:rPr>
            </m:ctrlPr>
          </m:sSupPr>
          <m:e>
            <m:r>
              <m:rPr>
                <m:sty m:val="p"/>
              </m:rPr>
              <w:rPr>
                <w:rFonts w:hint="eastAsia" w:ascii="Times New Roman" w:hAnsi="Times New Roman" w:cs="Times New Roman"/>
                <w:kern w:val="2"/>
                <w:sz w:val="24"/>
                <w:lang w:eastAsia="zh-CN"/>
              </w:rPr>
              <m:t>)</m:t>
            </m:r>
            <m:ctrlPr>
              <w:rPr>
                <w:rFonts w:hint="eastAsia" w:ascii="Cambria Math" w:hAnsi="Cambria Math" w:cs="Times New Roman"/>
                <w:kern w:val="2"/>
                <w:sz w:val="24"/>
                <w:lang w:eastAsia="zh-CN"/>
              </w:rPr>
            </m:ctrlPr>
          </m:e>
          <m:sup>
            <m:r>
              <m:rPr>
                <m:sty m:val="p"/>
              </m:rPr>
              <w:rPr>
                <w:rFonts w:hint="eastAsia" w:ascii="Times New Roman" w:hAnsi="Times New Roman" w:cs="Times New Roman"/>
                <w:kern w:val="2"/>
                <w:sz w:val="24"/>
                <w:lang w:eastAsia="zh-CN"/>
              </w:rPr>
              <m:t>3/2</m:t>
            </m:r>
            <m:ctrlPr>
              <w:rPr>
                <w:rFonts w:hint="eastAsia" w:ascii="Cambria Math" w:hAnsi="Cambria Math" w:cs="Times New Roman"/>
                <w:kern w:val="2"/>
                <w:sz w:val="24"/>
                <w:lang w:eastAsia="zh-CN"/>
              </w:rPr>
            </m:ctrlPr>
          </m:sup>
        </m:sSup>
        <m:r>
          <m:rPr>
            <m:sty m:val="p"/>
          </m:rPr>
          <w:rPr>
            <w:rFonts w:hint="eastAsia" w:ascii="Times New Roman" w:hAnsi="Times New Roman" w:cs="Times New Roman"/>
            <w:kern w:val="2"/>
            <w:sz w:val="24"/>
            <w:lang w:eastAsia="zh-CN"/>
          </w:rPr>
          <m:t>,0}</m:t>
        </m:r>
      </m:oMath>
      <w:r>
        <w:rPr>
          <w:rFonts w:hint="eastAsia" w:ascii="Times New Roman" w:hAnsi="Times New Roman" w:cs="Times New Roman"/>
          <w:kern w:val="2"/>
          <w:sz w:val="24"/>
          <w:lang w:eastAsia="zh-CN"/>
        </w:rPr>
        <w:t xml:space="preserve">，其中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t</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ex</m:t>
            </m:r>
            <m:ctrlPr>
              <w:rPr>
                <w:rFonts w:hint="eastAsia" w:ascii="Cambria Math" w:hAnsi="Cambria Math" w:cs="Times New Roman"/>
                <w:kern w:val="2"/>
                <w:sz w:val="24"/>
                <w:lang w:eastAsia="zh-CN"/>
              </w:rPr>
            </m:ctrlPr>
          </m:sub>
        </m:sSub>
        <m:r>
          <m:rPr>
            <m:sty m:val="p"/>
          </m:rPr>
          <w:rPr>
            <w:rFonts w:hint="eastAsia" w:ascii="Times New Roman" w:hAnsi="Times New Roman" w:cs="Times New Roman"/>
            <w:kern w:val="2"/>
            <w:sz w:val="24"/>
            <w:lang w:eastAsia="zh-CN"/>
          </w:rPr>
          <m:t>=</m:t>
        </m:r>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T</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V1</m:t>
            </m:r>
            <m:ctrlPr>
              <w:rPr>
                <w:rFonts w:hint="eastAsia" w:ascii="Cambria Math" w:hAnsi="Cambria Math" w:cs="Times New Roman"/>
                <w:kern w:val="2"/>
                <w:sz w:val="24"/>
                <w:lang w:eastAsia="zh-CN"/>
              </w:rPr>
            </m:ctrlPr>
          </m:sub>
        </m:sSub>
      </m:oMath>
      <w:r>
        <w:rPr>
          <w:rFonts w:hint="eastAsia" w:ascii="Times New Roman" w:hAnsi="Times New Roman" w:cs="Times New Roman"/>
          <w:kern w:val="2"/>
          <w:sz w:val="24"/>
          <w:lang w:eastAsia="zh-CN"/>
        </w:rPr>
        <w:t xml:space="preserve">（欧式）或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t</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ex</m:t>
            </m:r>
            <m:ctrlPr>
              <w:rPr>
                <w:rFonts w:hint="eastAsia" w:ascii="Cambria Math" w:hAnsi="Cambria Math" w:cs="Times New Roman"/>
                <w:kern w:val="2"/>
                <w:sz w:val="24"/>
                <w:lang w:eastAsia="zh-CN"/>
              </w:rPr>
            </m:ctrlPr>
          </m:sub>
        </m:sSub>
        <m:r>
          <m:rPr>
            <m:sty m:val="p"/>
          </m:rPr>
          <w:rPr>
            <w:rFonts w:hint="eastAsia" w:ascii="Times New Roman" w:hAnsi="Times New Roman" w:cs="Times New Roman"/>
            <w:kern w:val="2"/>
            <w:sz w:val="24"/>
            <w:lang w:eastAsia="zh-CN"/>
          </w:rPr>
          <m:t>≤</m:t>
        </m:r>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T</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V1</m:t>
            </m:r>
            <m:ctrlPr>
              <w:rPr>
                <w:rFonts w:hint="eastAsia" w:ascii="Cambria Math" w:hAnsi="Cambria Math" w:cs="Times New Roman"/>
                <w:kern w:val="2"/>
                <w:sz w:val="24"/>
                <w:lang w:eastAsia="zh-CN"/>
              </w:rPr>
            </m:ctrlPr>
          </m:sub>
        </m:sSub>
      </m:oMath>
      <w:r>
        <w:rPr>
          <w:rFonts w:hint="eastAsia" w:ascii="Times New Roman" w:hAnsi="Times New Roman" w:cs="Times New Roman"/>
          <w:kern w:val="2"/>
          <w:sz w:val="24"/>
          <w:lang w:eastAsia="zh-CN"/>
        </w:rPr>
        <w:t xml:space="preserve">（美式）。收益中的幂函数 </w:t>
      </w:r>
      <m:oMath>
        <m:sSup>
          <m:sSupPr>
            <m:ctrlPr>
              <w:rPr>
                <w:rFonts w:hint="eastAsia" w:ascii="Cambria Math" w:hAnsi="Cambria Math" w:cs="Times New Roman"/>
                <w:kern w:val="2"/>
                <w:sz w:val="24"/>
                <w:lang w:eastAsia="zh-CN"/>
              </w:rPr>
            </m:ctrlPr>
          </m:sSupPr>
          <m:e>
            <m:r>
              <m:rPr>
                <m:sty m:val="p"/>
              </m:rPr>
              <w:rPr>
                <w:rFonts w:hint="eastAsia" w:ascii="Times New Roman" w:hAnsi="Times New Roman" w:cs="Times New Roman"/>
                <w:kern w:val="2"/>
                <w:sz w:val="24"/>
                <w:lang w:eastAsia="zh-CN"/>
              </w:rPr>
              <m:t>S</m:t>
            </m:r>
            <m:ctrlPr>
              <w:rPr>
                <w:rFonts w:hint="eastAsia" w:ascii="Cambria Math" w:hAnsi="Cambria Math" w:cs="Times New Roman"/>
                <w:kern w:val="2"/>
                <w:sz w:val="24"/>
                <w:lang w:eastAsia="zh-CN"/>
              </w:rPr>
            </m:ctrlPr>
          </m:e>
          <m:sup>
            <m:r>
              <m:rPr>
                <m:sty m:val="p"/>
              </m:rPr>
              <w:rPr>
                <w:rFonts w:hint="eastAsia" w:ascii="Times New Roman" w:hAnsi="Times New Roman" w:cs="Times New Roman"/>
                <w:kern w:val="2"/>
                <w:sz w:val="24"/>
                <w:lang w:eastAsia="zh-CN"/>
              </w:rPr>
              <m:t>3/2</m:t>
            </m:r>
            <m:ctrlPr>
              <w:rPr>
                <w:rFonts w:hint="eastAsia" w:ascii="Cambria Math" w:hAnsi="Cambria Math" w:cs="Times New Roman"/>
                <w:kern w:val="2"/>
                <w:sz w:val="24"/>
                <w:lang w:eastAsia="zh-CN"/>
              </w:rPr>
            </m:ctrlPr>
          </m:sup>
        </m:sSup>
      </m:oMath>
      <w:r>
        <w:rPr>
          <w:rFonts w:hint="eastAsia" w:ascii="Times New Roman" w:hAnsi="Times New Roman" w:cs="Times New Roman"/>
          <w:kern w:val="2"/>
          <w:sz w:val="24"/>
          <w:lang w:eastAsia="zh-CN"/>
        </w:rPr>
        <w:t xml:space="preserve"> 引入了奇异特征。</w:t>
      </w:r>
    </w:p>
    <w:p w14:paraId="6E64DF73">
      <w:pPr>
        <w:pStyle w:val="11"/>
        <w:spacing w:line="300" w:lineRule="auto"/>
        <w:ind w:firstLine="420"/>
        <w:rPr>
          <w:rFonts w:ascii="Times New Roman" w:hAnsi="Times New Roman" w:cs="Times New Roman"/>
          <w:kern w:val="2"/>
          <w:sz w:val="24"/>
          <w:lang w:eastAsia="zh-CN"/>
        </w:rPr>
      </w:pPr>
      <w:r>
        <w:rPr>
          <w:rFonts w:hint="eastAsia" w:ascii="Times New Roman" w:hAnsi="Times New Roman" w:cs="Times New Roman"/>
          <w:kern w:val="2"/>
          <w:sz w:val="24"/>
          <w:lang w:eastAsia="zh-CN"/>
        </w:rPr>
        <w:t>外层期权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V</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2</m:t>
            </m:r>
            <m:ctrlPr>
              <w:rPr>
                <w:rFonts w:hint="eastAsia" w:ascii="Cambria Math" w:hAnsi="Cambria Math" w:cs="Times New Roman"/>
                <w:kern w:val="2"/>
                <w:sz w:val="24"/>
                <w:lang w:eastAsia="zh-CN"/>
              </w:rPr>
            </m:ctrlPr>
          </m:sub>
        </m:sSub>
      </m:oMath>
      <w:r>
        <w:rPr>
          <w:rFonts w:hint="eastAsia" w:ascii="Times New Roman" w:hAnsi="Times New Roman" w:cs="Times New Roman"/>
          <w:kern w:val="2"/>
          <w:sz w:val="24"/>
          <w:lang w:eastAsia="zh-CN"/>
        </w:rPr>
        <w:t xml:space="preserve">): 一个以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V</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1</m:t>
            </m:r>
            <m:ctrlPr>
              <w:rPr>
                <w:rFonts w:hint="eastAsia" w:ascii="Cambria Math" w:hAnsi="Cambria Math" w:cs="Times New Roman"/>
                <w:kern w:val="2"/>
                <w:sz w:val="24"/>
                <w:lang w:eastAsia="zh-CN"/>
              </w:rPr>
            </m:ctrlPr>
          </m:sub>
        </m:sSub>
      </m:oMath>
      <w:r>
        <w:rPr>
          <w:rFonts w:hint="eastAsia" w:ascii="Times New Roman" w:hAnsi="Times New Roman" w:cs="Times New Roman"/>
          <w:kern w:val="2"/>
          <w:sz w:val="24"/>
          <w:lang w:eastAsia="zh-CN"/>
        </w:rPr>
        <w:t xml:space="preserve"> 作为标的资产的欧式期权。其到期日为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T</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V2</m:t>
            </m:r>
            <m:ctrlPr>
              <w:rPr>
                <w:rFonts w:hint="eastAsia" w:ascii="Cambria Math" w:hAnsi="Cambria Math" w:cs="Times New Roman"/>
                <w:kern w:val="2"/>
                <w:sz w:val="24"/>
                <w:lang w:eastAsia="zh-CN"/>
              </w:rPr>
            </m:ctrlPr>
          </m:sub>
        </m:sSub>
      </m:oMath>
      <w:r>
        <w:rPr>
          <w:rFonts w:hint="eastAsia" w:ascii="Times New Roman" w:hAnsi="Times New Roman" w:cs="Times New Roman"/>
          <w:kern w:val="2"/>
          <w:sz w:val="24"/>
          <w:lang w:eastAsia="zh-CN"/>
        </w:rPr>
        <w:t xml:space="preserve">，行权价为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K</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1</m:t>
            </m:r>
            <m:ctrlPr>
              <w:rPr>
                <w:rFonts w:hint="eastAsia" w:ascii="Cambria Math" w:hAnsi="Cambria Math" w:cs="Times New Roman"/>
                <w:kern w:val="2"/>
                <w:sz w:val="24"/>
                <w:lang w:eastAsia="zh-CN"/>
              </w:rPr>
            </m:ctrlPr>
          </m:sub>
        </m:sSub>
      </m:oMath>
      <w:r>
        <w:rPr>
          <w:rFonts w:hint="eastAsia" w:ascii="Times New Roman" w:hAnsi="Times New Roman" w:cs="Times New Roman"/>
          <w:kern w:val="2"/>
          <w:sz w:val="24"/>
          <w:lang w:eastAsia="zh-CN"/>
        </w:rPr>
        <w:t xml:space="preserve">，收益为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V</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2</m:t>
            </m:r>
            <m:ctrlPr>
              <w:rPr>
                <w:rFonts w:hint="eastAsia" w:ascii="Cambria Math" w:hAnsi="Cambria Math" w:cs="Times New Roman"/>
                <w:kern w:val="2"/>
                <w:sz w:val="24"/>
                <w:lang w:eastAsia="zh-CN"/>
              </w:rPr>
            </m:ctrlPr>
          </m:sub>
        </m:sSub>
        <m:r>
          <m:rPr>
            <m:sty m:val="p"/>
          </m:rPr>
          <w:rPr>
            <w:rFonts w:hint="eastAsia" w:ascii="Times New Roman" w:hAnsi="Times New Roman" w:cs="Times New Roman"/>
            <w:kern w:val="2"/>
            <w:sz w:val="24"/>
            <w:lang w:eastAsia="zh-CN"/>
          </w:rPr>
          <m:t>=max{</m:t>
        </m:r>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N</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1</m:t>
            </m:r>
            <m:ctrlPr>
              <w:rPr>
                <w:rFonts w:hint="eastAsia" w:ascii="Cambria Math" w:hAnsi="Cambria Math" w:cs="Times New Roman"/>
                <w:kern w:val="2"/>
                <w:sz w:val="24"/>
                <w:lang w:eastAsia="zh-CN"/>
              </w:rPr>
            </m:ctrlPr>
          </m:sub>
        </m:sSub>
        <m:r>
          <m:rPr>
            <m:sty m:val="p"/>
          </m:rPr>
          <w:rPr>
            <w:rFonts w:hint="eastAsia" w:ascii="Times New Roman" w:hAnsi="Times New Roman" w:cs="Times New Roman"/>
            <w:kern w:val="2"/>
            <w:sz w:val="24"/>
            <w:lang w:eastAsia="zh-CN"/>
          </w:rPr>
          <m:t>(</m:t>
        </m:r>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V</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1</m:t>
            </m:r>
            <m:ctrlPr>
              <w:rPr>
                <w:rFonts w:hint="eastAsia" w:ascii="Cambria Math" w:hAnsi="Cambria Math" w:cs="Times New Roman"/>
                <w:kern w:val="2"/>
                <w:sz w:val="24"/>
                <w:lang w:eastAsia="zh-CN"/>
              </w:rPr>
            </m:ctrlPr>
          </m:sub>
        </m:sSub>
        <m:r>
          <m:rPr>
            <m:sty m:val="p"/>
          </m:rPr>
          <w:rPr>
            <w:rFonts w:hint="eastAsia" w:ascii="Times New Roman" w:hAnsi="Times New Roman" w:cs="Times New Roman"/>
            <w:kern w:val="2"/>
            <w:sz w:val="24"/>
            <w:lang w:eastAsia="zh-CN"/>
          </w:rPr>
          <m:t>(</m:t>
        </m:r>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T</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V2</m:t>
            </m:r>
            <m:ctrlPr>
              <w:rPr>
                <w:rFonts w:hint="eastAsia" w:ascii="Cambria Math" w:hAnsi="Cambria Math" w:cs="Times New Roman"/>
                <w:kern w:val="2"/>
                <w:sz w:val="24"/>
                <w:lang w:eastAsia="zh-CN"/>
              </w:rPr>
            </m:ctrlPr>
          </m:sub>
        </m:sSub>
        <m:r>
          <m:rPr>
            <m:sty m:val="p"/>
          </m:rPr>
          <w:rPr>
            <w:rFonts w:hint="eastAsia" w:ascii="Times New Roman" w:hAnsi="Times New Roman" w:cs="Times New Roman"/>
            <w:kern w:val="2"/>
            <w:sz w:val="24"/>
            <w:lang w:eastAsia="zh-CN"/>
          </w:rPr>
          <m:t>,⋅,⋅)−</m:t>
        </m:r>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K</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1</m:t>
            </m:r>
            <m:ctrlPr>
              <w:rPr>
                <w:rFonts w:hint="eastAsia" w:ascii="Cambria Math" w:hAnsi="Cambria Math" w:cs="Times New Roman"/>
                <w:kern w:val="2"/>
                <w:sz w:val="24"/>
                <w:lang w:eastAsia="zh-CN"/>
              </w:rPr>
            </m:ctrlPr>
          </m:sub>
        </m:sSub>
        <m:r>
          <m:rPr>
            <m:sty m:val="p"/>
          </m:rPr>
          <w:rPr>
            <w:rFonts w:hint="eastAsia" w:ascii="Times New Roman" w:hAnsi="Times New Roman" w:cs="Times New Roman"/>
            <w:kern w:val="2"/>
            <w:sz w:val="24"/>
            <w:lang w:eastAsia="zh-CN"/>
          </w:rPr>
          <m:t>),0}</m:t>
        </m:r>
      </m:oMath>
      <w:r>
        <w:rPr>
          <w:rFonts w:hint="eastAsia" w:ascii="Times New Roman" w:hAnsi="Times New Roman" w:cs="Times New Roman"/>
          <w:kern w:val="2"/>
          <w:sz w:val="24"/>
          <w:lang w:eastAsia="zh-CN"/>
        </w:rPr>
        <w:t xml:space="preserve">。本项目旨在为这一复杂的复合奇异期权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V</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2</m:t>
            </m:r>
            <m:ctrlPr>
              <w:rPr>
                <w:rFonts w:hint="eastAsia" w:ascii="Cambria Math" w:hAnsi="Cambria Math" w:cs="Times New Roman"/>
                <w:kern w:val="2"/>
                <w:sz w:val="24"/>
                <w:lang w:eastAsia="zh-CN"/>
              </w:rPr>
            </m:ctrlPr>
          </m:sub>
        </m:sSub>
      </m:oMath>
      <w:r>
        <w:rPr>
          <w:rFonts w:hint="eastAsia" w:ascii="Times New Roman" w:hAnsi="Times New Roman" w:cs="Times New Roman"/>
          <w:kern w:val="2"/>
          <w:sz w:val="24"/>
          <w:lang w:eastAsia="zh-CN"/>
        </w:rPr>
        <w:t xml:space="preserve"> 在当前时间 </w:t>
      </w:r>
      <m:oMath>
        <m:r>
          <m:rPr>
            <m:sty m:val="p"/>
          </m:rPr>
          <w:rPr>
            <w:rFonts w:hint="eastAsia" w:ascii="Times New Roman" w:hAnsi="Times New Roman" w:cs="Times New Roman"/>
            <w:kern w:val="2"/>
            <w:sz w:val="24"/>
            <w:lang w:eastAsia="zh-CN"/>
          </w:rPr>
          <m:t>t</m:t>
        </m:r>
      </m:oMath>
      <w:r>
        <w:rPr>
          <w:rFonts w:hint="eastAsia" w:ascii="Times New Roman" w:hAnsi="Times New Roman" w:cs="Times New Roman"/>
          <w:kern w:val="2"/>
          <w:sz w:val="24"/>
          <w:lang w:eastAsia="zh-CN"/>
        </w:rPr>
        <w:t xml:space="preserve"> 进行定价。</w:t>
      </w:r>
    </w:p>
    <w:p w14:paraId="2EDD3C82">
      <w:pPr>
        <w:pStyle w:val="3"/>
      </w:pPr>
      <w:bookmarkStart w:id="2" w:name="_Toc30557"/>
      <w:r>
        <w:t xml:space="preserve">1.2 </w:t>
      </w:r>
      <w:r>
        <w:rPr>
          <w:rFonts w:hint="eastAsia"/>
        </w:rPr>
        <w:t>定价方法概述</w:t>
      </w:r>
      <w:bookmarkEnd w:id="2"/>
    </w:p>
    <w:p w14:paraId="78671945">
      <w:pPr>
        <w:pStyle w:val="11"/>
        <w:spacing w:line="300" w:lineRule="auto"/>
        <w:ind w:firstLine="420"/>
        <w:rPr>
          <w:rFonts w:ascii="Times New Roman" w:hAnsi="Times New Roman" w:cs="Times New Roman"/>
          <w:kern w:val="2"/>
          <w:sz w:val="24"/>
          <w:lang w:eastAsia="zh-CN"/>
        </w:rPr>
      </w:pPr>
      <w:r>
        <w:rPr>
          <w:rFonts w:hint="eastAsia" w:ascii="Times New Roman" w:hAnsi="Times New Roman" w:cs="Times New Roman"/>
          <w:kern w:val="2"/>
          <w:sz w:val="24"/>
          <w:lang w:eastAsia="zh-CN"/>
        </w:rPr>
        <w:t>由于衍生品 X 涉及奇异收益和复合结构，传统的 Black-Scholes 模型不再适用。本项目采用两种数值方法进行定价：</w:t>
      </w:r>
    </w:p>
    <w:p w14:paraId="2641684D">
      <w:pPr>
        <w:pStyle w:val="11"/>
        <w:spacing w:line="300" w:lineRule="auto"/>
        <w:ind w:firstLine="420"/>
        <w:rPr>
          <w:rFonts w:ascii="Times New Roman" w:hAnsi="Times New Roman" w:cs="Times New Roman"/>
          <w:kern w:val="2"/>
          <w:sz w:val="24"/>
          <w:lang w:eastAsia="zh-CN"/>
        </w:rPr>
      </w:pPr>
      <w:r>
        <w:rPr>
          <w:rFonts w:hint="eastAsia" w:ascii="Times New Roman" w:hAnsi="Times New Roman" w:cs="Times New Roman"/>
          <w:kern w:val="2"/>
          <w:sz w:val="24"/>
          <w:lang w:eastAsia="zh-CN"/>
        </w:rPr>
        <w:t>二项式定价模型 (Binomial Model)：基于离散时间步长，采用风险中性定价原理，通过回溯计算期权价值。</w:t>
      </w:r>
    </w:p>
    <w:p w14:paraId="364B0BBE">
      <w:pPr>
        <w:pStyle w:val="11"/>
        <w:spacing w:line="300" w:lineRule="auto"/>
        <w:ind w:firstLine="420"/>
        <w:rPr>
          <w:rFonts w:ascii="Times New Roman" w:hAnsi="Times New Roman" w:cs="Times New Roman"/>
          <w:kern w:val="2"/>
          <w:sz w:val="24"/>
          <w:lang w:eastAsia="zh-CN"/>
        </w:rPr>
      </w:pPr>
      <w:r>
        <w:rPr>
          <w:rFonts w:hint="eastAsia" w:ascii="Times New Roman" w:hAnsi="Times New Roman" w:cs="Times New Roman"/>
          <w:kern w:val="2"/>
          <w:sz w:val="24"/>
          <w:lang w:eastAsia="zh-CN"/>
        </w:rPr>
        <w:t xml:space="preserve">蒙特卡洛模拟 (Monte Carlo Simulation, MCS)：通过大量路径模拟标的资产价格，计算期权收益的期望值，并折现。对于内层美式期权 </w:t>
      </w:r>
      <m:oMath>
        <m:sSub>
          <m:sSubPr>
            <m:ctrlPr>
              <w:rPr>
                <w:rFonts w:hint="eastAsia" w:ascii="Cambria Math" w:hAnsi="Cambria Math" w:cs="Times New Roman"/>
                <w:kern w:val="2"/>
                <w:sz w:val="24"/>
                <w:lang w:eastAsia="zh-CN"/>
              </w:rPr>
            </m:ctrlPr>
          </m:sSubPr>
          <m:e>
            <m:r>
              <m:rPr>
                <m:sty m:val="p"/>
              </m:rPr>
              <w:rPr>
                <w:rFonts w:hint="eastAsia" w:ascii="Times New Roman" w:hAnsi="Times New Roman" w:cs="Times New Roman"/>
                <w:kern w:val="2"/>
                <w:sz w:val="24"/>
                <w:lang w:eastAsia="zh-CN"/>
              </w:rPr>
              <m:t>V</m:t>
            </m:r>
            <m:ctrlPr>
              <w:rPr>
                <w:rFonts w:hint="eastAsia" w:ascii="Cambria Math" w:hAnsi="Cambria Math" w:cs="Times New Roman"/>
                <w:kern w:val="2"/>
                <w:sz w:val="24"/>
                <w:lang w:eastAsia="zh-CN"/>
              </w:rPr>
            </m:ctrlPr>
          </m:e>
          <m:sub>
            <m:r>
              <m:rPr>
                <m:sty m:val="p"/>
              </m:rPr>
              <w:rPr>
                <w:rFonts w:hint="eastAsia" w:ascii="Times New Roman" w:hAnsi="Times New Roman" w:cs="Times New Roman"/>
                <w:kern w:val="2"/>
                <w:sz w:val="24"/>
                <w:lang w:eastAsia="zh-CN"/>
              </w:rPr>
              <m:t>1</m:t>
            </m:r>
            <m:ctrlPr>
              <w:rPr>
                <w:rFonts w:hint="eastAsia" w:ascii="Cambria Math" w:hAnsi="Cambria Math" w:cs="Times New Roman"/>
                <w:kern w:val="2"/>
                <w:sz w:val="24"/>
                <w:lang w:eastAsia="zh-CN"/>
              </w:rPr>
            </m:ctrlPr>
          </m:sub>
        </m:sSub>
      </m:oMath>
      <w:r>
        <w:rPr>
          <w:rFonts w:hint="eastAsia" w:ascii="Times New Roman" w:hAnsi="Times New Roman" w:cs="Times New Roman"/>
          <w:kern w:val="2"/>
          <w:sz w:val="24"/>
          <w:lang w:eastAsia="zh-CN"/>
        </w:rPr>
        <w:t>，结合了 Longstaff-Schwartz (LSM) 方法处理提前行权的优化问题。</w:t>
      </w:r>
    </w:p>
    <w:p w14:paraId="780E5395">
      <w:pPr>
        <w:pStyle w:val="3"/>
      </w:pPr>
      <w:bookmarkStart w:id="3" w:name="_Toc3001"/>
      <w:r>
        <w:rPr>
          <w:rFonts w:hint="eastAsia"/>
        </w:rPr>
        <w:t>1.3 本文定价前提假设</w:t>
      </w:r>
      <w:bookmarkEnd w:id="3"/>
    </w:p>
    <w:p w14:paraId="58A979FB">
      <w:pPr>
        <w:pStyle w:val="11"/>
        <w:spacing w:line="300" w:lineRule="auto"/>
        <w:ind w:firstLine="420"/>
        <w:rPr>
          <w:rFonts w:hint="eastAsia"/>
          <w:snapToGrid/>
          <w:color w:val="auto"/>
          <w:kern w:val="2"/>
          <w:sz w:val="24"/>
          <w:szCs w:val="24"/>
          <w:lang w:eastAsia="zh-CN"/>
        </w:rPr>
      </w:pPr>
      <w:r>
        <w:rPr>
          <w:rFonts w:hint="eastAsia"/>
          <w:snapToGrid/>
          <w:color w:val="auto"/>
          <w:kern w:val="2"/>
          <w:sz w:val="24"/>
          <w:szCs w:val="24"/>
          <w:lang w:eastAsia="zh-CN"/>
        </w:rPr>
        <w:t xml:space="preserve">标的资产 </w:t>
      </w:r>
      <m:oMath>
        <m:r>
          <m:rPr>
            <m:sty m:val="p"/>
          </m:rPr>
          <w:rPr>
            <w:rFonts w:hint="eastAsia" w:ascii="Cambria Math" w:hAnsi="Cambria Math"/>
            <w:snapToGrid/>
            <w:color w:val="auto"/>
            <w:kern w:val="2"/>
            <w:sz w:val="24"/>
            <w:szCs w:val="24"/>
            <w:lang w:eastAsia="zh-CN"/>
          </w:rPr>
          <m:t>S</m:t>
        </m:r>
      </m:oMath>
      <w:r>
        <w:rPr>
          <w:rFonts w:hint="eastAsia"/>
          <w:snapToGrid/>
          <w:color w:val="auto"/>
          <w:kern w:val="2"/>
          <w:sz w:val="24"/>
          <w:szCs w:val="24"/>
          <w:lang w:eastAsia="zh-CN"/>
        </w:rPr>
        <w:t xml:space="preserve"> 的价格服从几何布朗运动 (Geometric Brownian Motion, GBM)</w:t>
      </w:r>
    </w:p>
    <w:p w14:paraId="78B97FF3">
      <w:pPr>
        <w:pStyle w:val="11"/>
        <w:spacing w:line="300" w:lineRule="auto"/>
        <w:ind w:firstLine="420"/>
        <w:rPr>
          <w:rFonts w:hint="eastAsia"/>
          <w:snapToGrid/>
          <w:color w:val="auto"/>
          <w:kern w:val="2"/>
          <w:sz w:val="24"/>
          <w:szCs w:val="24"/>
          <w:lang w:eastAsia="zh-CN"/>
        </w:rPr>
      </w:pPr>
      <w:r>
        <w:rPr>
          <w:rFonts w:hint="eastAsia"/>
          <w:snapToGrid/>
          <w:color w:val="auto"/>
          <w:kern w:val="2"/>
          <w:sz w:val="24"/>
          <w:szCs w:val="24"/>
          <w:lang w:eastAsia="zh-CN"/>
        </w:rPr>
        <w:t>市场是无摩擦的（无交易成本、税收），且连续交易</w:t>
      </w:r>
    </w:p>
    <w:p w14:paraId="7F6E9173">
      <w:pPr>
        <w:pStyle w:val="11"/>
        <w:spacing w:line="300" w:lineRule="auto"/>
        <w:ind w:firstLine="420"/>
        <w:rPr>
          <w:rFonts w:hint="eastAsia"/>
          <w:snapToGrid/>
          <w:color w:val="auto"/>
          <w:kern w:val="2"/>
          <w:sz w:val="24"/>
          <w:szCs w:val="24"/>
          <w:lang w:eastAsia="zh-CN"/>
        </w:rPr>
      </w:pPr>
      <w:r>
        <w:rPr>
          <w:rFonts w:hint="eastAsia"/>
          <w:snapToGrid/>
          <w:color w:val="auto"/>
          <w:kern w:val="2"/>
          <w:sz w:val="24"/>
          <w:szCs w:val="24"/>
          <w:lang w:eastAsia="zh-CN"/>
        </w:rPr>
        <w:t>无套利机会存在</w:t>
      </w:r>
    </w:p>
    <w:p w14:paraId="4FCED280"/>
    <w:p w14:paraId="4C6E5DBA">
      <w:pPr>
        <w:pStyle w:val="2"/>
        <w:numPr>
          <w:ilvl w:val="0"/>
          <w:numId w:val="1"/>
        </w:numPr>
      </w:pPr>
      <w:bookmarkStart w:id="4" w:name="_Toc26769"/>
      <w:r>
        <w:rPr>
          <w:rFonts w:hint="eastAsia"/>
        </w:rPr>
        <w:t>标的资产</w:t>
      </w:r>
      <w:bookmarkEnd w:id="4"/>
    </w:p>
    <w:p w14:paraId="410E919F">
      <w:pPr>
        <w:pStyle w:val="3"/>
      </w:pPr>
      <w:bookmarkStart w:id="5" w:name="_Toc26100"/>
      <w:r>
        <w:rPr>
          <w:rFonts w:hint="eastAsia"/>
        </w:rPr>
        <w:t>2.1 标的资产介绍</w:t>
      </w:r>
      <w:bookmarkEnd w:id="5"/>
    </w:p>
    <w:p w14:paraId="66F54D90">
      <w:pPr>
        <w:ind w:firstLine="420"/>
      </w:pPr>
      <w:r>
        <w:rPr>
          <w:rFonts w:ascii="宋体" w:hAnsi="宋体" w:cs="宋体"/>
          <w:szCs w:val="24"/>
        </w:rPr>
        <w:t>本文选取腾讯控股有限公司（Tencent Holdings Limited, 股票代码：0700.HK）作为期权定价研究的标的资产。在市场特性方面，港股市场进行 T+0 回转交易，不设涨跌幅限制，日内价格波动更能反映投资者对新信息的即时反应</w:t>
      </w:r>
      <w:r>
        <w:rPr>
          <w:rFonts w:hint="eastAsia" w:ascii="宋体" w:hAnsi="宋体" w:cs="宋体"/>
          <w:szCs w:val="24"/>
        </w:rPr>
        <w:t>，</w:t>
      </w:r>
      <w:r>
        <w:rPr>
          <w:rFonts w:ascii="宋体" w:hAnsi="宋体" w:cs="宋体"/>
          <w:szCs w:val="24"/>
        </w:rPr>
        <w:t>这一特点使其适合作为期权定价与波动率研究的标的资产。在分红政策方面，腾讯实行定期派息，其股息率相对温和但具有稳定性。因此，在构建欧式期权定价模型时，</w:t>
      </w:r>
      <w:r>
        <w:rPr>
          <w:rFonts w:hint="eastAsia" w:ascii="宋体" w:hAnsi="宋体" w:cs="宋体"/>
          <w:szCs w:val="24"/>
        </w:rPr>
        <w:t>需</w:t>
      </w:r>
      <w:r>
        <w:rPr>
          <w:rFonts w:ascii="宋体" w:hAnsi="宋体" w:cs="宋体"/>
          <w:szCs w:val="24"/>
        </w:rPr>
        <w:t>将股息收益率纳入贴现与漂移项的处理之中，以保证定价的准确性。</w:t>
      </w:r>
    </w:p>
    <w:p w14:paraId="6BAD6E1E">
      <w:pPr>
        <w:pStyle w:val="3"/>
      </w:pPr>
      <w:bookmarkStart w:id="6" w:name="_Toc19708"/>
      <w:r>
        <w:rPr>
          <w:rFonts w:hint="eastAsia"/>
        </w:rPr>
        <w:t>2.2 历史波动率</w:t>
      </w:r>
      <w:bookmarkEnd w:id="6"/>
    </w:p>
    <w:p w14:paraId="776668CF">
      <w:pPr>
        <w:ind w:firstLine="420"/>
        <w:rPr>
          <w:rFonts w:hAnsi="Cambria Math"/>
        </w:rPr>
      </w:pPr>
      <w:r>
        <w:rPr>
          <w:rFonts w:hint="eastAsia"/>
        </w:rPr>
        <w:t>股票的波动率</w:t>
      </w:r>
      <m:oMath>
        <m:r>
          <m:rPr/>
          <w:rPr>
            <w:rFonts w:ascii="Cambria Math" w:hAnsi="Cambria Math"/>
          </w:rPr>
          <m:t>σ</m:t>
        </m:r>
      </m:oMath>
      <w:r>
        <w:rPr>
          <w:rFonts w:hint="eastAsia" w:hAnsi="Cambria Math"/>
        </w:rPr>
        <w:t>用于度量股票收益产生的不确定性，在本文中定义为股价年化连续复利收益率的标准差，股票的波动率通常介于15%-60%之间(John Haul, 1988)。对于历史波动率的估计，通常是用固定区间内的股票价格数据进行标准差计算。</w:t>
      </w:r>
    </w:p>
    <w:p w14:paraId="2ECFCD67">
      <w:pPr>
        <w:ind w:firstLine="420"/>
        <w:rPr>
          <w:rFonts w:hAnsi="Cambria Math"/>
        </w:rPr>
      </w:pPr>
      <w:r>
        <w:rPr>
          <w:rFonts w:hint="eastAsia" w:hAnsi="Cambria Math"/>
        </w:rPr>
        <w:t>具体的，对于n个观测日的n个股票收盘价观测值</w:t>
      </w:r>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hAnsi="Cambria Math"/>
        </w:rPr>
        <w:t>，我们定义股票的对数收益率</w:t>
      </w:r>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oMath>
      <w:r>
        <w:rPr>
          <w:rFonts w:hint="eastAsia" w:hAnsi="Cambria Math"/>
        </w:rPr>
        <w:t>为：</w:t>
      </w:r>
    </w:p>
    <w:p w14:paraId="7507BA29">
      <w:pPr>
        <w:ind w:firstLine="420"/>
        <w:rPr>
          <w:rFonts w:hAnsi="Cambria Math"/>
        </w:rPr>
      </w:pPr>
      <m:oMathPara>
        <m:oMath>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rPr>
              </m:ctrlPr>
            </m:fName>
            <m:e>
              <m:d>
                <m:dPr>
                  <m:ctrlPr>
                    <w:rPr>
                      <w:rFonts w:ascii="Cambria Math" w:hAnsi="Cambria Math"/>
                      <w:i/>
                    </w:rPr>
                  </m:ctrlPr>
                </m:dPr>
                <m:e>
                  <m:f>
                    <m:fPr>
                      <m:ctrlPr>
                        <w:rPr>
                          <w:rFonts w:ascii="Cambria Math" w:hAnsi="Cambria Math"/>
                          <w:i/>
                        </w:rPr>
                      </m:ctrlPr>
                    </m:fPr>
                    <m:num>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i−1</m:t>
                          </m:r>
                          <m:ctrlPr>
                            <w:rPr>
                              <w:rFonts w:ascii="Cambria Math" w:hAnsi="Cambria Math"/>
                            </w:rPr>
                          </m:ctrlPr>
                        </m:sub>
                      </m:sSub>
                      <m:ctrlPr>
                        <w:rPr>
                          <w:rFonts w:ascii="Cambria Math" w:hAnsi="Cambria Math"/>
                        </w:rPr>
                      </m:ctrlPr>
                    </m:den>
                  </m:f>
                  <m:ctrlPr>
                    <w:rPr>
                      <w:rFonts w:ascii="Cambria Math" w:hAnsi="Cambria Math"/>
                      <w:i/>
                    </w:rPr>
                  </m:ctrlPr>
                </m:e>
              </m:d>
              <m:ctrlPr>
                <w:rPr>
                  <w:rFonts w:ascii="Cambria Math" w:hAnsi="Cambria Math"/>
                  <w:i/>
                </w:rPr>
              </m:ctrlPr>
            </m:e>
          </m:func>
          <m:r>
            <m:rPr/>
            <w:rPr>
              <w:rFonts w:ascii="Cambria Math" w:hAnsi="Cambria Math"/>
            </w:rPr>
            <m:t>, i=1,2,…,n</m:t>
          </m:r>
        </m:oMath>
      </m:oMathPara>
    </w:p>
    <w:p w14:paraId="447DBD9E">
      <w:pPr>
        <w:ind w:firstLine="420"/>
        <w:rPr>
          <w:rFonts w:hAnsi="Cambria Math"/>
        </w:rPr>
      </w:pPr>
      <w:r>
        <w:rPr>
          <w:rFonts w:hint="eastAsia" w:hAnsi="Cambria Math"/>
        </w:rPr>
        <w:t>收益率的标准差估计值s为：</w:t>
      </w:r>
    </w:p>
    <w:p w14:paraId="26E020A7">
      <w:pPr>
        <w:ind w:firstLine="420"/>
        <w:rPr>
          <w:rFonts w:hAnsi="Cambria Math"/>
        </w:rPr>
      </w:pPr>
      <m:oMathPara>
        <m:oMath>
          <m:r>
            <m:rPr/>
            <w:rPr>
              <w:rFonts w:ascii="Cambria Math" w:hAnsi="Cambria Math"/>
            </w:rPr>
            <m:t>s=</m:t>
          </m:r>
          <m:rad>
            <m:radPr>
              <m:degHide m:val="1"/>
              <m:ctrlPr>
                <w:rPr>
                  <w:rFonts w:ascii="Cambria Math" w:hAnsi="Cambria Math"/>
                  <w:i/>
                </w:rPr>
              </m:ctrlPr>
            </m:radPr>
            <m:deg>
              <m:ctrlPr>
                <w:rPr>
                  <w:rFonts w:ascii="Cambria Math" w:hAnsi="Cambria Math"/>
                </w:rPr>
              </m:ctrlPr>
            </m:deg>
            <m:e>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n−1</m:t>
                  </m:r>
                  <m:ctrlPr>
                    <w:rPr>
                      <w:rFonts w:ascii="Cambria Math" w:hAnsi="Cambria Math"/>
                    </w:rPr>
                  </m:ctrlPr>
                </m:den>
              </m:f>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n</m:t>
                  </m:r>
                  <m:ctrlPr>
                    <w:rPr>
                      <w:rFonts w:ascii="Cambria Math" w:hAnsi="Cambria Math"/>
                    </w:rPr>
                  </m:ctrlPr>
                </m:sup>
                <m:e>
                  <m:r>
                    <m:rPr/>
                    <w:rPr>
                      <w:rFonts w:ascii="Cambria Math" w:hAnsi="Cambria Math"/>
                    </w:rPr>
                    <m:t>(</m:t>
                  </m:r>
                  <m:ctrlPr>
                    <w:rPr>
                      <w:rFonts w:ascii="Cambria Math" w:hAnsi="Cambria Math"/>
                    </w:rPr>
                  </m:ctrlPr>
                </m:e>
              </m:nary>
              <m:sSub>
                <m:sSubPr>
                  <m:ctrlPr>
                    <w:rPr>
                      <w:rFonts w:ascii="Cambria Math" w:hAnsi="Cambria Math"/>
                    </w:rPr>
                  </m:ctrlPr>
                </m:sSubPr>
                <m:e>
                  <m:r>
                    <m:rPr/>
                    <w:rPr>
                      <w:rFonts w:ascii="Cambria Math" w:hAnsi="Cambria Math"/>
                    </w:rPr>
                    <m:t>u</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acc>
                <m:accPr>
                  <m:chr m:val="̄"/>
                  <m:ctrlPr>
                    <w:rPr>
                      <w:rFonts w:ascii="Cambria Math" w:hAnsi="Cambria Math"/>
                    </w:rPr>
                  </m:ctrlPr>
                </m:accPr>
                <m:e>
                  <m:r>
                    <m:rPr/>
                    <w:rPr>
                      <w:rFonts w:ascii="Cambria Math" w:hAnsi="Cambria Math"/>
                    </w:rPr>
                    <m:t>u</m:t>
                  </m:r>
                  <m:ctrlPr>
                    <w:rPr>
                      <w:rFonts w:ascii="Cambria Math" w:hAnsi="Cambria Math"/>
                    </w:rPr>
                  </m:ctrlPr>
                </m:e>
              </m:acc>
              <m:sSup>
                <m:sSupPr>
                  <m:ctrlPr>
                    <w:rPr>
                      <w:rFonts w:ascii="Cambria Math" w:hAnsi="Cambria Math"/>
                    </w:rPr>
                  </m:ctrlPr>
                </m:sSupPr>
                <m:e>
                  <m:r>
                    <m:rPr/>
                    <w:rPr>
                      <w:rFonts w:ascii="Cambria Math" w:hAnsi="Cambria Math"/>
                    </w:rPr>
                    <m:t>)</m:t>
                  </m:r>
                  <m:ctrlPr>
                    <w:rPr>
                      <w:rFonts w:ascii="Cambria Math" w:hAnsi="Cambria Math"/>
                    </w:rPr>
                  </m:ctrlPr>
                </m:e>
                <m:sup>
                  <m:r>
                    <m:rPr/>
                    <w:rPr>
                      <w:rFonts w:ascii="Cambria Math" w:hAnsi="Cambria Math"/>
                    </w:rPr>
                    <m:t>2</m:t>
                  </m:r>
                  <m:ctrlPr>
                    <w:rPr>
                      <w:rFonts w:ascii="Cambria Math" w:hAnsi="Cambria Math"/>
                    </w:rPr>
                  </m:ctrlPr>
                </m:sup>
              </m:sSup>
              <m:ctrlPr>
                <w:rPr>
                  <w:rFonts w:ascii="Cambria Math" w:hAnsi="Cambria Math"/>
                </w:rPr>
              </m:ctrlPr>
            </m:e>
          </m:rad>
        </m:oMath>
      </m:oMathPara>
    </w:p>
    <w:p w14:paraId="7F5180BA">
      <w:pPr>
        <w:ind w:firstLine="420"/>
        <w:rPr>
          <w:rFonts w:hAnsi="Cambria Math"/>
        </w:rPr>
      </w:pPr>
      <w:r>
        <w:rPr>
          <w:rFonts w:hint="eastAsia" w:hAnsi="Cambria Math"/>
        </w:rPr>
        <w:t>我们定义以年为单位的时间长度为</w:t>
      </w:r>
      <m:oMath>
        <m:r>
          <m:rPr/>
          <w:rPr>
            <w:rFonts w:ascii="Cambria Math" w:hAnsi="Cambria Math"/>
          </w:rPr>
          <m:t>τ</m:t>
        </m:r>
      </m:oMath>
      <w:r>
        <w:rPr>
          <w:rFonts w:hint="eastAsia" w:hAnsi="Cambria Math"/>
        </w:rPr>
        <w:t>，本文取腾讯股票收盘价2024年11月5日到2025年11月5日250个收盘价数据作为观测值，则</w:t>
      </w:r>
      <m:oMath>
        <m:r>
          <m:rPr/>
          <w:rPr>
            <w:rFonts w:ascii="Cambria Math" w:hAnsi="Cambria Math"/>
          </w:rPr>
          <m:t>τ</m:t>
        </m:r>
      </m:oMath>
      <w:r>
        <w:rPr>
          <w:rFonts w:hint="eastAsia" w:hAnsi="Cambria Math"/>
        </w:rPr>
        <w:t xml:space="preserve"> = </w:t>
      </w:r>
      <m:oMath>
        <m:f>
          <m:fPr>
            <m:ctrlPr>
              <w:rPr>
                <w:rFonts w:ascii="Cambria Math" w:hAnsi="Cambria Math"/>
                <w:i/>
              </w:rPr>
            </m:ctrlPr>
          </m:fPr>
          <m:num>
            <m:r>
              <m:rPr/>
              <w:rPr>
                <w:rFonts w:ascii="Cambria Math" w:hAnsi="Cambria Math"/>
              </w:rPr>
              <m:t>1</m:t>
            </m:r>
            <m:ctrlPr>
              <w:rPr>
                <w:rFonts w:ascii="Cambria Math" w:hAnsi="Cambria Math"/>
                <w:i/>
              </w:rPr>
            </m:ctrlPr>
          </m:num>
          <m:den>
            <m:r>
              <m:rPr/>
              <w:rPr>
                <w:rFonts w:ascii="Cambria Math" w:hAnsi="Cambria Math"/>
              </w:rPr>
              <m:t>250</m:t>
            </m:r>
            <m:ctrlPr>
              <w:rPr>
                <w:rFonts w:ascii="Cambria Math" w:hAnsi="Cambria Math"/>
                <w:i/>
              </w:rPr>
            </m:ctrlPr>
          </m:den>
        </m:f>
      </m:oMath>
      <w:r>
        <w:rPr>
          <w:rFonts w:hint="eastAsia" w:hAnsi="Cambria Math"/>
        </w:rPr>
        <w:t xml:space="preserve"> ，则</w:t>
      </w:r>
      <m:oMath>
        <m:r>
          <m:rPr/>
          <w:rPr>
            <w:rFonts w:ascii="Cambria Math" w:hAnsi="Cambria Math"/>
          </w:rPr>
          <m:t>σ</m:t>
        </m:r>
      </m:oMath>
      <w:r>
        <w:rPr>
          <w:rFonts w:hint="eastAsia" w:hAnsi="Cambria Math"/>
        </w:rPr>
        <w:t>的估计值可以由下式求得：</w:t>
      </w:r>
    </w:p>
    <w:p w14:paraId="74C46C82">
      <w:pPr>
        <w:ind w:firstLine="420"/>
        <w:rPr>
          <w:rFonts w:hAnsi="Cambria Math"/>
        </w:rPr>
      </w:pPr>
      <m:oMathPara>
        <m:oMath>
          <m:acc>
            <m:accPr>
              <m:ctrlPr>
                <w:rPr>
                  <w:rFonts w:ascii="Cambria Math" w:hAnsi="Cambria Math"/>
                </w:rPr>
              </m:ctrlPr>
            </m:accPr>
            <m:e>
              <m:r>
                <m:rPr/>
                <w:rPr>
                  <w:rFonts w:ascii="Cambria Math" w:hAnsi="Cambria Math"/>
                </w:rPr>
                <m:t>σ</m:t>
              </m:r>
              <m:ctrlPr>
                <w:rPr>
                  <w:rFonts w:ascii="Cambria Math" w:hAnsi="Cambria Math"/>
                </w:rPr>
              </m:ctrlPr>
            </m:e>
          </m:acc>
          <m:r>
            <m:rPr/>
            <w:rPr>
              <w:rFonts w:ascii="Cambria Math" w:hAnsi="Cambria Math"/>
            </w:rPr>
            <m:t>=</m:t>
          </m:r>
          <m:f>
            <m:fPr>
              <m:ctrlPr>
                <w:rPr>
                  <w:rFonts w:ascii="Cambria Math" w:hAnsi="Cambria Math"/>
                  <w:i/>
                </w:rPr>
              </m:ctrlPr>
            </m:fPr>
            <m:num>
              <m:r>
                <m:rPr/>
                <w:rPr>
                  <w:rFonts w:ascii="Cambria Math" w:hAnsi="Cambria Math"/>
                </w:rPr>
                <m:t>s</m:t>
              </m:r>
              <m:ctrlPr>
                <w:rPr>
                  <w:rFonts w:ascii="Cambria Math" w:hAnsi="Cambria Math"/>
                </w:rPr>
              </m:ctrlPr>
            </m:num>
            <m:den>
              <m:rad>
                <m:radPr>
                  <m:degHide m:val="1"/>
                  <m:ctrlPr>
                    <w:rPr>
                      <w:rFonts w:ascii="Cambria Math" w:hAnsi="Cambria Math"/>
                      <w:i/>
                    </w:rPr>
                  </m:ctrlPr>
                </m:radPr>
                <m:deg>
                  <m:ctrlPr>
                    <w:rPr>
                      <w:rFonts w:ascii="Cambria Math" w:hAnsi="Cambria Math"/>
                    </w:rPr>
                  </m:ctrlPr>
                </m:deg>
                <m:e>
                  <m:r>
                    <m:rPr/>
                    <w:rPr>
                      <w:rFonts w:ascii="Cambria Math" w:hAnsi="Cambria Math"/>
                    </w:rPr>
                    <m:t>τ</m:t>
                  </m:r>
                  <m:ctrlPr>
                    <w:rPr>
                      <w:rFonts w:ascii="Cambria Math" w:hAnsi="Cambria Math"/>
                    </w:rPr>
                  </m:ctrlPr>
                </m:e>
              </m:rad>
              <m:ctrlPr>
                <w:rPr>
                  <w:rFonts w:ascii="Cambria Math" w:hAnsi="Cambria Math"/>
                  <w:i/>
                </w:rPr>
              </m:ctrlPr>
            </m:den>
          </m:f>
        </m:oMath>
      </m:oMathPara>
    </w:p>
    <w:p w14:paraId="2E83AAB1">
      <w:pPr>
        <w:ind w:firstLine="420"/>
        <w:rPr>
          <w:rFonts w:hAnsi="Cambria Math"/>
        </w:rPr>
      </w:pPr>
      <w:r>
        <w:rPr>
          <w:rFonts w:hint="eastAsia" w:hAnsi="Cambria Math"/>
        </w:rPr>
        <w:t>该估计值的标准误差大约为</w:t>
      </w:r>
      <m:oMath>
        <m:f>
          <m:fPr>
            <m:ctrlPr>
              <w:rPr>
                <w:rFonts w:ascii="Cambria Math" w:hAnsi="Cambria Math"/>
                <w:i/>
              </w:rPr>
            </m:ctrlPr>
          </m:fPr>
          <m:num>
            <m:acc>
              <m:accPr>
                <m:ctrlPr>
                  <w:rPr>
                    <w:rFonts w:ascii="Cambria Math" w:hAnsi="Cambria Math"/>
                  </w:rPr>
                </m:ctrlPr>
              </m:accPr>
              <m:e>
                <m:r>
                  <m:rPr/>
                  <w:rPr>
                    <w:rFonts w:ascii="Cambria Math" w:hAnsi="Cambria Math"/>
                  </w:rPr>
                  <m:t>σ</m:t>
                </m:r>
                <m:ctrlPr>
                  <w:rPr>
                    <w:rFonts w:ascii="Cambria Math" w:hAnsi="Cambria Math"/>
                  </w:rPr>
                </m:ctrlPr>
              </m:e>
            </m:acc>
            <m:ctrlPr>
              <w:rPr>
                <w:rFonts w:ascii="Cambria Math" w:hAnsi="Cambria Math"/>
              </w:rPr>
            </m:ctrlPr>
          </m:num>
          <m:den>
            <m:rad>
              <m:radPr>
                <m:degHide m:val="1"/>
                <m:ctrlPr>
                  <w:rPr>
                    <w:rFonts w:ascii="Cambria Math" w:hAnsi="Cambria Math"/>
                    <w:i/>
                  </w:rPr>
                </m:ctrlPr>
              </m:radPr>
              <m:deg>
                <m:ctrlPr>
                  <w:rPr>
                    <w:rFonts w:ascii="Cambria Math" w:hAnsi="Cambria Math"/>
                  </w:rPr>
                </m:ctrlPr>
              </m:deg>
              <m:e>
                <m:r>
                  <m:rPr>
                    <m:sty m:val="p"/>
                  </m:rPr>
                  <w:rPr>
                    <w:rFonts w:ascii="Cambria Math" w:hAnsi="Cambria Math"/>
                  </w:rPr>
                  <m:t>2n</m:t>
                </m:r>
                <m:ctrlPr>
                  <w:rPr>
                    <w:rFonts w:ascii="Cambria Math" w:hAnsi="Cambria Math"/>
                  </w:rPr>
                </m:ctrlPr>
              </m:e>
            </m:rad>
            <m:ctrlPr>
              <w:rPr>
                <w:rFonts w:ascii="Cambria Math" w:hAnsi="Cambria Math"/>
                <w:i/>
              </w:rPr>
            </m:ctrlPr>
          </m:den>
        </m:f>
      </m:oMath>
      <w:r>
        <w:rPr>
          <w:rFonts w:hint="eastAsia" w:hAnsi="Cambria Math"/>
        </w:rPr>
        <w:t xml:space="preserve"> 。经计算，腾讯股价在本文研究区间的历史波动率约为0.35, 该估计值的标准误大约为0.0157，即1.57%。</w:t>
      </w:r>
    </w:p>
    <w:p w14:paraId="0C381EB2">
      <w:pPr>
        <w:pStyle w:val="3"/>
      </w:pPr>
      <w:bookmarkStart w:id="7" w:name="_Toc27005"/>
      <w:r>
        <w:rPr>
          <w:rFonts w:hint="eastAsia"/>
        </w:rPr>
        <w:t>2.3 隐含波动率</w:t>
      </w:r>
      <w:bookmarkEnd w:id="7"/>
    </w:p>
    <w:p w14:paraId="332CDCD9">
      <w:pPr>
        <w:rPr>
          <w:b/>
          <w:bCs/>
          <w:position w:val="-12"/>
        </w:rPr>
      </w:pPr>
      <w:r>
        <w:tab/>
      </w:r>
      <w:r>
        <w:rPr>
          <w:rFonts w:hint="eastAsia"/>
        </w:rPr>
        <w:t>期权的隐含波动率，简单说就是市场根据期权的价格倒推出来的波动率。它反映了市场对未来股票价格波动程度的预期，</w:t>
      </w:r>
      <w:r>
        <w:t>从而判断市场情绪是乐观还是悲观</w:t>
      </w:r>
      <w:r>
        <w:rPr>
          <w:rFonts w:hint="eastAsia"/>
        </w:rPr>
        <w:t>。隐含波动率的取决于定价模型的不同，在 Black -Scholes模型中，对于连续股息率为q的期权，有</w:t>
      </w:r>
      <w:r>
        <w:rPr>
          <w:b/>
          <w:bCs/>
          <w:position w:val="-12"/>
        </w:rPr>
        <w:object>
          <v:shape id="_x0000_i1025" o:spt="75" type="#_x0000_t75" style="height:18.85pt;width:177.95pt;" o:ole="t" filled="f" o:preferrelative="t" stroked="f" coordsize="21600,21600">
            <v:path/>
            <v:fill on="f" focussize="0,0"/>
            <v:stroke on="f" joinstyle="miter"/>
            <v:imagedata r:id="rId9" o:title=""/>
            <o:lock v:ext="edit" aspectratio="t"/>
            <w10:wrap type="none"/>
            <w10:anchorlock/>
          </v:shape>
          <o:OLEObject Type="Embed" ProgID="Equation.AxMath" ShapeID="_x0000_i1025" DrawAspect="Content" ObjectID="_1468075726" r:id="rId8">
            <o:LockedField>false</o:LockedField>
          </o:OLEObject>
        </w:object>
      </w:r>
      <w:r>
        <w:rPr>
          <w:rFonts w:hint="eastAsia"/>
          <w:b/>
          <w:bCs/>
        </w:rPr>
        <w:t>，其中</w:t>
      </w:r>
      <w:r>
        <w:rPr>
          <w:b/>
          <w:bCs/>
          <w:position w:val="-32"/>
        </w:rPr>
        <w:object>
          <v:shape id="_x0000_i1026" o:spt="75" type="#_x0000_t75" style="height:36.55pt;width:191.25pt;" o:ole="t" filled="f" o:preferrelative="t" stroked="f" coordsize="21600,21600">
            <v:path/>
            <v:fill on="f" focussize="0,0"/>
            <v:stroke on="f" joinstyle="miter"/>
            <v:imagedata r:id="rId11" o:title=""/>
            <o:lock v:ext="edit" aspectratio="t"/>
            <w10:wrap type="none"/>
            <w10:anchorlock/>
          </v:shape>
          <o:OLEObject Type="Embed" ProgID="Equation.AxMath" ShapeID="_x0000_i1026" DrawAspect="Content" ObjectID="_1468075727" r:id="rId10">
            <o:LockedField>false</o:LockedField>
          </o:OLEObject>
        </w:object>
      </w:r>
      <w:r>
        <w:rPr>
          <w:rFonts w:hint="eastAsia"/>
          <w:b/>
          <w:bCs/>
        </w:rPr>
        <w:t>，</w:t>
      </w:r>
      <w:r>
        <w:rPr>
          <w:b/>
          <w:bCs/>
          <w:position w:val="-12"/>
        </w:rPr>
        <w:object>
          <v:shape id="_x0000_i1027" o:spt="75" type="#_x0000_t75" style="height:20.7pt;width:80.85pt;" o:ole="t" filled="f" o:preferrelative="t" stroked="f" coordsize="21600,21600">
            <v:path/>
            <v:fill on="f" focussize="0,0"/>
            <v:stroke on="f" joinstyle="miter"/>
            <v:imagedata r:id="rId13" o:title=""/>
            <o:lock v:ext="edit" aspectratio="t"/>
            <w10:wrap type="none"/>
            <w10:anchorlock/>
          </v:shape>
          <o:OLEObject Type="Embed" ProgID="Equation.AxMath" ShapeID="_x0000_i1027" DrawAspect="Content" ObjectID="_1468075728" r:id="rId12">
            <o:LockedField>false</o:LockedField>
          </o:OLEObject>
        </w:object>
      </w:r>
    </w:p>
    <w:p w14:paraId="0DDAF2D3">
      <w:pPr>
        <w:numPr>
          <w:ilvl w:val="0"/>
          <w:numId w:val="0"/>
        </w:numPr>
        <w:ind w:firstLine="420" w:firstLineChars="0"/>
        <w:rPr>
          <w:rFonts w:hint="eastAsia"/>
          <w:lang w:val="en-US" w:eastAsia="zh-CN"/>
        </w:rPr>
      </w:pPr>
      <w:r>
        <w:rPr>
          <w:rFonts w:hint="eastAsia"/>
          <w:lang w:val="en-US" w:eastAsia="zh-CN"/>
        </w:rPr>
        <w:t>由于本文中X的内层期权是一个奇异的幂期权，属于场外期权，市场数据难以获得。因此本文认为其一的一个替代方法是使用交易所标准期权的隐含波动率替代。由于标的资产相同，本文认为这是一个合理的替代。</w:t>
      </w:r>
    </w:p>
    <w:p w14:paraId="7CD444B6">
      <w:pPr>
        <w:numPr>
          <w:ilvl w:val="0"/>
          <w:numId w:val="0"/>
        </w:numPr>
        <w:ind w:firstLine="420" w:firstLineChars="0"/>
        <w:rPr>
          <w:rFonts w:hint="default" w:eastAsia="宋体"/>
          <w:b w:val="0"/>
          <w:bCs w:val="0"/>
          <w:position w:val="-12"/>
          <w:lang w:val="en-US" w:eastAsia="zh-CN"/>
        </w:rPr>
      </w:pPr>
      <w:r>
        <w:rPr>
          <w:rFonts w:hint="eastAsia"/>
          <w:lang w:val="en-US" w:eastAsia="zh-CN"/>
        </w:rPr>
        <w:t>在具体求解上，首先需要收集到期日与执行价格相同或相似的腾讯股票期权市场数据，然后使用数值方法进行求解。</w:t>
      </w:r>
    </w:p>
    <w:p w14:paraId="3B50E82B">
      <w:pPr>
        <w:pStyle w:val="3"/>
      </w:pPr>
      <w:bookmarkStart w:id="8" w:name="_Toc4510"/>
      <w:r>
        <w:rPr>
          <w:rFonts w:hint="eastAsia"/>
        </w:rPr>
        <w:t>2.4股息收益率</w:t>
      </w:r>
      <w:bookmarkEnd w:id="8"/>
    </w:p>
    <w:p w14:paraId="29E79CFA">
      <w:pPr>
        <w:ind w:firstLine="420"/>
      </w:pPr>
      <w:r>
        <w:rPr>
          <w:rFonts w:hint="eastAsia"/>
        </w:rPr>
        <w:t>本文定义一年内股息收益率为：</w:t>
      </w:r>
    </w:p>
    <w:p w14:paraId="357DF71E">
      <w:pPr>
        <w:ind w:firstLine="420"/>
        <w:rPr>
          <w:rFonts w:hAnsi="Cambria Math"/>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m:t>
          </m:r>
          <m:f>
            <m:fPr>
              <m:ctrlPr>
                <w:rPr>
                  <w:rFonts w:ascii="Cambria Math" w:hAnsi="Cambria Math"/>
                  <w:i/>
                </w:rPr>
              </m:ctrlPr>
            </m:fPr>
            <m:num>
              <m:sSub>
                <m:sSubPr>
                  <m:ctrlPr>
                    <w:rPr>
                      <w:rFonts w:ascii="Cambria Math" w:hAnsi="Cambria Math"/>
                    </w:rPr>
                  </m:ctrlPr>
                </m:sSubPr>
                <m:e>
                  <m:r>
                    <m:rPr/>
                    <w:rPr>
                      <w:rFonts w:ascii="Cambria Math" w:hAnsi="Cambria Math"/>
                    </w:rPr>
                    <m:t>dividend_per_share</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ctrlPr>
                <w:rPr>
                  <w:rFonts w:ascii="Cambria Math" w:hAnsi="Cambria Math"/>
                </w:rPr>
              </m:ctrlPr>
            </m:den>
          </m:f>
        </m:oMath>
      </m:oMathPara>
    </w:p>
    <w:p w14:paraId="3C7DFAA3">
      <w:pPr>
        <w:ind w:firstLine="420"/>
        <w:rPr>
          <w:rFonts w:hAnsi="Cambria Math"/>
        </w:rPr>
      </w:pPr>
    </w:p>
    <w:p w14:paraId="480516A8">
      <w:pPr>
        <w:ind w:firstLine="420"/>
        <w:rPr>
          <w:rFonts w:hAnsi="Cambria Math"/>
        </w:rPr>
      </w:pPr>
      <m:oMathPara>
        <m:oMath>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r>
            <m:rPr/>
            <w:rPr>
              <w:rFonts w:ascii="Cambria Math" w:hAnsi="Cambria Math"/>
            </w:rPr>
            <m:t>=1+</m:t>
          </m:r>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oMath>
      </m:oMathPara>
    </w:p>
    <w:p w14:paraId="064303E6">
      <w:pPr>
        <w:ind w:firstLine="420"/>
        <w:rPr>
          <w:rFonts w:hAnsi="Cambria Math"/>
        </w:rPr>
      </w:pPr>
      <w:r>
        <w:rPr>
          <w:rFonts w:hint="eastAsia" w:hAnsi="Cambria Math"/>
        </w:rPr>
        <w:t>本文取腾讯公司2023年至2025年的派息数据估算年化连续股息收益率q，q可由下面的公式计算得出：</w:t>
      </w:r>
    </w:p>
    <w:p w14:paraId="53F9525D">
      <w:pPr>
        <w:ind w:firstLine="420"/>
        <w:rPr>
          <w:rFonts w:hAnsi="Cambria Math"/>
        </w:rPr>
      </w:pPr>
      <m:oMathPara>
        <m:oMath>
          <m:r>
            <m:rPr/>
            <w:rPr>
              <w:rFonts w:ascii="Cambria Math" w:hAnsi="Cambria Math"/>
            </w:rPr>
            <m:t>q=</m:t>
          </m:r>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ctrlPr>
                    <w:rPr>
                      <w:rFonts w:ascii="Cambria Math" w:hAnsi="Cambria Math"/>
                    </w:rPr>
                  </m:ctrlPr>
                </m:fName>
                <m:e>
                  <m:d>
                    <m:dPr>
                      <m:ctrlPr>
                        <w:rPr>
                          <w:rFonts w:ascii="Cambria Math" w:hAnsi="Cambria Math"/>
                          <w:i/>
                        </w:rPr>
                      </m:ctrlPr>
                    </m:dPr>
                    <m:e>
                      <m:nary>
                        <m:naryPr>
                          <m:chr m:val="∏"/>
                          <m:limLoc m:val="undOvr"/>
                          <m:ctrlPr>
                            <w:rPr>
                              <w:rFonts w:ascii="Cambria Math" w:hAnsi="Cambria Math"/>
                              <w:i/>
                            </w:rPr>
                          </m:ctrlPr>
                        </m:naryPr>
                        <m:sub>
                          <m:r>
                            <m:rPr/>
                            <w:rPr>
                              <w:rFonts w:ascii="Cambria Math" w:hAnsi="Cambria Math"/>
                            </w:rPr>
                            <m:t>i=1</m:t>
                          </m:r>
                          <m:ctrlPr>
                            <w:rPr>
                              <w:rFonts w:ascii="Cambria Math" w:hAnsi="Cambria Math"/>
                            </w:rPr>
                          </m:ctrlPr>
                        </m:sub>
                        <m:sup>
                          <m:r>
                            <m:rPr/>
                            <w:rPr>
                              <w:rFonts w:ascii="Cambria Math" w:hAnsi="Cambria Math"/>
                            </w:rPr>
                            <m:t>3</m:t>
                          </m:r>
                          <m:ctrlPr>
                            <w:rPr>
                              <w:rFonts w:ascii="Cambria Math" w:hAnsi="Cambria Math"/>
                            </w:rPr>
                          </m:ctrlPr>
                        </m:sup>
                        <m:e>
                          <m:sSub>
                            <m:sSubPr>
                              <m:ctrlPr>
                                <w:rPr>
                                  <w:rFonts w:ascii="Cambria Math" w:hAnsi="Cambria Math"/>
                                </w:rPr>
                              </m:ctrlPr>
                            </m:sSubPr>
                            <m:e>
                              <m:r>
                                <m:rPr/>
                                <w:rPr>
                                  <w:rFonts w:ascii="Cambria Math" w:hAnsi="Cambria Math"/>
                                </w:rPr>
                                <m:t>R</m:t>
                              </m:r>
                              <m:ctrlPr>
                                <w:rPr>
                                  <w:rFonts w:ascii="Cambria Math" w:hAnsi="Cambria Math"/>
                                </w:rPr>
                              </m:ctrlPr>
                            </m:e>
                            <m:sub>
                              <m:r>
                                <m:rPr/>
                                <w:rPr>
                                  <w:rFonts w:ascii="Cambria Math" w:hAnsi="Cambria Math"/>
                                </w:rPr>
                                <m:t>i</m:t>
                              </m:r>
                              <m:ctrlPr>
                                <w:rPr>
                                  <w:rFonts w:ascii="Cambria Math" w:hAnsi="Cambria Math"/>
                                </w:rPr>
                              </m:ctrlPr>
                            </m:sub>
                          </m:sSub>
                          <m:ctrlPr>
                            <w:rPr>
                              <w:rFonts w:ascii="Cambria Math" w:hAnsi="Cambria Math"/>
                            </w:rPr>
                          </m:ctrlPr>
                        </m:e>
                      </m:nary>
                      <m:ctrlPr>
                        <w:rPr>
                          <w:rFonts w:ascii="Cambria Math" w:hAnsi="Cambria Math"/>
                          <w:i/>
                        </w:rPr>
                      </m:ctrlPr>
                    </m:e>
                  </m:d>
                  <m:ctrlPr>
                    <w:rPr>
                      <w:rFonts w:ascii="Cambria Math" w:hAnsi="Cambria Math"/>
                      <w:i/>
                    </w:rPr>
                  </m:ctrlPr>
                </m:e>
              </m:func>
              <m:ctrlPr>
                <w:rPr>
                  <w:rFonts w:ascii="Cambria Math" w:hAnsi="Cambria Math"/>
                </w:rPr>
              </m:ctrlPr>
            </m:num>
            <m:den>
              <m:r>
                <m:rPr/>
                <w:rPr>
                  <w:rFonts w:ascii="Cambria Math" w:hAnsi="Cambria Math"/>
                </w:rPr>
                <m:t>3</m:t>
              </m:r>
              <m:ctrlPr>
                <w:rPr>
                  <w:rFonts w:ascii="Cambria Math" w:hAnsi="Cambria Math"/>
                </w:rPr>
              </m:ctrlPr>
            </m:den>
          </m:f>
        </m:oMath>
      </m:oMathPara>
    </w:p>
    <w:p w14:paraId="1ED9A263">
      <w:pPr>
        <w:ind w:firstLine="420"/>
        <w:rPr>
          <w:rFonts w:hAnsi="Cambria Math"/>
        </w:rPr>
      </w:pPr>
      <w:r>
        <w:rPr>
          <w:rFonts w:hint="eastAsia" w:hAnsi="Cambria Math"/>
        </w:rPr>
        <w:t>经计算，q的值约为0.008，即0.8%。</w:t>
      </w:r>
    </w:p>
    <w:p w14:paraId="1E377952">
      <w:pPr>
        <w:pStyle w:val="3"/>
      </w:pPr>
      <w:bookmarkStart w:id="9" w:name="_Toc2306"/>
      <w:r>
        <w:rPr>
          <w:rFonts w:hint="eastAsia"/>
        </w:rPr>
        <w:t>2.5无风险收益率</w:t>
      </w:r>
      <w:bookmarkEnd w:id="9"/>
    </w:p>
    <w:p w14:paraId="513611F5">
      <w:pPr>
        <w:ind w:firstLine="420"/>
      </w:pPr>
      <w:r>
        <w:rPr>
          <w:rFonts w:hint="eastAsia"/>
        </w:rPr>
        <w:t>本文取研究区间内12个十年期美债的到期收益率观测值的均值作为无风险收益率的估计值，经计算，本文的无风险收益率估计值rf为0.0428，即4.28%。</w:t>
      </w:r>
    </w:p>
    <w:p w14:paraId="225BD5AC">
      <w:pPr>
        <w:pStyle w:val="2"/>
        <w:numPr>
          <w:ilvl w:val="0"/>
          <w:numId w:val="1"/>
        </w:numPr>
      </w:pPr>
      <w:bookmarkStart w:id="10" w:name="_Toc22891"/>
      <w:r>
        <w:rPr>
          <w:rFonts w:hint="eastAsia"/>
        </w:rPr>
        <w:t>二项式定价</w:t>
      </w:r>
      <w:bookmarkEnd w:id="10"/>
    </w:p>
    <w:p w14:paraId="3820F004">
      <w:pPr>
        <w:pStyle w:val="3"/>
      </w:pPr>
      <w:bookmarkStart w:id="11" w:name="_Toc29342"/>
      <w:r>
        <w:rPr>
          <w:rFonts w:hint="eastAsia"/>
        </w:rPr>
        <w:t>3.1 二项式定价原理</w:t>
      </w:r>
      <w:bookmarkEnd w:id="11"/>
    </w:p>
    <w:p w14:paraId="62A49CB2">
      <w:pPr>
        <w:ind w:firstLine="420"/>
        <w:rPr>
          <w:rFonts w:hAnsi="Cambria Math"/>
        </w:rPr>
      </w:pPr>
      <w:r>
        <w:rPr>
          <w:rFonts w:hint="eastAsia"/>
        </w:rPr>
        <w:t>二项式定价方法(</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CRR</m:t>
            </m:r>
            <m:ctrlPr>
              <w:rPr>
                <w:rFonts w:ascii="Cambria Math" w:hAnsi="Cambria Math"/>
                <w:i/>
              </w:rPr>
            </m:ctrlPr>
          </m:sup>
        </m:sSup>
      </m:oMath>
      <w:r>
        <w:rPr>
          <w:rFonts w:hint="eastAsia"/>
        </w:rPr>
        <w:t>)是Cox与Ross于1979年提出的一种期权定价方法。</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CRR</m:t>
            </m:r>
            <m:ctrlPr>
              <w:rPr>
                <w:rFonts w:ascii="Cambria Math" w:hAnsi="Cambria Math"/>
                <w:i/>
              </w:rPr>
            </m:ctrlPr>
          </m:sup>
        </m:sSup>
      </m:oMath>
      <w:r>
        <w:rPr>
          <w:rFonts w:hint="eastAsia" w:hAnsi="Cambria Math"/>
        </w:rPr>
        <w:t>将时间范围[0,T]分为M个长度为</w:t>
      </w:r>
      <m:oMath>
        <m:r>
          <m:rPr>
            <m:sty m:val="p"/>
          </m:rPr>
          <w:rPr>
            <w:rFonts w:ascii="Cambria Math" w:hAnsi="Cambria Math"/>
          </w:rPr>
          <m:t>Δt</m:t>
        </m:r>
      </m:oMath>
      <w:r>
        <w:rPr>
          <w:rFonts w:hint="eastAsia" w:hAnsi="Cambria Math"/>
        </w:rPr>
        <w:t>的等长区间，则在t内有M+1个点。</w:t>
      </w:r>
      <m:oMath>
        <m:sSup>
          <m:sSupPr>
            <m:ctrlPr>
              <w:rPr>
                <w:rFonts w:ascii="Cambria Math" w:hAnsi="Cambria Math"/>
                <w:i/>
              </w:rPr>
            </m:ctrlPr>
          </m:sSupPr>
          <m:e>
            <m:r>
              <m:rPr/>
              <w:rPr>
                <w:rFonts w:ascii="Cambria Math" w:hAnsi="Cambria Math"/>
              </w:rPr>
              <m:t>M</m:t>
            </m:r>
            <m:ctrlPr>
              <w:rPr>
                <w:rFonts w:ascii="Cambria Math" w:hAnsi="Cambria Math"/>
                <w:i/>
              </w:rPr>
            </m:ctrlPr>
          </m:e>
          <m:sup>
            <m:r>
              <m:rPr/>
              <w:rPr>
                <w:rFonts w:ascii="Cambria Math" w:hAnsi="Cambria Math"/>
              </w:rPr>
              <m:t>CRR</m:t>
            </m:r>
            <m:ctrlPr>
              <w:rPr>
                <w:rFonts w:ascii="Cambria Math" w:hAnsi="Cambria Math"/>
                <w:i/>
              </w:rPr>
            </m:ctrlPr>
          </m:sup>
        </m:sSup>
      </m:oMath>
      <w:r>
        <w:rPr>
          <w:rFonts w:hint="eastAsia" w:hAnsi="Cambria Math"/>
        </w:rPr>
        <w:t>假设模型中存在两种资产，一种为有风险的资产，另一种为无风险的债券。模型无风险短期利率存在，且服从</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 </m:t>
        </m:r>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0</m:t>
            </m:r>
            <m:ctrlPr>
              <w:rPr>
                <w:rFonts w:ascii="Cambria Math" w:hAnsi="Cambria Math"/>
                <w:i/>
              </w:rPr>
            </m:ctrlPr>
          </m:sub>
        </m:sSub>
        <m:sSup>
          <m:sSupPr>
            <m:ctrlPr>
              <w:rPr>
                <w:rFonts w:ascii="Cambria Math" w:hAnsi="Cambria Math"/>
                <w:i/>
              </w:rPr>
            </m:ctrlPr>
          </m:sSupPr>
          <m:e>
            <m:r>
              <m:rPr/>
              <w:rPr>
                <w:rFonts w:ascii="Cambria Math" w:hAnsi="Cambria Math"/>
              </w:rPr>
              <m:t>e</m:t>
            </m:r>
            <m:ctrlPr>
              <w:rPr>
                <w:rFonts w:ascii="Cambria Math" w:hAnsi="Cambria Math"/>
                <w:i/>
              </w:rPr>
            </m:ctrlPr>
          </m:e>
          <m:sup>
            <m:r>
              <m:rPr/>
              <w:rPr>
                <w:rFonts w:ascii="Cambria Math" w:hAnsi="Cambria Math"/>
              </w:rPr>
              <m:t>rt</m:t>
            </m:r>
            <m:ctrlPr>
              <w:rPr>
                <w:rFonts w:ascii="Cambria Math" w:hAnsi="Cambria Math"/>
                <w:i/>
              </w:rPr>
            </m:ctrlPr>
          </m:sup>
        </m:sSup>
      </m:oMath>
      <w:r>
        <w:rPr>
          <w:rFonts w:hint="eastAsia" w:hAnsi="Cambria Math"/>
        </w:rPr>
        <w:t>，</w:t>
      </w:r>
      <m:oMath>
        <m:sSub>
          <m:sSubPr>
            <m:ctrlPr>
              <w:rPr>
                <w:rFonts w:ascii="Cambria Math" w:hAnsi="Cambria Math"/>
                <w:i/>
              </w:rPr>
            </m:ctrlPr>
          </m:sSubPr>
          <m:e>
            <m:r>
              <m:rPr/>
              <w:rPr>
                <w:rFonts w:ascii="Cambria Math" w:hAnsi="Cambria Math"/>
              </w:rPr>
              <m:t>B</m:t>
            </m:r>
            <m:ctrlPr>
              <w:rPr>
                <w:rFonts w:ascii="Cambria Math" w:hAnsi="Cambria Math"/>
                <w:i/>
              </w:rPr>
            </m:ctrlPr>
          </m:e>
          <m:sub>
            <m:r>
              <m:rPr/>
              <w:rPr>
                <w:rFonts w:ascii="Cambria Math" w:hAnsi="Cambria Math"/>
              </w:rPr>
              <m:t>0</m:t>
            </m:r>
            <m:ctrlPr>
              <w:rPr>
                <w:rFonts w:ascii="Cambria Math" w:hAnsi="Cambria Math"/>
                <w:i/>
              </w:rPr>
            </m:ctrlPr>
          </m:sub>
        </m:sSub>
      </m:oMath>
      <w:r>
        <w:rPr>
          <w:rFonts w:hint="eastAsia" w:hAnsi="Cambria Math"/>
        </w:rPr>
        <w:t xml:space="preserve"> &gt; 0。</w:t>
      </w:r>
    </w:p>
    <w:p w14:paraId="601C514C">
      <w:pPr>
        <w:ind w:firstLine="420"/>
        <w:rPr>
          <w:rFonts w:hAnsi="Cambria Math"/>
        </w:rPr>
      </w:pPr>
      <w:r>
        <w:rPr>
          <w:rFonts w:hint="eastAsia" w:hAnsi="Cambria Math"/>
        </w:rPr>
        <w:t>模型假设风险资产价格初期为正且变化服从如下规律：</w:t>
      </w:r>
    </w:p>
    <w:p w14:paraId="3967BB62">
      <w:pPr>
        <w:ind w:firstLine="420"/>
        <w:rPr>
          <w:rFonts w:hAnsi="Cambria Math"/>
        </w:rPr>
      </w:pPr>
    </w:p>
    <w:p w14:paraId="5B8C7238">
      <w:pPr>
        <w:ind w:firstLine="420"/>
        <w:rPr>
          <w:rFonts w:hAnsi="Cambria Math"/>
        </w:rPr>
      </w:pPr>
      <m:oMathPara>
        <m:oMath>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t+Δt</m:t>
              </m:r>
              <m:ctrlPr>
                <w:rPr>
                  <w:rFonts w:ascii="Cambria Math" w:hAnsi="Cambria Math"/>
                  <w:i/>
                </w:rPr>
              </m:ctrlPr>
            </m:sub>
          </m:sSub>
          <m:r>
            <m:rPr/>
            <w:rPr>
              <w:rFonts w:ascii="Cambria Math" w:hAnsi="Cambria Math"/>
            </w:rPr>
            <m:t xml:space="preserve"> =</m:t>
          </m:r>
          <m:sSub>
            <m:sSubPr>
              <m:ctrlPr>
                <w:rPr>
                  <w:rFonts w:ascii="Cambria Math" w:hAnsi="Cambria Math"/>
                  <w:i/>
                </w:rPr>
              </m:ctrlPr>
            </m:sSubPr>
            <m:e>
              <m:r>
                <m:rPr/>
                <w:rPr>
                  <w:rFonts w:ascii="Cambria Math" w:hAnsi="Cambria Math"/>
                </w:rPr>
                <m:t>S</m:t>
              </m:r>
              <m:ctrlPr>
                <w:rPr>
                  <w:rFonts w:ascii="Cambria Math" w:hAnsi="Cambria Math"/>
                  <w:i/>
                </w:rPr>
              </m:ctrlPr>
            </m:e>
            <m:sub>
              <m:r>
                <m:rPr/>
                <w:rPr>
                  <w:rFonts w:ascii="Cambria Math" w:hAnsi="Cambria Math"/>
                </w:rPr>
                <m:t>t</m:t>
              </m:r>
              <m:ctrlPr>
                <w:rPr>
                  <w:rFonts w:ascii="Cambria Math" w:hAnsi="Cambria Math"/>
                  <w:i/>
                </w:rPr>
              </m:ctrlPr>
            </m:sub>
          </m:sSub>
          <m:r>
            <m:rPr/>
            <w:rPr>
              <w:rFonts w:ascii="Cambria Math" w:hAnsi="Cambria Math"/>
            </w:rPr>
            <m:t xml:space="preserve"> ∗ m </m:t>
          </m:r>
        </m:oMath>
      </m:oMathPara>
    </w:p>
    <w:p w14:paraId="3606C375">
      <w:pPr>
        <w:ind w:firstLine="420"/>
        <w:rPr>
          <w:rFonts w:hAnsi="Cambria Math"/>
        </w:rPr>
      </w:pPr>
    </w:p>
    <w:p w14:paraId="3C8535AC">
      <w:pPr>
        <w:ind w:firstLine="420"/>
        <w:rPr>
          <w:rFonts w:hAnsi="Cambria Math"/>
        </w:rPr>
      </w:pPr>
      <w:r>
        <w:rPr>
          <w:rFonts w:hint="eastAsia" w:hAnsi="Cambria Math"/>
        </w:rPr>
        <w:t>其中，m随机等于{u,d}，其中，</w:t>
      </w:r>
      <m:oMath>
        <m:r>
          <m:rPr/>
          <w:rPr>
            <w:rFonts w:ascii="Cambria Math" w:hAnsi="Cambria Math"/>
          </w:rPr>
          <m:t>0&lt;d&lt;</m:t>
        </m:r>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r</m:t>
            </m:r>
            <m:r>
              <m:rPr>
                <m:sty m:val="p"/>
              </m:rPr>
              <w:rPr>
                <w:rFonts w:ascii="Cambria Math" w:hAnsi="Cambria Math"/>
              </w:rPr>
              <m:t>Δ</m:t>
            </m:r>
            <m:r>
              <m:rPr/>
              <w:rPr>
                <w:rFonts w:ascii="Cambria Math" w:hAnsi="Cambria Math"/>
              </w:rPr>
              <m:t>t</m:t>
            </m:r>
            <m:ctrlPr>
              <w:rPr>
                <w:rFonts w:ascii="Cambria Math" w:hAnsi="Cambria Math"/>
              </w:rPr>
            </m:ctrlPr>
          </m:sup>
        </m:sSup>
        <m:r>
          <m:rPr/>
          <w:rPr>
            <w:rFonts w:ascii="Cambria Math" w:hAnsi="Cambria Math"/>
          </w:rPr>
          <m:t>&lt;u≡</m:t>
        </m:r>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σ</m:t>
            </m:r>
            <m:rad>
              <m:radPr>
                <m:degHide m:val="1"/>
                <m:ctrlPr>
                  <w:rPr>
                    <w:rFonts w:ascii="Cambria Math" w:hAnsi="Cambria Math"/>
                    <w:i/>
                  </w:rPr>
                </m:ctrlPr>
              </m:radPr>
              <m:deg>
                <m:ctrlPr>
                  <w:rPr>
                    <w:rFonts w:ascii="Cambria Math" w:hAnsi="Cambria Math"/>
                  </w:rPr>
                </m:ctrlPr>
              </m:deg>
              <m:e>
                <m:r>
                  <m:rPr>
                    <m:sty m:val="p"/>
                  </m:rPr>
                  <w:rPr>
                    <w:rFonts w:ascii="Cambria Math" w:hAnsi="Cambria Math"/>
                  </w:rPr>
                  <m:t>Δ</m:t>
                </m:r>
                <m:r>
                  <m:rPr/>
                  <w:rPr>
                    <w:rFonts w:ascii="Cambria Math" w:hAnsi="Cambria Math"/>
                  </w:rPr>
                  <m:t>t</m:t>
                </m:r>
                <m:ctrlPr>
                  <w:rPr>
                    <w:rFonts w:ascii="Cambria Math" w:hAnsi="Cambria Math"/>
                  </w:rPr>
                </m:ctrlPr>
              </m:e>
            </m:rad>
            <m:ctrlPr>
              <w:rPr>
                <w:rFonts w:ascii="Cambria Math" w:hAnsi="Cambria Math"/>
                <w:i/>
              </w:rPr>
            </m:ctrlPr>
          </m:sup>
        </m:sSup>
      </m:oMath>
      <w:r>
        <w:rPr>
          <w:rFonts w:hint="eastAsia" w:hAnsi="Cambria Math"/>
        </w:rPr>
        <w:t xml:space="preserve"> 。为了简化，模型有 </w:t>
      </w:r>
      <m:oMath>
        <m:r>
          <m:rPr/>
          <w:rPr>
            <w:rFonts w:ascii="Cambria Math" w:hAnsi="Cambria Math"/>
          </w:rPr>
          <m:t>u=</m:t>
        </m:r>
        <m:f>
          <m:fPr>
            <m:ctrlPr>
              <w:rPr>
                <w:rFonts w:ascii="Cambria Math" w:hAnsi="Cambria Math"/>
                <w:i/>
              </w:rPr>
            </m:ctrlPr>
          </m:fPr>
          <m:num>
            <m:r>
              <m:rPr/>
              <w:rPr>
                <w:rFonts w:ascii="Cambria Math" w:hAnsi="Cambria Math"/>
              </w:rPr>
              <m:t>1</m:t>
            </m:r>
            <m:ctrlPr>
              <w:rPr>
                <w:rFonts w:ascii="Cambria Math" w:hAnsi="Cambria Math"/>
              </w:rPr>
            </m:ctrlPr>
          </m:num>
          <m:den>
            <m:r>
              <m:rPr/>
              <w:rPr>
                <w:rFonts w:ascii="Cambria Math" w:hAnsi="Cambria Math"/>
              </w:rPr>
              <m:t>d</m:t>
            </m:r>
            <m:ctrlPr>
              <w:rPr>
                <w:rFonts w:ascii="Cambria Math" w:hAnsi="Cambria Math"/>
              </w:rPr>
            </m:ctrlPr>
          </m:den>
        </m:f>
      </m:oMath>
      <w:r>
        <w:rPr>
          <w:rFonts w:hint="eastAsia" w:hAnsi="Cambria Math"/>
        </w:rPr>
        <w:t xml:space="preserve"> 。</w:t>
      </w:r>
    </w:p>
    <w:p w14:paraId="5D68DCFA">
      <w:pPr>
        <w:ind w:firstLine="420"/>
        <w:rPr>
          <w:rFonts w:hAnsi="Cambria Math"/>
        </w:rPr>
      </w:pPr>
      <w:r>
        <w:rPr>
          <w:rFonts w:hint="eastAsia" w:hAnsi="Cambria Math"/>
        </w:rPr>
        <w:t>假设无风险中性定价成立，风险资产价格服从下面的关系：</w:t>
      </w:r>
    </w:p>
    <w:p w14:paraId="1AF24654">
      <w:pPr>
        <w:ind w:firstLine="420"/>
        <w:rPr>
          <w:rFonts w:hAnsi="Cambria Math"/>
        </w:rPr>
      </w:pPr>
    </w:p>
    <w:p w14:paraId="5B80C062">
      <w:pPr>
        <w:ind w:firstLine="420"/>
        <w:rPr>
          <w:rFonts w:hAnsi="Cambria Math"/>
        </w:rPr>
      </w:pPr>
      <m:oMathPara>
        <m:oMath>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−r</m:t>
              </m:r>
              <m:r>
                <m:rPr>
                  <m:sty m:val="p"/>
                </m:rPr>
                <w:rPr>
                  <w:rFonts w:ascii="Cambria Math" w:hAnsi="Cambria Math"/>
                </w:rPr>
                <m:t>Δ</m:t>
              </m:r>
              <m:r>
                <m:rPr/>
                <w:rPr>
                  <w:rFonts w:ascii="Cambria Math" w:hAnsi="Cambria Math"/>
                </w:rPr>
                <m:t>t</m:t>
              </m:r>
              <m:ctrlPr>
                <w:rPr>
                  <w:rFonts w:ascii="Cambria Math" w:hAnsi="Cambria Math"/>
                </w:rPr>
              </m:ctrlPr>
            </m:sup>
          </m:sSup>
          <m:r>
            <m:rPr/>
            <w:rPr>
              <w:rFonts w:ascii="Cambria Math" w:hAnsi="Cambria Math"/>
            </w:rPr>
            <m:t>⋅</m:t>
          </m:r>
          <m:sSup>
            <m:sSupPr>
              <m:ctrlPr>
                <w:rPr>
                  <w:rFonts w:ascii="Cambria Math" w:hAnsi="Cambria Math"/>
                </w:rPr>
              </m:ctrlPr>
            </m:sSupPr>
            <m:e>
              <m:r>
                <m:rPr>
                  <m:sty m:val="b"/>
                </m:rPr>
                <w:rPr>
                  <w:rFonts w:ascii="Cambria Math" w:hAnsi="Cambria Math"/>
                </w:rPr>
                <m:t>E</m:t>
              </m:r>
              <m:ctrlPr>
                <w:rPr>
                  <w:rFonts w:ascii="Cambria Math" w:hAnsi="Cambria Math"/>
                </w:rPr>
              </m:ctrlPr>
            </m:e>
            <m:sup>
              <m:r>
                <m:rPr>
                  <m:sty m:val="b"/>
                </m:rPr>
                <w:rPr>
                  <w:rFonts w:ascii="Cambria Math" w:hAnsi="Cambria Math"/>
                </w:rPr>
                <m:t>Q</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S</m:t>
              </m:r>
              <m:ctrlPr>
                <w:rPr>
                  <w:rFonts w:ascii="Cambria Math" w:hAnsi="Cambria Math"/>
                </w:rPr>
              </m:ctrlPr>
            </m:e>
            <m:sub>
              <m:r>
                <m:rPr/>
                <w:rPr>
                  <w:rFonts w:ascii="Cambria Math" w:hAnsi="Cambria Math"/>
                </w:rPr>
                <m:t>t+</m:t>
              </m:r>
              <m:r>
                <m:rPr>
                  <m:sty m:val="p"/>
                </m:rPr>
                <w:rPr>
                  <w:rFonts w:ascii="Cambria Math" w:hAnsi="Cambria Math"/>
                </w:rPr>
                <m:t>Δ</m:t>
              </m:r>
              <m:r>
                <m:rPr/>
                <w:rPr>
                  <w:rFonts w:ascii="Cambria Math" w:hAnsi="Cambria Math"/>
                </w:rPr>
                <m:t>t</m:t>
              </m:r>
              <m:ctrlPr>
                <w:rPr>
                  <w:rFonts w:ascii="Cambria Math" w:hAnsi="Cambria Math"/>
                </w:rPr>
              </m:ctrlPr>
            </m:sub>
          </m:sSub>
          <m:r>
            <m:rPr/>
            <w:rPr>
              <w:rFonts w:ascii="Cambria Math" w:hAnsi="Cambria Math"/>
            </w:rPr>
            <m:t>]</m:t>
          </m:r>
        </m:oMath>
      </m:oMathPara>
    </w:p>
    <w:p w14:paraId="75614E75">
      <w:pPr>
        <w:ind w:firstLine="420"/>
        <w:rPr>
          <w:rFonts w:hAnsi="Cambria Math"/>
        </w:rPr>
      </w:pPr>
    </w:p>
    <w:p w14:paraId="310BDD0F">
      <w:pPr>
        <w:ind w:firstLine="420"/>
        <w:rPr>
          <w:rFonts w:hAnsi="Cambria Math"/>
        </w:rPr>
      </w:pPr>
      <w:r>
        <w:rPr>
          <w:rFonts w:hint="eastAsia" w:hAnsi="Cambria Math"/>
        </w:rPr>
        <w:t>其中风险中性概率q为：</w:t>
      </w:r>
    </w:p>
    <w:p w14:paraId="2F2C5A59">
      <w:pPr>
        <w:ind w:firstLine="420"/>
        <w:rPr>
          <w:rFonts w:hAnsi="Cambria Math"/>
        </w:rPr>
      </w:pPr>
      <m:oMathPara>
        <m:oMath>
          <m:r>
            <m:rPr/>
            <w:rPr>
              <w:rFonts w:ascii="Cambria Math" w:hAnsi="Cambria Math"/>
            </w:rPr>
            <m:t>q=</m:t>
          </m:r>
          <m:f>
            <m:fPr>
              <m:ctrlPr>
                <w:rPr>
                  <w:rFonts w:ascii="Cambria Math" w:hAnsi="Cambria Math"/>
                  <w:i/>
                </w:rPr>
              </m:ctrlPr>
            </m:fPr>
            <m:num>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r</m:t>
                  </m:r>
                  <m:r>
                    <m:rPr>
                      <m:sty m:val="p"/>
                    </m:rPr>
                    <w:rPr>
                      <w:rFonts w:ascii="Cambria Math" w:hAnsi="Cambria Math"/>
                    </w:rPr>
                    <m:t>Δ</m:t>
                  </m:r>
                  <m:r>
                    <m:rPr/>
                    <w:rPr>
                      <w:rFonts w:ascii="Cambria Math" w:hAnsi="Cambria Math"/>
                    </w:rPr>
                    <m:t>t</m:t>
                  </m:r>
                  <m:ctrlPr>
                    <w:rPr>
                      <w:rFonts w:ascii="Cambria Math" w:hAnsi="Cambria Math"/>
                    </w:rPr>
                  </m:ctrlPr>
                </m:sup>
              </m:sSup>
              <m:r>
                <m:rPr/>
                <w:rPr>
                  <w:rFonts w:ascii="Cambria Math" w:hAnsi="Cambria Math"/>
                </w:rPr>
                <m:t>−d</m:t>
              </m:r>
              <m:ctrlPr>
                <w:rPr>
                  <w:rFonts w:ascii="Cambria Math" w:hAnsi="Cambria Math"/>
                </w:rPr>
              </m:ctrlPr>
            </m:num>
            <m:den>
              <m:r>
                <m:rPr/>
                <w:rPr>
                  <w:rFonts w:ascii="Cambria Math" w:hAnsi="Cambria Math"/>
                </w:rPr>
                <m:t>u−d</m:t>
              </m:r>
              <m:ctrlPr>
                <w:rPr>
                  <w:rFonts w:ascii="Cambria Math" w:hAnsi="Cambria Math"/>
                </w:rPr>
              </m:ctrlPr>
            </m:den>
          </m:f>
        </m:oMath>
      </m:oMathPara>
    </w:p>
    <w:p w14:paraId="5392D043">
      <w:pPr>
        <w:ind w:firstLine="420"/>
        <w:rPr>
          <w:rFonts w:hAnsi="Cambria Math"/>
        </w:rPr>
      </w:pPr>
    </w:p>
    <w:p w14:paraId="424C8291">
      <w:pPr>
        <w:ind w:firstLine="420"/>
        <w:rPr>
          <w:rFonts w:hAnsi="Cambria Math"/>
        </w:rPr>
      </w:pPr>
      <w:r>
        <w:rPr>
          <w:rFonts w:hint="eastAsia" w:hAnsi="Cambria Math"/>
        </w:rPr>
        <w:t>则欧式期权的价值可以将t = T时刻的最终收益折现至t = 0时刻得到：</w:t>
      </w:r>
    </w:p>
    <w:p w14:paraId="0C39C18E">
      <w:pPr>
        <w:ind w:firstLine="420"/>
        <w:rPr>
          <w:rFonts w:hAnsi="Cambria Math"/>
        </w:rPr>
      </w:pPr>
    </w:p>
    <w:p w14:paraId="1EC32600">
      <w:pPr>
        <w:ind w:firstLine="420"/>
        <w:rPr>
          <w:rFonts w:hAnsi="Cambria Math"/>
        </w:rPr>
      </w:pPr>
      <m:oMathPara>
        <m:oMath>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0</m:t>
              </m:r>
              <m:ctrlPr>
                <w:rPr>
                  <w:rFonts w:ascii="Cambria Math" w:hAnsi="Cambria Math"/>
                </w:rPr>
              </m:ctrlPr>
            </m:sub>
          </m:sSub>
          <m:r>
            <m:rPr/>
            <w:rPr>
              <w:rFonts w:ascii="Cambria Math" w:hAnsi="Cambria Math"/>
            </w:rPr>
            <m:t>=</m:t>
          </m:r>
          <m:sSup>
            <m:sSupPr>
              <m:ctrlPr>
                <w:rPr>
                  <w:rFonts w:ascii="Cambria Math" w:hAnsi="Cambria Math"/>
                </w:rPr>
              </m:ctrlPr>
            </m:sSupPr>
            <m:e>
              <m:r>
                <m:rPr/>
                <w:rPr>
                  <w:rFonts w:ascii="Cambria Math" w:hAnsi="Cambria Math"/>
                </w:rPr>
                <m:t>e</m:t>
              </m:r>
              <m:ctrlPr>
                <w:rPr>
                  <w:rFonts w:ascii="Cambria Math" w:hAnsi="Cambria Math"/>
                </w:rPr>
              </m:ctrlPr>
            </m:e>
            <m:sup>
              <m:r>
                <m:rPr/>
                <w:rPr>
                  <w:rFonts w:ascii="Cambria Math" w:hAnsi="Cambria Math"/>
                </w:rPr>
                <m:t>−rT</m:t>
              </m:r>
              <m:ctrlPr>
                <w:rPr>
                  <w:rFonts w:ascii="Cambria Math" w:hAnsi="Cambria Math"/>
                </w:rPr>
              </m:ctrlPr>
            </m:sup>
          </m:sSup>
          <m:sSup>
            <m:sSupPr>
              <m:ctrlPr>
                <w:rPr>
                  <w:rFonts w:ascii="Cambria Math" w:hAnsi="Cambria Math"/>
                </w:rPr>
              </m:ctrlPr>
            </m:sSupPr>
            <m:e>
              <m:r>
                <m:rPr>
                  <m:sty m:val="b"/>
                </m:rPr>
                <w:rPr>
                  <w:rFonts w:ascii="Cambria Math" w:hAnsi="Cambria Math"/>
                </w:rPr>
                <m:t>E</m:t>
              </m:r>
              <m:ctrlPr>
                <w:rPr>
                  <w:rFonts w:ascii="Cambria Math" w:hAnsi="Cambria Math"/>
                </w:rPr>
              </m:ctrlPr>
            </m:e>
            <m:sup>
              <m:r>
                <m:rPr>
                  <m:sty m:val="b"/>
                </m:rPr>
                <w:rPr>
                  <w:rFonts w:ascii="Cambria Math" w:hAnsi="Cambria Math"/>
                </w:rPr>
                <m:t>Q</m:t>
              </m:r>
              <m:ctrlPr>
                <w:rPr>
                  <w:rFonts w:ascii="Cambria Math" w:hAnsi="Cambria Math"/>
                </w:rPr>
              </m:ctrlPr>
            </m:sup>
          </m:sSup>
          <m:r>
            <m:rPr/>
            <w:rPr>
              <w:rFonts w:ascii="Cambria Math" w:hAnsi="Cambria Math"/>
            </w:rPr>
            <m:t>[</m:t>
          </m:r>
          <m:sSub>
            <m:sSubPr>
              <m:ctrlPr>
                <w:rPr>
                  <w:rFonts w:ascii="Cambria Math" w:hAnsi="Cambria Math"/>
                </w:rPr>
              </m:ctrlPr>
            </m:sSubPr>
            <m:e>
              <m:r>
                <m:rPr/>
                <w:rPr>
                  <w:rFonts w:ascii="Cambria Math" w:hAnsi="Cambria Math"/>
                </w:rPr>
                <m:t>C</m:t>
              </m:r>
              <m:ctrlPr>
                <w:rPr>
                  <w:rFonts w:ascii="Cambria Math" w:hAnsi="Cambria Math"/>
                </w:rPr>
              </m:ctrlPr>
            </m:e>
            <m:sub>
              <m:r>
                <m:rPr/>
                <w:rPr>
                  <w:rFonts w:ascii="Cambria Math" w:hAnsi="Cambria Math"/>
                </w:rPr>
                <m:t>T</m:t>
              </m:r>
              <m:ctrlPr>
                <w:rPr>
                  <w:rFonts w:ascii="Cambria Math" w:hAnsi="Cambria Math"/>
                </w:rPr>
              </m:ctrlPr>
            </m:sub>
          </m:sSub>
          <m:r>
            <m:rPr/>
            <w:rPr>
              <w:rFonts w:ascii="Cambria Math" w:hAnsi="Cambria Math"/>
            </w:rPr>
            <m:t>]</m:t>
          </m:r>
        </m:oMath>
      </m:oMathPara>
    </w:p>
    <w:p w14:paraId="3F95976E">
      <w:pPr>
        <w:ind w:firstLine="420"/>
        <w:rPr>
          <w:rFonts w:hAnsi="Cambria Math"/>
        </w:rPr>
      </w:pPr>
    </w:p>
    <w:p w14:paraId="68DF3119">
      <w:pPr>
        <w:ind w:firstLine="420"/>
        <w:rPr>
          <w:rFonts w:hAnsi="Cambria Math"/>
        </w:rPr>
      </w:pPr>
      <w:r>
        <w:rPr>
          <w:rFonts w:hint="eastAsia" w:hAnsi="Cambria Math"/>
        </w:rPr>
        <w:t xml:space="preserve">折现的过程从t = T - </w:t>
      </w:r>
      <m:oMath>
        <m:r>
          <m:rPr>
            <m:sty m:val="p"/>
          </m:rPr>
          <w:rPr>
            <w:rFonts w:ascii="Cambria Math" w:hAnsi="Cambria Math"/>
          </w:rPr>
          <m:t>Δt</m:t>
        </m:r>
      </m:oMath>
      <w:r>
        <w:rPr>
          <w:rFonts w:hint="eastAsia" w:hAnsi="Cambria Math"/>
        </w:rPr>
        <w:t xml:space="preserve"> 开始，一步一步、一个节点一个节点倒推完成。</w:t>
      </w:r>
    </w:p>
    <w:p w14:paraId="556B79A0">
      <w:pPr>
        <w:pStyle w:val="4"/>
      </w:pPr>
      <w:bookmarkStart w:id="12" w:name="_Toc15658"/>
      <w:r>
        <w:rPr>
          <w:rFonts w:hint="eastAsia"/>
        </w:rPr>
        <w:t>3.1.1 美式期权的二项式定价</w:t>
      </w:r>
      <w:bookmarkEnd w:id="12"/>
    </w:p>
    <w:p w14:paraId="1725DE65">
      <w:pPr>
        <w:ind w:firstLine="420"/>
      </w:pPr>
      <w:r>
        <w:rPr>
          <w:rFonts w:hint="eastAsia"/>
        </w:rPr>
        <w:t>美式期权的二项式定价与欧式期权相似。不同的点在于美式期权可提前执行，因此在每一个节点需要比较提前行权的价值(执行价值)与继续持有的期望价值(持有价值)，则节点处期权价值为max(执行价值,持有价值)。在每一个节点进行比较，一个一个节点倒推折现回期初即为美式期权的二项式定价价格。</w:t>
      </w:r>
    </w:p>
    <w:p w14:paraId="22D1986B">
      <w:pPr>
        <w:pStyle w:val="4"/>
      </w:pPr>
      <w:bookmarkStart w:id="13" w:name="_Toc15052"/>
      <w:r>
        <w:rPr>
          <w:rFonts w:hint="eastAsia"/>
        </w:rPr>
        <w:t>3.1.2 复合期权X的二项式定价模型实现</w:t>
      </w:r>
      <w:bookmarkEnd w:id="13"/>
    </w:p>
    <w:p w14:paraId="5DD0FE89">
      <w:pPr>
        <w:ind w:firstLine="420"/>
      </w:pPr>
      <w:r>
        <w:t>对于复合期权 V2，定价需要一个双重回溯过程</w:t>
      </w:r>
      <w:r>
        <w:rPr>
          <w:rFonts w:hint="eastAsia"/>
        </w:rPr>
        <w:t>，下文称为双重二叉树。首先</w:t>
      </w:r>
      <w:r>
        <w:t>构建价格树: 构建从 t 到 TV1 的完整二叉树，总时间步 M=Mouter+Minner。</w:t>
      </w:r>
    </w:p>
    <w:p w14:paraId="35C1BA6B">
      <w:pPr>
        <w:ind w:firstLine="420"/>
      </w:pPr>
      <w:r>
        <w:t>定价内层期权 (V1):</w:t>
      </w:r>
    </w:p>
    <w:p w14:paraId="64195CE2">
      <w:pPr>
        <w:ind w:firstLine="420"/>
      </w:pPr>
      <w:r>
        <w:t>从 TV1 (内层期权到期日) 开始，计算 V1 的到期收益 max{K2−(S(TV1))3/2,0}。回溯至 TV2 (外层期权到期日/内层期权起始日)，在每个节点上，根据风险中性概率和折现因子计算 V1 的期望价值。</w:t>
      </w:r>
    </w:p>
    <w:p w14:paraId="3C0D24EA">
      <w:pPr>
        <w:ind w:firstLine="420"/>
      </w:pPr>
      <w:r>
        <w:t>对于美式 V1，在回溯的每一步（j=TV1−1,…,TV2），必须比较继续持有价值和即时行权价值 max{K2−(S(tj))3/2,0}，并取两者中较大者。</w:t>
      </w:r>
    </w:p>
    <w:p w14:paraId="5F4E048A">
      <w:pPr>
        <w:ind w:firstLine="420"/>
      </w:pPr>
      <w:r>
        <w:t>定价外层期权 (V2):</w:t>
      </w:r>
    </w:p>
    <w:p w14:paraId="4F1112AD">
      <w:pPr>
        <w:ind w:firstLine="420"/>
      </w:pPr>
      <w:r>
        <w:t>以 TV2 时刻树上所有 V1 的价值作为 V2 在 TV2 时刻的标的资产价格。</w:t>
      </w:r>
    </w:p>
    <w:p w14:paraId="5D0649F1">
      <w:r>
        <w:t>计算 V2 在 TV2 的收益 max{N1(V1(TV2)−K1),0}。将此收益从 TV2 时刻回溯到 t 时刻，得到最终的 V2 价格。</w:t>
      </w:r>
    </w:p>
    <w:p w14:paraId="554F8D3F">
      <w:pPr>
        <w:pStyle w:val="3"/>
      </w:pPr>
      <w:bookmarkStart w:id="14" w:name="_Toc2827"/>
      <w:r>
        <w:rPr>
          <w:rFonts w:hint="eastAsia"/>
        </w:rPr>
        <w:t>3.2 二项式定价结果</w:t>
      </w:r>
      <w:bookmarkEnd w:id="14"/>
    </w:p>
    <w:p w14:paraId="67EA9CE6">
      <w:pPr>
        <w:pStyle w:val="4"/>
      </w:pPr>
      <w:bookmarkStart w:id="15" w:name="_Toc23564"/>
      <w:r>
        <w:rPr>
          <w:rFonts w:hint="eastAsia"/>
        </w:rPr>
        <w:t>3.2.1 期权合约及二项式参数</w:t>
      </w:r>
      <w:bookmarkEnd w:id="15"/>
    </w:p>
    <w:p w14:paraId="2E921CCA">
      <w:pPr>
        <w:ind w:firstLine="420"/>
      </w:pPr>
      <w:r>
        <w:rPr>
          <w:rFonts w:hint="eastAsia"/>
        </w:rPr>
        <w:t>外层期权执行价K1：</w:t>
      </w:r>
    </w:p>
    <w:p w14:paraId="3667472D">
      <w:pPr>
        <w:ind w:firstLine="420"/>
      </w:pPr>
      <w:r>
        <w:rPr>
          <w:rFonts w:hint="eastAsia"/>
        </w:rPr>
        <w:t>由于期权X为虚拟期权，外层期权的执行价无可参考价格，故本文取内层期权在T时刻价格的中位数作为外层期权X的基准执行价格，经计算为70$</w:t>
      </w:r>
    </w:p>
    <w:p w14:paraId="3322625D">
      <w:pPr>
        <w:ind w:firstLine="420"/>
      </w:pPr>
      <w:r>
        <w:rPr>
          <w:rFonts w:hint="eastAsia"/>
        </w:rPr>
        <w:t>内层期权执行价K2：</w:t>
      </w:r>
    </w:p>
    <w:p w14:paraId="49245B88">
      <w:pPr>
        <w:ind w:firstLine="420"/>
      </w:pPr>
      <w:r>
        <w:rPr>
          <w:rFonts w:hint="eastAsia"/>
        </w:rPr>
        <w:t>参考香港交易所腾讯股票标准欧式期权的常见执行价，基准值设为630HK$，经汇率转化后，为81.31$。</w:t>
      </w:r>
    </w:p>
    <w:p w14:paraId="12D850C4">
      <w:pPr>
        <w:ind w:firstLine="420"/>
      </w:pPr>
      <w:r>
        <w:rPr>
          <w:rFonts w:hint="eastAsia"/>
        </w:rPr>
        <w:t>二叉树总步数N:</w:t>
      </w:r>
    </w:p>
    <w:p w14:paraId="0F9F394F">
      <w:pPr>
        <w:ind w:firstLine="420"/>
      </w:pPr>
      <w:r>
        <w:rPr>
          <w:rFonts w:hint="eastAsia"/>
        </w:rPr>
        <w:t>基准值设为1000</w:t>
      </w:r>
    </w:p>
    <w:p w14:paraId="6A6657D3">
      <w:pPr>
        <w:ind w:firstLine="420"/>
      </w:pPr>
      <w:r>
        <w:rPr>
          <w:rFonts w:hint="eastAsia"/>
        </w:rPr>
        <w:t>当前时间t：</w:t>
      </w:r>
    </w:p>
    <w:p w14:paraId="73442878">
      <w:pPr>
        <w:ind w:firstLine="420"/>
      </w:pPr>
      <w:r>
        <w:rPr>
          <w:rFonts w:hint="eastAsia"/>
        </w:rPr>
        <w:t>基准值为2025年11月5日</w:t>
      </w:r>
    </w:p>
    <w:p w14:paraId="18D1763D">
      <w:pPr>
        <w:ind w:firstLine="420"/>
      </w:pPr>
      <w:r>
        <w:rPr>
          <w:rFonts w:hint="eastAsia"/>
        </w:rPr>
        <w:t>内层期权起始日TV2:</w:t>
      </w:r>
    </w:p>
    <w:p w14:paraId="36B1B257">
      <w:pPr>
        <w:ind w:firstLine="420"/>
      </w:pPr>
      <w:r>
        <w:rPr>
          <w:rFonts w:hint="eastAsia"/>
        </w:rPr>
        <w:t>参考香港交易所腾讯标准欧式期权交易日，基准值设为2026年2月25日</w:t>
      </w:r>
    </w:p>
    <w:p w14:paraId="5A138593">
      <w:pPr>
        <w:ind w:firstLine="420"/>
      </w:pPr>
      <w:r>
        <w:rPr>
          <w:rFonts w:hint="eastAsia"/>
        </w:rPr>
        <w:t>内层期权到期日TV1:</w:t>
      </w:r>
    </w:p>
    <w:p w14:paraId="39F84DAA">
      <w:pPr>
        <w:ind w:firstLine="420"/>
      </w:pPr>
      <w:r>
        <w:rPr>
          <w:rFonts w:hint="eastAsia"/>
        </w:rPr>
        <w:t>基准期限为3个月，到期时间为2026年5月26日</w:t>
      </w:r>
    </w:p>
    <w:p w14:paraId="05C856DE">
      <w:pPr>
        <w:ind w:firstLine="420"/>
      </w:pPr>
      <w:r>
        <w:rPr>
          <w:rFonts w:hint="eastAsia"/>
        </w:rPr>
        <w:t>本文的二项式定价表格如下：</w:t>
      </w:r>
    </w:p>
    <w:tbl>
      <w:tblPr>
        <w:tblStyle w:val="21"/>
        <w:tblW w:w="91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6"/>
        <w:gridCol w:w="960"/>
        <w:gridCol w:w="1401"/>
        <w:gridCol w:w="1296"/>
        <w:gridCol w:w="1379"/>
        <w:gridCol w:w="960"/>
        <w:gridCol w:w="1402"/>
        <w:gridCol w:w="782"/>
      </w:tblGrid>
      <w:tr w14:paraId="66A26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936" w:type="dxa"/>
            <w:tcBorders>
              <w:top w:val="single" w:color="auto" w:sz="12" w:space="0"/>
              <w:left w:val="nil"/>
              <w:bottom w:val="single" w:color="auto" w:sz="4" w:space="0"/>
              <w:right w:val="nil"/>
            </w:tcBorders>
            <w:vAlign w:val="center"/>
          </w:tcPr>
          <w:p w14:paraId="71B92989">
            <w:pPr>
              <w:snapToGrid w:val="0"/>
              <w:spacing w:line="240" w:lineRule="auto"/>
              <w:jc w:val="center"/>
              <w:rPr>
                <w:b/>
              </w:rPr>
            </w:pPr>
            <w:r>
              <w:rPr>
                <w:rFonts w:hint="eastAsia"/>
                <w:b/>
              </w:rPr>
              <w:t>外层期权类型</w:t>
            </w:r>
          </w:p>
        </w:tc>
        <w:tc>
          <w:tcPr>
            <w:tcW w:w="960" w:type="dxa"/>
            <w:tcBorders>
              <w:top w:val="single" w:color="auto" w:sz="12" w:space="0"/>
              <w:left w:val="nil"/>
              <w:bottom w:val="single" w:color="auto" w:sz="4" w:space="0"/>
              <w:right w:val="nil"/>
            </w:tcBorders>
            <w:vAlign w:val="center"/>
          </w:tcPr>
          <w:p w14:paraId="677B5106">
            <w:pPr>
              <w:snapToGrid w:val="0"/>
              <w:spacing w:line="240" w:lineRule="auto"/>
              <w:jc w:val="center"/>
              <w:rPr>
                <w:b/>
              </w:rPr>
            </w:pPr>
            <w:r>
              <w:rPr>
                <w:rFonts w:hint="eastAsia"/>
                <w:b/>
              </w:rPr>
              <w:t>外层期权执行价K1</w:t>
            </w:r>
          </w:p>
        </w:tc>
        <w:tc>
          <w:tcPr>
            <w:tcW w:w="1401" w:type="dxa"/>
            <w:tcBorders>
              <w:top w:val="single" w:color="auto" w:sz="12" w:space="0"/>
              <w:left w:val="nil"/>
              <w:bottom w:val="single" w:color="auto" w:sz="4" w:space="0"/>
              <w:right w:val="nil"/>
            </w:tcBorders>
            <w:vAlign w:val="center"/>
          </w:tcPr>
          <w:p w14:paraId="00E02E85">
            <w:pPr>
              <w:snapToGrid w:val="0"/>
              <w:spacing w:line="240" w:lineRule="auto"/>
              <w:jc w:val="center"/>
              <w:rPr>
                <w:b/>
              </w:rPr>
            </w:pPr>
            <w:r>
              <w:rPr>
                <w:rFonts w:hint="eastAsia"/>
                <w:b/>
              </w:rPr>
              <w:t>外层期权时间步N_outer</w:t>
            </w:r>
          </w:p>
        </w:tc>
        <w:tc>
          <w:tcPr>
            <w:tcW w:w="1296" w:type="dxa"/>
            <w:tcBorders>
              <w:top w:val="single" w:color="auto" w:sz="12" w:space="0"/>
              <w:left w:val="nil"/>
              <w:bottom w:val="single" w:color="auto" w:sz="4" w:space="0"/>
              <w:right w:val="nil"/>
            </w:tcBorders>
            <w:vAlign w:val="center"/>
          </w:tcPr>
          <w:p w14:paraId="336567E7">
            <w:pPr>
              <w:snapToGrid w:val="0"/>
              <w:spacing w:line="240" w:lineRule="auto"/>
              <w:jc w:val="center"/>
              <w:rPr>
                <w:b/>
              </w:rPr>
            </w:pPr>
            <w:r>
              <w:rPr>
                <w:rFonts w:hint="eastAsia"/>
                <w:b/>
              </w:rPr>
              <w:t>内层期权类型</w:t>
            </w:r>
          </w:p>
        </w:tc>
        <w:tc>
          <w:tcPr>
            <w:tcW w:w="1379" w:type="dxa"/>
            <w:tcBorders>
              <w:top w:val="single" w:color="auto" w:sz="12" w:space="0"/>
              <w:left w:val="nil"/>
              <w:bottom w:val="single" w:color="auto" w:sz="4" w:space="0"/>
              <w:right w:val="nil"/>
            </w:tcBorders>
            <w:vAlign w:val="center"/>
          </w:tcPr>
          <w:p w14:paraId="544FDC9D">
            <w:pPr>
              <w:snapToGrid w:val="0"/>
              <w:spacing w:line="240" w:lineRule="auto"/>
              <w:jc w:val="center"/>
              <w:rPr>
                <w:b/>
              </w:rPr>
            </w:pPr>
            <w:r>
              <w:rPr>
                <w:rFonts w:hint="eastAsia"/>
                <w:b/>
              </w:rPr>
              <w:t>内层期权期限C_inner（年）</w:t>
            </w:r>
          </w:p>
        </w:tc>
        <w:tc>
          <w:tcPr>
            <w:tcW w:w="960" w:type="dxa"/>
            <w:tcBorders>
              <w:top w:val="single" w:color="auto" w:sz="12" w:space="0"/>
              <w:left w:val="nil"/>
              <w:bottom w:val="single" w:color="auto" w:sz="4" w:space="0"/>
              <w:right w:val="nil"/>
            </w:tcBorders>
            <w:vAlign w:val="center"/>
          </w:tcPr>
          <w:p w14:paraId="16CF5442">
            <w:pPr>
              <w:snapToGrid w:val="0"/>
              <w:spacing w:line="240" w:lineRule="auto"/>
              <w:jc w:val="center"/>
              <w:rPr>
                <w:b/>
              </w:rPr>
            </w:pPr>
            <w:r>
              <w:rPr>
                <w:rFonts w:hint="eastAsia"/>
                <w:b/>
              </w:rPr>
              <w:t>内层期权执行价K2</w:t>
            </w:r>
          </w:p>
        </w:tc>
        <w:tc>
          <w:tcPr>
            <w:tcW w:w="1402" w:type="dxa"/>
            <w:tcBorders>
              <w:top w:val="single" w:color="auto" w:sz="12" w:space="0"/>
              <w:left w:val="nil"/>
              <w:bottom w:val="single" w:color="auto" w:sz="4" w:space="0"/>
              <w:right w:val="nil"/>
            </w:tcBorders>
            <w:vAlign w:val="center"/>
          </w:tcPr>
          <w:p w14:paraId="2AE02246">
            <w:pPr>
              <w:snapToGrid w:val="0"/>
              <w:spacing w:line="240" w:lineRule="auto"/>
              <w:jc w:val="center"/>
              <w:rPr>
                <w:b/>
              </w:rPr>
            </w:pPr>
            <w:r>
              <w:rPr>
                <w:rFonts w:hint="eastAsia"/>
                <w:b/>
              </w:rPr>
              <w:t>内层期权时间步N_inner</w:t>
            </w:r>
          </w:p>
        </w:tc>
        <w:tc>
          <w:tcPr>
            <w:tcW w:w="782" w:type="dxa"/>
            <w:tcBorders>
              <w:top w:val="single" w:color="auto" w:sz="12" w:space="0"/>
              <w:left w:val="nil"/>
              <w:bottom w:val="single" w:color="auto" w:sz="4" w:space="0"/>
              <w:right w:val="nil"/>
            </w:tcBorders>
            <w:vAlign w:val="center"/>
          </w:tcPr>
          <w:p w14:paraId="738F970A">
            <w:pPr>
              <w:snapToGrid w:val="0"/>
              <w:spacing w:line="240" w:lineRule="auto"/>
              <w:jc w:val="center"/>
              <w:rPr>
                <w:b/>
              </w:rPr>
            </w:pPr>
            <w:r>
              <w:rPr>
                <w:rFonts w:hint="eastAsia"/>
                <w:b/>
              </w:rPr>
              <w:t>衍生品X价格</w:t>
            </w:r>
          </w:p>
        </w:tc>
      </w:tr>
      <w:tr w14:paraId="2706F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Borders>
              <w:top w:val="single" w:color="auto" w:sz="4" w:space="0"/>
              <w:left w:val="nil"/>
              <w:bottom w:val="nil"/>
              <w:right w:val="nil"/>
            </w:tcBorders>
            <w:vAlign w:val="center"/>
          </w:tcPr>
          <w:p w14:paraId="7EBCE750">
            <w:pPr>
              <w:snapToGrid w:val="0"/>
              <w:spacing w:line="240" w:lineRule="auto"/>
              <w:jc w:val="center"/>
            </w:pPr>
            <w:r>
              <w:rPr>
                <w:rFonts w:hint="eastAsia"/>
              </w:rPr>
              <w:t>看涨</w:t>
            </w:r>
          </w:p>
        </w:tc>
        <w:tc>
          <w:tcPr>
            <w:tcW w:w="960" w:type="dxa"/>
            <w:tcBorders>
              <w:top w:val="single" w:color="auto" w:sz="4" w:space="0"/>
              <w:left w:val="nil"/>
              <w:bottom w:val="nil"/>
              <w:right w:val="nil"/>
            </w:tcBorders>
            <w:vAlign w:val="center"/>
          </w:tcPr>
          <w:p w14:paraId="3002F2FB">
            <w:pPr>
              <w:snapToGrid w:val="0"/>
              <w:spacing w:line="240" w:lineRule="auto"/>
              <w:jc w:val="center"/>
            </w:pPr>
            <w:r>
              <w:rPr>
                <w:rFonts w:hint="eastAsia"/>
              </w:rPr>
              <w:t>70</w:t>
            </w:r>
          </w:p>
        </w:tc>
        <w:tc>
          <w:tcPr>
            <w:tcW w:w="1401" w:type="dxa"/>
            <w:tcBorders>
              <w:top w:val="single" w:color="auto" w:sz="4" w:space="0"/>
              <w:left w:val="nil"/>
              <w:bottom w:val="nil"/>
              <w:right w:val="nil"/>
            </w:tcBorders>
            <w:vAlign w:val="center"/>
          </w:tcPr>
          <w:p w14:paraId="7C305807">
            <w:pPr>
              <w:snapToGrid w:val="0"/>
              <w:spacing w:line="240" w:lineRule="auto"/>
              <w:jc w:val="center"/>
            </w:pPr>
            <w:r>
              <w:rPr>
                <w:rFonts w:hint="eastAsia"/>
              </w:rPr>
              <w:t>555</w:t>
            </w:r>
          </w:p>
        </w:tc>
        <w:tc>
          <w:tcPr>
            <w:tcW w:w="1296" w:type="dxa"/>
            <w:tcBorders>
              <w:top w:val="single" w:color="auto" w:sz="4" w:space="0"/>
              <w:left w:val="nil"/>
              <w:bottom w:val="nil"/>
              <w:right w:val="nil"/>
            </w:tcBorders>
            <w:vAlign w:val="center"/>
          </w:tcPr>
          <w:p w14:paraId="65AE045E">
            <w:pPr>
              <w:snapToGrid w:val="0"/>
              <w:spacing w:line="240" w:lineRule="auto"/>
              <w:jc w:val="center"/>
            </w:pPr>
            <w:r>
              <w:rPr>
                <w:rFonts w:hint="eastAsia"/>
              </w:rPr>
              <w:t>欧式看跌</w:t>
            </w:r>
          </w:p>
        </w:tc>
        <w:tc>
          <w:tcPr>
            <w:tcW w:w="1379" w:type="dxa"/>
            <w:tcBorders>
              <w:top w:val="single" w:color="auto" w:sz="4" w:space="0"/>
              <w:left w:val="nil"/>
              <w:bottom w:val="nil"/>
              <w:right w:val="nil"/>
            </w:tcBorders>
            <w:vAlign w:val="center"/>
          </w:tcPr>
          <w:p w14:paraId="5FEA85DA">
            <w:pPr>
              <w:snapToGrid w:val="0"/>
              <w:spacing w:line="240" w:lineRule="auto"/>
              <w:jc w:val="center"/>
            </w:pPr>
            <w:r>
              <w:rPr>
                <w:rFonts w:hint="eastAsia"/>
              </w:rPr>
              <w:t>0.25</w:t>
            </w:r>
          </w:p>
        </w:tc>
        <w:tc>
          <w:tcPr>
            <w:tcW w:w="960" w:type="dxa"/>
            <w:tcBorders>
              <w:top w:val="single" w:color="auto" w:sz="4" w:space="0"/>
              <w:left w:val="nil"/>
              <w:bottom w:val="nil"/>
              <w:right w:val="nil"/>
            </w:tcBorders>
            <w:vAlign w:val="center"/>
          </w:tcPr>
          <w:p w14:paraId="431DF820">
            <w:pPr>
              <w:snapToGrid w:val="0"/>
              <w:spacing w:line="240" w:lineRule="auto"/>
              <w:jc w:val="center"/>
            </w:pPr>
            <w:r>
              <w:rPr>
                <w:rFonts w:hint="eastAsia"/>
              </w:rPr>
              <w:t>81.31</w:t>
            </w:r>
          </w:p>
        </w:tc>
        <w:tc>
          <w:tcPr>
            <w:tcW w:w="1402" w:type="dxa"/>
            <w:tcBorders>
              <w:top w:val="single" w:color="auto" w:sz="4" w:space="0"/>
              <w:left w:val="nil"/>
              <w:bottom w:val="nil"/>
              <w:right w:val="nil"/>
            </w:tcBorders>
            <w:vAlign w:val="center"/>
          </w:tcPr>
          <w:p w14:paraId="6FC4CE18">
            <w:pPr>
              <w:snapToGrid w:val="0"/>
              <w:spacing w:line="240" w:lineRule="auto"/>
              <w:jc w:val="center"/>
            </w:pPr>
            <w:r>
              <w:rPr>
                <w:rFonts w:hint="eastAsia"/>
              </w:rPr>
              <w:t>445</w:t>
            </w:r>
          </w:p>
        </w:tc>
        <w:tc>
          <w:tcPr>
            <w:tcW w:w="782" w:type="dxa"/>
            <w:tcBorders>
              <w:top w:val="single" w:color="auto" w:sz="4" w:space="0"/>
              <w:left w:val="nil"/>
              <w:bottom w:val="nil"/>
              <w:right w:val="nil"/>
            </w:tcBorders>
            <w:vAlign w:val="center"/>
          </w:tcPr>
          <w:p w14:paraId="6C237331">
            <w:pPr>
              <w:snapToGrid w:val="0"/>
              <w:spacing w:line="240" w:lineRule="auto"/>
              <w:jc w:val="center"/>
            </w:pPr>
            <w:r>
              <w:rPr>
                <w:rFonts w:hint="eastAsia"/>
              </w:rPr>
              <w:t>48.43</w:t>
            </w:r>
          </w:p>
        </w:tc>
      </w:tr>
      <w:tr w14:paraId="3FADD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36" w:type="dxa"/>
            <w:tcBorders>
              <w:top w:val="nil"/>
              <w:left w:val="nil"/>
              <w:bottom w:val="nil"/>
              <w:right w:val="nil"/>
            </w:tcBorders>
            <w:vAlign w:val="center"/>
          </w:tcPr>
          <w:p w14:paraId="524C7403">
            <w:pPr>
              <w:snapToGrid w:val="0"/>
              <w:spacing w:line="240" w:lineRule="auto"/>
              <w:jc w:val="center"/>
            </w:pPr>
            <w:r>
              <w:rPr>
                <w:rFonts w:hint="eastAsia"/>
              </w:rPr>
              <w:t>看涨</w:t>
            </w:r>
          </w:p>
        </w:tc>
        <w:tc>
          <w:tcPr>
            <w:tcW w:w="960" w:type="dxa"/>
            <w:tcBorders>
              <w:top w:val="nil"/>
              <w:left w:val="nil"/>
              <w:bottom w:val="nil"/>
              <w:right w:val="nil"/>
            </w:tcBorders>
            <w:vAlign w:val="center"/>
          </w:tcPr>
          <w:p w14:paraId="5A0B81A3">
            <w:pPr>
              <w:snapToGrid w:val="0"/>
              <w:spacing w:line="240" w:lineRule="auto"/>
              <w:jc w:val="center"/>
            </w:pPr>
            <w:r>
              <w:rPr>
                <w:rFonts w:hint="eastAsia"/>
              </w:rPr>
              <w:t>70</w:t>
            </w:r>
          </w:p>
        </w:tc>
        <w:tc>
          <w:tcPr>
            <w:tcW w:w="1401" w:type="dxa"/>
            <w:tcBorders>
              <w:top w:val="nil"/>
              <w:left w:val="nil"/>
              <w:bottom w:val="nil"/>
              <w:right w:val="nil"/>
            </w:tcBorders>
            <w:vAlign w:val="center"/>
          </w:tcPr>
          <w:p w14:paraId="06792F4C">
            <w:pPr>
              <w:snapToGrid w:val="0"/>
              <w:spacing w:line="240" w:lineRule="auto"/>
              <w:jc w:val="center"/>
            </w:pPr>
            <w:r>
              <w:rPr>
                <w:rFonts w:hint="eastAsia"/>
              </w:rPr>
              <w:t>555</w:t>
            </w:r>
          </w:p>
        </w:tc>
        <w:tc>
          <w:tcPr>
            <w:tcW w:w="1296" w:type="dxa"/>
            <w:tcBorders>
              <w:top w:val="nil"/>
              <w:left w:val="nil"/>
              <w:bottom w:val="nil"/>
              <w:right w:val="nil"/>
            </w:tcBorders>
            <w:vAlign w:val="center"/>
          </w:tcPr>
          <w:p w14:paraId="72182B5B">
            <w:pPr>
              <w:snapToGrid w:val="0"/>
              <w:spacing w:line="240" w:lineRule="auto"/>
              <w:jc w:val="center"/>
            </w:pPr>
            <w:r>
              <w:rPr>
                <w:rFonts w:hint="eastAsia"/>
              </w:rPr>
              <w:t>美式看跌</w:t>
            </w:r>
          </w:p>
        </w:tc>
        <w:tc>
          <w:tcPr>
            <w:tcW w:w="1379" w:type="dxa"/>
            <w:tcBorders>
              <w:top w:val="nil"/>
              <w:left w:val="nil"/>
              <w:bottom w:val="nil"/>
              <w:right w:val="nil"/>
            </w:tcBorders>
            <w:vAlign w:val="center"/>
          </w:tcPr>
          <w:p w14:paraId="24443D78">
            <w:pPr>
              <w:snapToGrid w:val="0"/>
              <w:spacing w:line="240" w:lineRule="auto"/>
              <w:jc w:val="center"/>
            </w:pPr>
            <w:r>
              <w:rPr>
                <w:rFonts w:hint="eastAsia"/>
              </w:rPr>
              <w:t>0.25</w:t>
            </w:r>
          </w:p>
        </w:tc>
        <w:tc>
          <w:tcPr>
            <w:tcW w:w="960" w:type="dxa"/>
            <w:tcBorders>
              <w:top w:val="nil"/>
              <w:left w:val="nil"/>
              <w:bottom w:val="nil"/>
              <w:right w:val="nil"/>
            </w:tcBorders>
            <w:vAlign w:val="center"/>
          </w:tcPr>
          <w:p w14:paraId="68F6DE5C">
            <w:pPr>
              <w:snapToGrid w:val="0"/>
              <w:spacing w:line="240" w:lineRule="auto"/>
              <w:jc w:val="center"/>
            </w:pPr>
            <w:r>
              <w:rPr>
                <w:rFonts w:hint="eastAsia"/>
              </w:rPr>
              <w:t>81.31</w:t>
            </w:r>
          </w:p>
        </w:tc>
        <w:tc>
          <w:tcPr>
            <w:tcW w:w="1402" w:type="dxa"/>
            <w:tcBorders>
              <w:top w:val="nil"/>
              <w:left w:val="nil"/>
              <w:bottom w:val="nil"/>
              <w:right w:val="nil"/>
            </w:tcBorders>
            <w:vAlign w:val="center"/>
          </w:tcPr>
          <w:p w14:paraId="61BD7159">
            <w:pPr>
              <w:snapToGrid w:val="0"/>
              <w:spacing w:line="240" w:lineRule="auto"/>
              <w:jc w:val="center"/>
            </w:pPr>
            <w:r>
              <w:rPr>
                <w:rFonts w:hint="eastAsia"/>
              </w:rPr>
              <w:t>445</w:t>
            </w:r>
          </w:p>
        </w:tc>
        <w:tc>
          <w:tcPr>
            <w:tcW w:w="782" w:type="dxa"/>
            <w:tcBorders>
              <w:top w:val="nil"/>
              <w:left w:val="nil"/>
              <w:bottom w:val="nil"/>
              <w:right w:val="nil"/>
            </w:tcBorders>
            <w:vAlign w:val="center"/>
          </w:tcPr>
          <w:p w14:paraId="3BB23BD3">
            <w:pPr>
              <w:snapToGrid w:val="0"/>
              <w:spacing w:line="240" w:lineRule="auto"/>
              <w:jc w:val="center"/>
            </w:pPr>
            <w:r>
              <w:rPr>
                <w:rFonts w:hint="eastAsia"/>
              </w:rPr>
              <w:t>51.18</w:t>
            </w:r>
          </w:p>
        </w:tc>
      </w:tr>
    </w:tbl>
    <w:p w14:paraId="00A06C80">
      <w:pPr>
        <w:rPr>
          <w:rFonts w:hAnsi="Cambria Math"/>
        </w:rPr>
      </w:pPr>
    </w:p>
    <w:p w14:paraId="256F1789">
      <w:pPr>
        <w:pStyle w:val="2"/>
        <w:numPr>
          <w:ilvl w:val="0"/>
          <w:numId w:val="1"/>
        </w:numPr>
      </w:pPr>
      <w:bookmarkStart w:id="16" w:name="_Toc3130"/>
      <w:r>
        <w:rPr>
          <w:rFonts w:hint="eastAsia"/>
        </w:rPr>
        <w:t>蒙特卡洛模拟定价</w:t>
      </w:r>
      <w:bookmarkEnd w:id="16"/>
    </w:p>
    <w:p w14:paraId="31E69C9E">
      <w:pPr>
        <w:pStyle w:val="3"/>
        <w:bidi w:val="0"/>
      </w:pPr>
      <w:bookmarkStart w:id="17" w:name="_Toc6347"/>
      <w:r>
        <w:rPr>
          <w:rFonts w:hint="eastAsia"/>
        </w:rPr>
        <w:t>4.1蒙特卡洛模拟基础</w:t>
      </w:r>
      <w:bookmarkEnd w:id="17"/>
    </w:p>
    <w:p w14:paraId="0BB2A966">
      <w:pPr>
        <w:pStyle w:val="4"/>
        <w:bidi w:val="0"/>
      </w:pPr>
      <w:r>
        <w:tab/>
      </w:r>
      <w:bookmarkStart w:id="18" w:name="_Toc18361"/>
      <w:r>
        <w:rPr>
          <w:rFonts w:hint="eastAsia"/>
        </w:rPr>
        <w:t>4.1.1定义</w:t>
      </w:r>
      <w:bookmarkEnd w:id="18"/>
    </w:p>
    <w:p w14:paraId="3C70CE8C">
      <w:pPr>
        <w:ind w:firstLine="420"/>
      </w:pPr>
      <w:r>
        <w:t>蒙特卡洛模拟是一种基于随机抽样的数值计算方法，通过生成大量随机路径来估计金融衍生品的期望价值。在期权定价中，其核心思想是在风险中性测度下模拟标的资产价格路径，然后计算每条路径的 payoff 的贴现值，最后取平均值作为期权价格的估计。</w:t>
      </w:r>
      <w:r>
        <w:rPr>
          <w:rFonts w:hint="eastAsia"/>
        </w:rPr>
        <w:t>简而言之，其核心思想是用大量的随机抽样来估计期望值，</w:t>
      </w:r>
      <w:r>
        <w:t>用"平均值"逼近"期望值"</w:t>
      </w:r>
      <w:r>
        <w:rPr>
          <w:rFonts w:hint="eastAsia"/>
        </w:rPr>
        <w:t>。</w:t>
      </w:r>
      <w:r>
        <w:t xml:space="preserve">在风险中性测度下，期权价格可以表示为贴现期望收益： </w:t>
      </w:r>
      <w:r>
        <w:rPr>
          <w:position w:val="-12"/>
        </w:rPr>
        <w:object>
          <v:shape id="_x0000_i1028" o:spt="75" type="#_x0000_t75" style="height:18.45pt;width:117.8pt;" o:ole="t" filled="f" o:preferrelative="t" stroked="f" coordsize="21600,21600">
            <v:path/>
            <v:fill on="f" focussize="0,0"/>
            <v:stroke on="f" joinstyle="miter"/>
            <v:imagedata r:id="rId15" o:title=""/>
            <o:lock v:ext="edit" aspectratio="t"/>
            <w10:wrap type="none"/>
            <w10:anchorlock/>
          </v:shape>
          <o:OLEObject Type="Embed" ProgID="Equation.AxMath" ShapeID="_x0000_i1028" DrawAspect="Content" ObjectID="_1468075729" r:id="rId14">
            <o:LockedField>false</o:LockedField>
          </o:OLEObject>
        </w:object>
      </w:r>
    </w:p>
    <w:p w14:paraId="5132CC12">
      <w:pPr>
        <w:pStyle w:val="4"/>
        <w:bidi w:val="0"/>
      </w:pPr>
      <w:bookmarkStart w:id="19" w:name="_Toc31036"/>
      <w:r>
        <w:rPr>
          <w:rFonts w:hint="eastAsia"/>
        </w:rPr>
        <w:t>4.1.2 奇异期权的结构分析</w:t>
      </w:r>
      <w:bookmarkEnd w:id="19"/>
    </w:p>
    <w:p w14:paraId="53D04061">
      <w:pPr>
        <w:ind w:firstLine="420"/>
      </w:pPr>
      <w:r>
        <w:rPr>
          <w:rFonts w:hint="eastAsia"/>
        </w:rPr>
        <w:t>内层期权（幂期权）：</w:t>
      </w:r>
      <w:r>
        <w:rPr>
          <w:position w:val="-13"/>
        </w:rPr>
        <w:object>
          <v:shape id="_x0000_i1029" o:spt="75" type="#_x0000_t75" style="height:19.55pt;width:175.75pt;" o:ole="t" filled="f" o:preferrelative="t" stroked="f" coordsize="21600,21600">
            <v:path/>
            <v:fill on="f" focussize="0,0"/>
            <v:stroke on="f" joinstyle="miter"/>
            <v:imagedata r:id="rId17" o:title=""/>
            <o:lock v:ext="edit" aspectratio="t"/>
            <w10:wrap type="none"/>
            <w10:anchorlock/>
          </v:shape>
          <o:OLEObject Type="Embed" ProgID="Equation.AxMath" ShapeID="_x0000_i1029" DrawAspect="Content" ObjectID="_1468075730" r:id="rId16">
            <o:LockedField>false</o:LockedField>
          </o:OLEObject>
        </w:object>
      </w:r>
    </w:p>
    <w:p w14:paraId="09D71C65">
      <w:pPr>
        <w:ind w:firstLine="420"/>
      </w:pPr>
      <w:r>
        <w:rPr>
          <w:rFonts w:hint="eastAsia"/>
        </w:rPr>
        <w:t>外层期权（复合期权）：</w:t>
      </w:r>
      <w:r>
        <w:rPr>
          <w:position w:val="-14"/>
        </w:rPr>
        <w:object>
          <v:shape id="_x0000_i1030" o:spt="75" type="#_x0000_t75" style="height:19.95pt;width:199.4pt;" o:ole="t" filled="f" o:preferrelative="t" stroked="f" coordsize="21600,21600">
            <v:path/>
            <v:fill on="f" focussize="0,0"/>
            <v:stroke on="f" joinstyle="miter"/>
            <v:imagedata r:id="rId19" o:title=""/>
            <o:lock v:ext="edit" aspectratio="t"/>
            <w10:wrap type="none"/>
            <w10:anchorlock/>
          </v:shape>
          <o:OLEObject Type="Embed" ProgID="Equation.AxMath" ShapeID="_x0000_i1030" DrawAspect="Content" ObjectID="_1468075731" r:id="rId18">
            <o:LockedField>false</o:LockedField>
          </o:OLEObject>
        </w:object>
      </w:r>
    </w:p>
    <w:p w14:paraId="5C59A069">
      <w:pPr>
        <w:pStyle w:val="3"/>
        <w:bidi w:val="0"/>
      </w:pPr>
      <w:bookmarkStart w:id="20" w:name="_Toc13630"/>
      <w:r>
        <w:rPr>
          <w:rFonts w:hint="eastAsia"/>
        </w:rPr>
        <w:t>4.2蒙特卡洛模拟结果</w:t>
      </w:r>
      <w:bookmarkEnd w:id="20"/>
    </w:p>
    <w:p w14:paraId="16CF6834">
      <w:r>
        <w:tab/>
      </w:r>
      <w:r>
        <w:rPr>
          <w:rFonts w:hint="eastAsia"/>
        </w:rPr>
        <w:t>基于以上基础和参数设定（二叉树部分），设置内外层模拟路径数</w:t>
      </w:r>
      <w:r>
        <w:rPr>
          <w:position w:val="-12"/>
        </w:rPr>
        <w:object>
          <v:shape id="_x0000_i1031" o:spt="75" type="#_x0000_t75" style="height:17.7pt;width:119.65pt;" o:ole="t" filled="f" o:preferrelative="t" stroked="f" coordsize="21600,21600">
            <v:path/>
            <v:fill on="f" focussize="0,0"/>
            <v:stroke on="f" joinstyle="miter"/>
            <v:imagedata r:id="rId21" o:title=""/>
            <o:lock v:ext="edit" aspectratio="t"/>
            <w10:wrap type="none"/>
            <w10:anchorlock/>
          </v:shape>
          <o:OLEObject Type="Embed" ProgID="Equation.AxMath" ShapeID="_x0000_i1031" DrawAspect="Content" ObjectID="_1468075732" r:id="rId20">
            <o:LockedField>false</o:LockedField>
          </o:OLEObject>
        </w:object>
      </w:r>
      <w:r>
        <w:rPr>
          <w:rFonts w:hint="eastAsia"/>
        </w:rPr>
        <w:t>，我们计算了内层期权为欧式和美式的情况，计算结果如下：</w:t>
      </w:r>
    </w:p>
    <w:p w14:paraId="4A6DED85">
      <w:r>
        <w:rPr>
          <w:rFonts w:hint="eastAsia"/>
        </w:rPr>
        <w:t xml:space="preserve">      表xx  蒙特卡洛计算结果</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74"/>
        <w:gridCol w:w="2074"/>
        <w:gridCol w:w="2074"/>
      </w:tblGrid>
      <w:tr w14:paraId="6C83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32B31511">
            <w:r>
              <w:rPr>
                <w:rFonts w:hint="eastAsia"/>
              </w:rPr>
              <w:t>内层期权类型</w:t>
            </w:r>
          </w:p>
        </w:tc>
        <w:tc>
          <w:tcPr>
            <w:tcW w:w="2074" w:type="dxa"/>
          </w:tcPr>
          <w:p w14:paraId="1B3BF3C3">
            <w:r>
              <w:t>Derivative X价格</w:t>
            </w:r>
          </w:p>
        </w:tc>
        <w:tc>
          <w:tcPr>
            <w:tcW w:w="2074" w:type="dxa"/>
          </w:tcPr>
          <w:p w14:paraId="6603375C">
            <w:pPr>
              <w:ind w:firstLine="240" w:firstLineChars="100"/>
            </w:pPr>
            <w:r>
              <w:rPr>
                <w:rFonts w:hint="eastAsia"/>
              </w:rPr>
              <w:t>二叉树的结果</w:t>
            </w:r>
          </w:p>
        </w:tc>
      </w:tr>
      <w:tr w14:paraId="32707C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E306F22">
            <w:r>
              <w:rPr>
                <w:rFonts w:hint="eastAsia"/>
              </w:rPr>
              <w:t>欧式</w:t>
            </w:r>
          </w:p>
        </w:tc>
        <w:tc>
          <w:tcPr>
            <w:tcW w:w="2074" w:type="dxa"/>
          </w:tcPr>
          <w:p w14:paraId="432438E7">
            <w:r>
              <w:t>48.03183752</w:t>
            </w:r>
          </w:p>
        </w:tc>
        <w:tc>
          <w:tcPr>
            <w:tcW w:w="2074" w:type="dxa"/>
          </w:tcPr>
          <w:p w14:paraId="5FA7CFAE">
            <w:r>
              <w:t>48.4324002</w:t>
            </w:r>
          </w:p>
        </w:tc>
      </w:tr>
      <w:tr w14:paraId="42B2F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4" w:type="dxa"/>
          </w:tcPr>
          <w:p w14:paraId="1BB54EDC">
            <w:r>
              <w:rPr>
                <w:rFonts w:hint="eastAsia"/>
              </w:rPr>
              <w:t>美式</w:t>
            </w:r>
          </w:p>
        </w:tc>
        <w:tc>
          <w:tcPr>
            <w:tcW w:w="2074" w:type="dxa"/>
          </w:tcPr>
          <w:p w14:paraId="159F0F0A">
            <w:r>
              <w:t>51.75982308</w:t>
            </w:r>
          </w:p>
        </w:tc>
        <w:tc>
          <w:tcPr>
            <w:tcW w:w="2074" w:type="dxa"/>
          </w:tcPr>
          <w:p w14:paraId="1210A031">
            <w:r>
              <w:t>51.1804167</w:t>
            </w:r>
          </w:p>
        </w:tc>
      </w:tr>
    </w:tbl>
    <w:p w14:paraId="50595EF3">
      <w:r>
        <w:tab/>
      </w:r>
      <w:r>
        <w:rPr>
          <w:rFonts w:hint="eastAsia"/>
        </w:rPr>
        <w:t>可以看出，二叉树和蒙特卡洛的结果接近。为了更直观地对比二叉树和蒙特卡洛模拟的结果，我们绘制了内层为欧式期权的蒙特卡洛收敛图以及和二叉树对比图：</w:t>
      </w:r>
    </w:p>
    <w:p w14:paraId="517AE51D">
      <w:r>
        <w:rPr>
          <w:rFonts w:hint="eastAsia"/>
        </w:rPr>
        <w:t xml:space="preserve">      图1：内层为欧式期权的蒙特卡洛收敛</w:t>
      </w:r>
    </w:p>
    <w:p w14:paraId="010A65F7"/>
    <w:p w14:paraId="240C948A">
      <w:r>
        <w:rPr>
          <w14:ligatures w14:val="none"/>
        </w:rPr>
        <w:drawing>
          <wp:inline distT="0" distB="0" distL="0" distR="0">
            <wp:extent cx="2743200" cy="2193290"/>
            <wp:effectExtent l="0" t="0" r="0" b="0"/>
            <wp:docPr id="1483879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87971" name="图片 1"/>
                    <pic:cNvPicPr>
                      <a:picLocks noChangeAspect="1"/>
                    </pic:cNvPicPr>
                  </pic:nvPicPr>
                  <pic:blipFill>
                    <a:blip r:embed="rId22"/>
                    <a:stretch>
                      <a:fillRect/>
                    </a:stretch>
                  </pic:blipFill>
                  <pic:spPr>
                    <a:xfrm>
                      <a:off x="0" y="0"/>
                      <a:ext cx="2750642" cy="2199586"/>
                    </a:xfrm>
                    <a:prstGeom prst="rect">
                      <a:avLst/>
                    </a:prstGeom>
                  </pic:spPr>
                </pic:pic>
              </a:graphicData>
            </a:graphic>
          </wp:inline>
        </w:drawing>
      </w:r>
    </w:p>
    <w:p w14:paraId="71FB9626">
      <w:pPr>
        <w:ind w:firstLine="420"/>
      </w:pPr>
      <w:r>
        <w:rPr>
          <w:rFonts w:hint="eastAsia"/>
        </w:rPr>
        <w:t>图2：内层为欧式期权的蒙特卡洛和二叉树结果对比</w:t>
      </w:r>
    </w:p>
    <w:p w14:paraId="2B43C2C8">
      <w:pPr>
        <w:ind w:firstLine="420"/>
      </w:pPr>
      <w:r>
        <w:rPr>
          <w14:ligatures w14:val="none"/>
        </w:rPr>
        <w:drawing>
          <wp:inline distT="0" distB="0" distL="0" distR="0">
            <wp:extent cx="3284855" cy="2427605"/>
            <wp:effectExtent l="0" t="0" r="0" b="0"/>
            <wp:docPr id="63315028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150281" name="图片 1"/>
                    <pic:cNvPicPr>
                      <a:picLocks noChangeAspect="1"/>
                    </pic:cNvPicPr>
                  </pic:nvPicPr>
                  <pic:blipFill>
                    <a:blip r:embed="rId23"/>
                    <a:stretch>
                      <a:fillRect/>
                    </a:stretch>
                  </pic:blipFill>
                  <pic:spPr>
                    <a:xfrm>
                      <a:off x="0" y="0"/>
                      <a:ext cx="3293781" cy="2434050"/>
                    </a:xfrm>
                    <a:prstGeom prst="rect">
                      <a:avLst/>
                    </a:prstGeom>
                  </pic:spPr>
                </pic:pic>
              </a:graphicData>
            </a:graphic>
          </wp:inline>
        </w:drawing>
      </w:r>
    </w:p>
    <w:p w14:paraId="53115904"/>
    <w:p w14:paraId="77132110">
      <w:pPr>
        <w:pStyle w:val="2"/>
        <w:numPr>
          <w:ilvl w:val="0"/>
          <w:numId w:val="1"/>
        </w:numPr>
      </w:pPr>
      <w:bookmarkStart w:id="21" w:name="_Toc11591"/>
      <w:r>
        <w:rPr>
          <w:rFonts w:hint="eastAsia"/>
        </w:rPr>
        <w:t>敏感性分析</w:t>
      </w:r>
      <w:bookmarkEnd w:id="21"/>
    </w:p>
    <w:p w14:paraId="33E86C32">
      <w:pPr>
        <w:pStyle w:val="3"/>
        <w:bidi w:val="0"/>
      </w:pPr>
      <w:bookmarkStart w:id="22" w:name="_Toc10228"/>
      <w:r>
        <w:rPr>
          <w:rFonts w:hint="eastAsia"/>
        </w:rPr>
        <w:t>5.1Delta和Gamma定义</w:t>
      </w:r>
      <w:bookmarkEnd w:id="22"/>
    </w:p>
    <w:p w14:paraId="4A94DFC7">
      <w:pPr>
        <w:pStyle w:val="4"/>
        <w:bidi w:val="0"/>
      </w:pPr>
      <w:bookmarkStart w:id="23" w:name="_Toc6848"/>
      <w:r>
        <w:rPr>
          <w:rFonts w:hint="eastAsia"/>
        </w:rPr>
        <w:t>5.1</w:t>
      </w:r>
      <w:r>
        <w:rPr>
          <w:rFonts w:hint="eastAsia"/>
          <w:lang w:val="en-US" w:eastAsia="zh-CN"/>
        </w:rPr>
        <w:t xml:space="preserve">.1 </w:t>
      </w:r>
      <w:r>
        <w:t>Delta(Δ)</w:t>
      </w:r>
      <w:bookmarkEnd w:id="23"/>
    </w:p>
    <w:p w14:paraId="6D713073">
      <w:r>
        <w:tab/>
      </w:r>
      <w:r>
        <w:rPr>
          <w:rFonts w:hint="eastAsia"/>
        </w:rPr>
        <w:t>希腊字母delta表示标的资产价格变化引起的期权价格变化，一般计算方式为</w:t>
      </w:r>
      <w:r>
        <w:rPr>
          <w:position w:val="-26"/>
        </w:rPr>
        <w:object>
          <v:shape id="_x0000_i1032" o:spt="75" type="#_x0000_t75" style="height:32.85pt;width:97.5pt;" o:ole="t" filled="f" o:preferrelative="t" stroked="f" coordsize="21600,21600">
            <v:path/>
            <v:fill on="f" focussize="0,0"/>
            <v:stroke on="f" joinstyle="miter"/>
            <v:imagedata r:id="rId25" o:title=""/>
            <o:lock v:ext="edit" aspectratio="t"/>
            <w10:wrap type="none"/>
            <w10:anchorlock/>
          </v:shape>
          <o:OLEObject Type="Embed" ProgID="Equation.AxMath" ShapeID="_x0000_i1032" DrawAspect="Content" ObjectID="_1468075733" r:id="rId24">
            <o:LockedField>false</o:LockedField>
          </o:OLEObject>
        </w:object>
      </w:r>
      <w:r>
        <w:rPr>
          <w:rFonts w:hint="eastAsia"/>
        </w:rPr>
        <w:t>，一般而言，看涨期权的delta为正值，看跌期权的delta为负值，在二叉树中，</w:t>
      </w:r>
      <w:r>
        <w:rPr>
          <w:position w:val="-26"/>
        </w:rPr>
        <w:object>
          <v:shape id="_x0000_i1033" o:spt="75" type="#_x0000_t75" style="height:32.85pt;width:173.15pt;" o:ole="t" filled="f" o:preferrelative="t" stroked="f" coordsize="21600,21600">
            <v:path/>
            <v:fill on="f" focussize="0,0"/>
            <v:stroke on="f" joinstyle="miter"/>
            <v:imagedata r:id="rId27" o:title=""/>
            <o:lock v:ext="edit" aspectratio="t"/>
            <w10:wrap type="none"/>
            <w10:anchorlock/>
          </v:shape>
          <o:OLEObject Type="Embed" ProgID="Equation.AxMath" ShapeID="_x0000_i1033" DrawAspect="Content" ObjectID="_1468075734" r:id="rId26">
            <o:LockedField>false</o:LockedField>
          </o:OLEObject>
        </w:object>
      </w:r>
      <w:r>
        <w:rPr>
          <w:rFonts w:hint="eastAsia"/>
        </w:rPr>
        <w:t>。</w:t>
      </w:r>
    </w:p>
    <w:p w14:paraId="7914966A">
      <w:pPr>
        <w:pStyle w:val="4"/>
        <w:bidi w:val="0"/>
      </w:pPr>
      <w:bookmarkStart w:id="24" w:name="_Toc14414"/>
      <w:r>
        <w:rPr>
          <w:rFonts w:hint="eastAsia"/>
        </w:rPr>
        <w:t>5</w:t>
      </w:r>
      <w:r>
        <w:rPr>
          <w:rFonts w:hint="eastAsia"/>
          <w:lang w:val="en-US" w:eastAsia="zh-CN"/>
        </w:rPr>
        <w:t>.1.2</w:t>
      </w:r>
      <w:r>
        <w:rPr>
          <w:rFonts w:hint="eastAsia"/>
        </w:rPr>
        <w:t xml:space="preserve"> Gamma(γ)</w:t>
      </w:r>
      <w:bookmarkEnd w:id="24"/>
      <w:r>
        <w:rPr>
          <w:rFonts w:hint="eastAsia"/>
        </w:rPr>
        <w:t xml:space="preserve"> </w:t>
      </w:r>
    </w:p>
    <w:p w14:paraId="4C9C85F7">
      <w:r>
        <w:tab/>
      </w:r>
      <w:r>
        <w:rPr>
          <w:rFonts w:hint="eastAsia"/>
        </w:rPr>
        <w:t>希腊字母Gamma表示标的资产价格变化引起的delta值变化，一般的计算方式为</w:t>
      </w:r>
      <w:r>
        <w:rPr>
          <w:position w:val="-26"/>
        </w:rPr>
        <w:object>
          <v:shape id="_x0000_i1034" o:spt="75" type="#_x0000_t75" style="height:32.85pt;width:103pt;" o:ole="t" filled="f" o:preferrelative="t" stroked="f" coordsize="21600,21600">
            <v:path/>
            <v:fill on="f" focussize="0,0"/>
            <v:stroke on="f" joinstyle="miter"/>
            <v:imagedata r:id="rId29" o:title=""/>
            <o:lock v:ext="edit" aspectratio="t"/>
            <w10:wrap type="none"/>
            <w10:anchorlock/>
          </v:shape>
          <o:OLEObject Type="Embed" ProgID="Equation.AxMath" ShapeID="_x0000_i1034" DrawAspect="Content" ObjectID="_1468075735" r:id="rId28">
            <o:LockedField>false</o:LockedField>
          </o:OLEObject>
        </w:object>
      </w:r>
      <w:r>
        <w:rPr>
          <w:rFonts w:hint="eastAsia"/>
        </w:rPr>
        <w:t xml:space="preserve">，看涨期权与看跌期权的多头Gamma值均大于0，看涨期权与看跌期权的Gamma值均小于0，平值期权的Gamma最大，此时Delta的变化率最大。深度虚值和深度实值期权的Gamma接近于0。在二叉树中， </w:t>
      </w:r>
      <w:r>
        <w:rPr>
          <w:position w:val="-26"/>
        </w:rPr>
        <w:object>
          <v:shape id="_x0000_i1035" o:spt="75" type="#_x0000_t75" style="height:33.25pt;width:217.5pt;" o:ole="t" filled="f" o:preferrelative="t" stroked="f" coordsize="21600,21600">
            <v:path/>
            <v:fill on="f" focussize="0,0"/>
            <v:stroke on="f" joinstyle="miter"/>
            <v:imagedata r:id="rId31" o:title=""/>
            <o:lock v:ext="edit" aspectratio="t"/>
            <w10:wrap type="none"/>
            <w10:anchorlock/>
          </v:shape>
          <o:OLEObject Type="Embed" ProgID="Equation.AxMath" ShapeID="_x0000_i1035" DrawAspect="Content" ObjectID="_1468075736" r:id="rId30">
            <o:LockedField>false</o:LockedField>
          </o:OLEObject>
        </w:object>
      </w:r>
    </w:p>
    <w:p w14:paraId="6B29687A">
      <w:pPr>
        <w:pStyle w:val="3"/>
        <w:bidi w:val="0"/>
      </w:pPr>
      <w:bookmarkStart w:id="25" w:name="_Toc25218"/>
      <w:r>
        <w:rPr>
          <w:rFonts w:hint="eastAsia"/>
        </w:rPr>
        <w:t>5.2不同情形X的delta和Gamma结果</w:t>
      </w:r>
      <w:bookmarkEnd w:id="25"/>
    </w:p>
    <w:p w14:paraId="6917F932">
      <w:r>
        <w:rPr>
          <w:rFonts w:hint="eastAsia"/>
        </w:rPr>
        <w:t xml:space="preserve">                   表2 二叉树基本敏感性分析</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686C1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247511C">
            <w:bookmarkStart w:id="26" w:name="_Hlk215082745"/>
            <w:r>
              <w:rPr>
                <w:rFonts w:hint="eastAsia"/>
              </w:rPr>
              <w:t>希腊字母</w:t>
            </w:r>
          </w:p>
        </w:tc>
        <w:tc>
          <w:tcPr>
            <w:tcW w:w="2765" w:type="dxa"/>
          </w:tcPr>
          <w:p w14:paraId="34FF8F31">
            <w:r>
              <w:rPr>
                <w:rFonts w:hint="eastAsia"/>
              </w:rPr>
              <w:t>内层期权为欧式</w:t>
            </w:r>
          </w:p>
        </w:tc>
        <w:tc>
          <w:tcPr>
            <w:tcW w:w="2766" w:type="dxa"/>
          </w:tcPr>
          <w:p w14:paraId="4B25138E">
            <w:r>
              <w:rPr>
                <w:rFonts w:hint="eastAsia"/>
              </w:rPr>
              <w:t>内层期权为美式</w:t>
            </w:r>
          </w:p>
        </w:tc>
      </w:tr>
      <w:tr w14:paraId="460BB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15B11692">
            <w:r>
              <w:rPr>
                <w:rFonts w:hint="eastAsia"/>
              </w:rPr>
              <w:t>Delta</w:t>
            </w:r>
          </w:p>
        </w:tc>
        <w:tc>
          <w:tcPr>
            <w:tcW w:w="2765" w:type="dxa"/>
          </w:tcPr>
          <w:p w14:paraId="45BBA493">
            <w:r>
              <w:t>-3.919311</w:t>
            </w:r>
          </w:p>
        </w:tc>
        <w:tc>
          <w:tcPr>
            <w:tcW w:w="2766" w:type="dxa"/>
          </w:tcPr>
          <w:p w14:paraId="4AA56475">
            <w:r>
              <w:t>-4.125624</w:t>
            </w:r>
          </w:p>
        </w:tc>
      </w:tr>
      <w:tr w14:paraId="58832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38064E6">
            <w:r>
              <w:rPr>
                <w:rFonts w:hint="eastAsia"/>
              </w:rPr>
              <w:t>Gamma</w:t>
            </w:r>
          </w:p>
        </w:tc>
        <w:tc>
          <w:tcPr>
            <w:tcW w:w="2765" w:type="dxa"/>
          </w:tcPr>
          <w:p w14:paraId="0FAB821B">
            <w:r>
              <w:t>0.142785</w:t>
            </w:r>
          </w:p>
        </w:tc>
        <w:tc>
          <w:tcPr>
            <w:tcW w:w="2766" w:type="dxa"/>
          </w:tcPr>
          <w:p w14:paraId="41AB0247">
            <w:r>
              <w:t>0.226336</w:t>
            </w:r>
          </w:p>
        </w:tc>
      </w:tr>
      <w:bookmarkEnd w:id="26"/>
    </w:tbl>
    <w:p w14:paraId="2DDA9546">
      <w:pPr>
        <w:ind w:firstLine="420"/>
      </w:pPr>
      <w:r>
        <w:rPr>
          <w:rFonts w:hint="eastAsia"/>
        </w:rPr>
        <w:t>具体而言，当内层期权为欧式期权时，腾讯股价每上涨1美元，期权价格变化为-3.92美元；当内层期权为美式期权时，腾讯股价每上涨1美元，期权价格变化为</w:t>
      </w:r>
      <w:r>
        <w:t>-4.</w:t>
      </w:r>
      <w:r>
        <w:rPr>
          <w:rFonts w:hint="eastAsia"/>
        </w:rPr>
        <w:t>13美元。</w:t>
      </w:r>
    </w:p>
    <w:p w14:paraId="725351C7">
      <w:pPr>
        <w:pStyle w:val="3"/>
        <w:bidi w:val="0"/>
      </w:pPr>
      <w:bookmarkStart w:id="27" w:name="_Toc27970"/>
      <w:r>
        <w:rPr>
          <w:rFonts w:hint="eastAsia"/>
        </w:rPr>
        <w:t>5.3其他希腊字母分析</w:t>
      </w:r>
      <w:bookmarkEnd w:id="27"/>
    </w:p>
    <w:p w14:paraId="6C25C1A8">
      <w:pPr>
        <w:pStyle w:val="4"/>
        <w:bidi w:val="0"/>
      </w:pPr>
      <w:r>
        <w:tab/>
      </w:r>
      <w:bookmarkStart w:id="28" w:name="_Toc15131"/>
      <w:r>
        <w:rPr>
          <w:rFonts w:hint="eastAsia"/>
        </w:rPr>
        <w:t>5.3.1 Vega(V)</w:t>
      </w:r>
      <w:bookmarkEnd w:id="28"/>
    </w:p>
    <w:p w14:paraId="5CA5471F">
      <w:r>
        <w:tab/>
      </w:r>
      <w:r>
        <w:tab/>
      </w:r>
      <w:r>
        <w:rPr>
          <w:rFonts w:hint="eastAsia"/>
        </w:rPr>
        <w:t>Vega表示的时期权隐含波动率变化引起的期权价格变化，一般计算方式为</w:t>
      </w:r>
      <w:r>
        <w:rPr>
          <w:position w:val="-26"/>
        </w:rPr>
        <w:object>
          <v:shape id="_x0000_i1036" o:spt="75" type="#_x0000_t75" style="height:32.85pt;width:72.35pt;" o:ole="t" filled="f" o:preferrelative="t" stroked="f" coordsize="21600,21600">
            <v:path/>
            <v:fill on="f" focussize="0,0"/>
            <v:stroke on="f" joinstyle="miter"/>
            <v:imagedata r:id="rId33" o:title=""/>
            <o:lock v:ext="edit" aspectratio="t"/>
            <w10:wrap type="none"/>
            <w10:anchorlock/>
          </v:shape>
          <o:OLEObject Type="Embed" ProgID="Equation.AxMath" ShapeID="_x0000_i1036" DrawAspect="Content" ObjectID="_1468075737" r:id="rId32">
            <o:LockedField>false</o:LockedField>
          </o:OLEObject>
        </w:object>
      </w:r>
      <w:r>
        <w:rPr>
          <w:rFonts w:hint="eastAsia"/>
        </w:rPr>
        <w:t>，平值期权的Vega最高，深度实值和深度虚值的期权Vega接近0。</w:t>
      </w:r>
    </w:p>
    <w:p w14:paraId="69CBAC5A">
      <w:pPr>
        <w:pStyle w:val="4"/>
        <w:bidi w:val="0"/>
      </w:pPr>
      <w:r>
        <w:tab/>
      </w:r>
      <w:bookmarkStart w:id="29" w:name="_Toc10419"/>
      <w:r>
        <w:rPr>
          <w:rFonts w:hint="eastAsia"/>
        </w:rPr>
        <w:t>5.3.2 Theta(</w:t>
      </w:r>
      <w:r>
        <w:rPr>
          <w:position w:val="-11"/>
        </w:rPr>
        <w:object>
          <v:shape id="_x0000_i1037" o:spt="75" type="#_x0000_t75" style="height:17.7pt;width:8.85pt;" o:ole="t" filled="f" o:preferrelative="t" stroked="f" coordsize="21600,21600">
            <v:path/>
            <v:fill on="f" focussize="0,0"/>
            <v:stroke on="f" joinstyle="miter"/>
            <v:imagedata r:id="rId7" o:title=""/>
            <o:lock v:ext="edit" aspectratio="t"/>
            <w10:wrap type="none"/>
            <w10:anchorlock/>
          </v:shape>
          <o:OLEObject Type="Embed" ProgID="Equation.AxMath" ShapeID="_x0000_i1037" DrawAspect="Content" ObjectID="_1468075738" r:id="rId34">
            <o:LockedField>false</o:LockedField>
          </o:OLEObject>
        </w:object>
      </w:r>
      <w:r>
        <w:rPr>
          <w:rFonts w:hint="eastAsia"/>
        </w:rPr>
        <w:t>)</w:t>
      </w:r>
      <w:bookmarkEnd w:id="29"/>
    </w:p>
    <w:p w14:paraId="3740F1E6">
      <w:r>
        <w:tab/>
      </w:r>
      <w:r>
        <w:tab/>
      </w:r>
      <w:r>
        <w:rPr>
          <w:rFonts w:hint="eastAsia"/>
        </w:rPr>
        <w:t>Theta表示期权的时间价值随时间流逝损耗的速度，一般的计算方式是</w:t>
      </w:r>
      <w:r>
        <w:rPr>
          <w:position w:val="-26"/>
        </w:rPr>
        <w:object>
          <v:shape id="_x0000_i1038" o:spt="75" type="#_x0000_t75" style="height:32.85pt;width:79pt;" o:ole="t" filled="f" o:preferrelative="t" stroked="f" coordsize="21600,21600">
            <v:path/>
            <v:fill on="f" focussize="0,0"/>
            <v:stroke on="f" joinstyle="miter"/>
            <v:imagedata r:id="rId36" o:title=""/>
            <o:lock v:ext="edit" aspectratio="t"/>
            <w10:wrap type="none"/>
            <w10:anchorlock/>
          </v:shape>
          <o:OLEObject Type="Embed" ProgID="Equation.AxMath" ShapeID="_x0000_i1038" DrawAspect="Content" ObjectID="_1468075739" r:id="rId35">
            <o:LockedField>false</o:LockedField>
          </o:OLEObject>
        </w:object>
      </w:r>
      <w:r>
        <w:rPr>
          <w:rFonts w:hint="eastAsia"/>
        </w:rPr>
        <w:t>，时间价值接近到期日时逐渐趋近于0.但对于期权买方来说，由于期权价值随着到期日临近、时间价值减少而损耗。所以无论期权的买方持有的是看涨期权还是看跌期权，距离到期日剩余时间越长，期权的价值越高，所以一般Theta都是负数。</w:t>
      </w:r>
    </w:p>
    <w:p w14:paraId="448A99E4">
      <w:pPr>
        <w:pStyle w:val="4"/>
        <w:bidi w:val="0"/>
      </w:pPr>
      <w:r>
        <w:rPr>
          <w:rFonts w:hint="eastAsia"/>
        </w:rPr>
        <w:t xml:space="preserve">    </w:t>
      </w:r>
      <w:bookmarkStart w:id="30" w:name="_Toc13875"/>
      <w:r>
        <w:rPr>
          <w:rFonts w:hint="eastAsia"/>
        </w:rPr>
        <w:t>5.3.3其他希腊字母敏感性分析结果</w:t>
      </w:r>
      <w:bookmarkEnd w:id="30"/>
    </w:p>
    <w:p w14:paraId="55B754A1">
      <w:r>
        <w:tab/>
      </w:r>
      <w:r>
        <w:rPr>
          <w:rFonts w:hint="eastAsia"/>
        </w:rPr>
        <w:t xml:space="preserve">            表3 其他希腊字母分析</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7BF7D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53696E7">
            <w:r>
              <w:rPr>
                <w:rFonts w:hint="eastAsia"/>
              </w:rPr>
              <w:t>希腊字母</w:t>
            </w:r>
          </w:p>
        </w:tc>
        <w:tc>
          <w:tcPr>
            <w:tcW w:w="2765" w:type="dxa"/>
          </w:tcPr>
          <w:p w14:paraId="4A4803C5">
            <w:r>
              <w:rPr>
                <w:rFonts w:hint="eastAsia"/>
              </w:rPr>
              <w:t>内层期权为欧式</w:t>
            </w:r>
          </w:p>
        </w:tc>
        <w:tc>
          <w:tcPr>
            <w:tcW w:w="2766" w:type="dxa"/>
          </w:tcPr>
          <w:p w14:paraId="47C56D1D">
            <w:r>
              <w:rPr>
                <w:rFonts w:hint="eastAsia"/>
              </w:rPr>
              <w:t>内层期权为美式</w:t>
            </w:r>
          </w:p>
        </w:tc>
      </w:tr>
      <w:tr w14:paraId="118FD4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DC60216">
            <w:r>
              <w:rPr>
                <w:rFonts w:hint="eastAsia"/>
              </w:rPr>
              <w:t>Vega</w:t>
            </w:r>
          </w:p>
        </w:tc>
        <w:tc>
          <w:tcPr>
            <w:tcW w:w="2765" w:type="dxa"/>
          </w:tcPr>
          <w:p w14:paraId="604AF290">
            <w:r>
              <w:rPr>
                <w:rFonts w:hint="eastAsia"/>
              </w:rPr>
              <w:t>230.722</w:t>
            </w:r>
          </w:p>
        </w:tc>
        <w:tc>
          <w:tcPr>
            <w:tcW w:w="2766" w:type="dxa"/>
          </w:tcPr>
          <w:p w14:paraId="36485FCC">
            <w:r>
              <w:t>236.121750</w:t>
            </w:r>
          </w:p>
        </w:tc>
      </w:tr>
      <w:tr w14:paraId="6952DD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5DDBF57">
            <w:r>
              <w:rPr>
                <w:rFonts w:hint="eastAsia"/>
              </w:rPr>
              <w:t>Theta</w:t>
            </w:r>
          </w:p>
        </w:tc>
        <w:tc>
          <w:tcPr>
            <w:tcW w:w="2765" w:type="dxa"/>
          </w:tcPr>
          <w:p w14:paraId="3702610B">
            <w:r>
              <w:t>-82.380068</w:t>
            </w:r>
          </w:p>
        </w:tc>
        <w:tc>
          <w:tcPr>
            <w:tcW w:w="2766" w:type="dxa"/>
          </w:tcPr>
          <w:p w14:paraId="7151C72C">
            <w:r>
              <w:t>-86.243505</w:t>
            </w:r>
          </w:p>
        </w:tc>
      </w:tr>
    </w:tbl>
    <w:p w14:paraId="67F7C2E4"/>
    <w:p w14:paraId="61135A8E">
      <w:pPr>
        <w:rPr>
          <w:rFonts w:hint="eastAsia"/>
        </w:rPr>
      </w:pPr>
      <w:r>
        <w:rPr>
          <w:rFonts w:hint="eastAsia"/>
        </w:rPr>
        <w:t>由上表可得，当内层期权为欧式时，</w:t>
      </w:r>
      <w:r>
        <w:t>波动率增加1%，期权价格变化2</w:t>
      </w:r>
      <w:r>
        <w:rPr>
          <w:rFonts w:hint="eastAsia"/>
        </w:rPr>
        <w:t>.</w:t>
      </w:r>
      <w:r>
        <w:t>3072美元</w:t>
      </w:r>
      <w:r>
        <w:rPr>
          <w:rFonts w:hint="eastAsia"/>
        </w:rPr>
        <w:t>；当内层期权是美式时，</w:t>
      </w:r>
      <w:r>
        <w:t>波动率增加1%，期权价格变化2</w:t>
      </w:r>
      <w:r>
        <w:rPr>
          <w:rFonts w:hint="eastAsia"/>
        </w:rPr>
        <w:t>.3612</w:t>
      </w:r>
      <w:r>
        <w:t>美元</w:t>
      </w:r>
      <w:r>
        <w:rPr>
          <w:rFonts w:hint="eastAsia"/>
        </w:rPr>
        <w:t>.。不论内层为美式还是欧式期权，随着到期日的接近，期权价值以同样的速率在减少。</w:t>
      </w:r>
    </w:p>
    <w:p w14:paraId="799A5AA9">
      <w:pPr>
        <w:rPr>
          <w:rFonts w:hint="eastAsia"/>
        </w:rPr>
      </w:pPr>
    </w:p>
    <w:p w14:paraId="3E85E09D">
      <w:pPr>
        <w:pStyle w:val="2"/>
        <w:numPr>
          <w:ilvl w:val="0"/>
          <w:numId w:val="1"/>
        </w:numPr>
      </w:pPr>
      <w:bookmarkStart w:id="31" w:name="_Toc14287"/>
      <w:r>
        <w:rPr>
          <w:rFonts w:hint="eastAsia"/>
        </w:rPr>
        <w:t>参考</w:t>
      </w:r>
      <w:bookmarkEnd w:id="31"/>
    </w:p>
    <w:p w14:paraId="3106B782"/>
    <w:p w14:paraId="69BAD336">
      <w:pPr>
        <w:pStyle w:val="2"/>
        <w:numPr>
          <w:ilvl w:val="0"/>
          <w:numId w:val="1"/>
        </w:numPr>
      </w:pPr>
      <w:bookmarkStart w:id="32" w:name="_Toc28115"/>
      <w:r>
        <w:rPr>
          <w:rFonts w:hint="eastAsia"/>
        </w:rPr>
        <w:t>附录</w:t>
      </w:r>
      <w:bookmarkEnd w:id="32"/>
    </w:p>
    <w:p w14:paraId="39430946">
      <w:pPr>
        <w:pStyle w:val="11"/>
        <w:ind w:firstLine="420" w:firstLineChars="0"/>
        <w:rPr>
          <w:rFonts w:hint="eastAsia" w:ascii="Times New Roman" w:hAnsi="Times New Roman" w:eastAsia="宋体" w:cs="Times New Roman"/>
          <w:kern w:val="2"/>
          <w:sz w:val="24"/>
          <w:szCs w:val="21"/>
          <w:lang w:val="en-US" w:eastAsia="zh-CN" w:bidi="ar-SA"/>
          <w14:ligatures w14:val="standardContextual"/>
        </w:rPr>
      </w:pPr>
      <w:r>
        <w:rPr>
          <w:rFonts w:hint="eastAsia" w:ascii="Times New Roman" w:hAnsi="Times New Roman" w:eastAsia="宋体" w:cs="Times New Roman"/>
          <w:kern w:val="2"/>
          <w:sz w:val="24"/>
          <w:szCs w:val="21"/>
          <w:lang w:val="en-US" w:eastAsia="zh-CN" w:bidi="ar-SA"/>
          <w14:ligatures w14:val="standardContextual"/>
        </w:rPr>
        <w:t>Hull, J. C. (2022). Options, Futures, and Other Derivatives (11th ed.). Pearson Education.</w:t>
      </w:r>
    </w:p>
    <w:p w14:paraId="0CE5897A">
      <w:pPr>
        <w:pStyle w:val="11"/>
        <w:ind w:firstLine="420" w:firstLineChars="0"/>
        <w:rPr>
          <w:rFonts w:hint="eastAsia" w:ascii="Times New Roman" w:hAnsi="Times New Roman" w:eastAsia="宋体" w:cs="Times New Roman"/>
          <w:kern w:val="2"/>
          <w:sz w:val="24"/>
          <w:szCs w:val="21"/>
          <w:lang w:val="en-US" w:eastAsia="zh-CN" w:bidi="ar-SA"/>
          <w14:ligatures w14:val="standardContextual"/>
        </w:rPr>
      </w:pPr>
      <w:r>
        <w:rPr>
          <w:rFonts w:hint="eastAsia" w:ascii="Times New Roman" w:hAnsi="Times New Roman" w:eastAsia="宋体" w:cs="Times New Roman"/>
          <w:kern w:val="2"/>
          <w:sz w:val="24"/>
          <w:szCs w:val="21"/>
          <w:lang w:val="en-US" w:eastAsia="zh-CN" w:bidi="ar-SA"/>
          <w14:ligatures w14:val="standardContextual"/>
        </w:rPr>
        <w:t>Cox, J. C., Ross, S. A., &amp; Rubinstein, M. (1979). Option pricing: A simplified approach. Journal of Financial Economics, 7(3), 229-263.</w:t>
      </w:r>
    </w:p>
    <w:p w14:paraId="77692C53">
      <w:pPr>
        <w:pStyle w:val="11"/>
        <w:ind w:firstLine="420" w:firstLineChars="0"/>
      </w:pPr>
      <w:r>
        <w:rPr>
          <w:rFonts w:hint="eastAsia" w:ascii="Times New Roman" w:hAnsi="Times New Roman" w:eastAsia="宋体" w:cs="Times New Roman"/>
          <w:kern w:val="2"/>
          <w:sz w:val="24"/>
          <w:szCs w:val="21"/>
          <w:lang w:val="en-US" w:eastAsia="zh-CN" w:bidi="ar-SA"/>
          <w14:ligatures w14:val="standardContextual"/>
        </w:rPr>
        <w:t>Longstaff, F. A., &amp; Schwartz, E. S. (2001). Valuing American Options by Simulation: A Simple Least-Squares Approach. The Review of Financial Studies, 14(1), 113-147.</w:t>
      </w:r>
    </w:p>
    <w:p w14:paraId="3F45A86B">
      <w:pPr>
        <w:pStyle w:val="3"/>
        <w:rPr>
          <w:rFonts w:hint="eastAsia"/>
        </w:rPr>
      </w:pPr>
      <w:bookmarkStart w:id="33" w:name="_Toc12201"/>
      <w:r>
        <w:rPr>
          <w:rFonts w:hint="eastAsia"/>
          <w:lang w:val="en-US" w:eastAsia="zh-CN"/>
        </w:rPr>
        <w:t>7</w:t>
      </w:r>
      <w:r>
        <w:rPr>
          <w:rFonts w:hint="eastAsia"/>
        </w:rPr>
        <w:t>.1 二项式定价代码</w:t>
      </w:r>
      <w:bookmarkEnd w:id="33"/>
    </w:p>
    <w:p w14:paraId="2E319E36">
      <w:pPr>
        <w:tabs>
          <w:tab w:val="left" w:pos="2090"/>
        </w:tabs>
        <w:rPr>
          <w:rFonts w:hint="eastAsia"/>
          <w:lang w:eastAsia="zh-CN"/>
        </w:rPr>
      </w:pPr>
      <w:r>
        <w:rPr>
          <w:rFonts w:hint="eastAsia"/>
          <w:lang w:eastAsia="zh-CN"/>
        </w:rPr>
        <w:tab/>
      </w:r>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76"/>
        <w:gridCol w:w="7730"/>
      </w:tblGrid>
      <w:tr w14:paraId="3477A7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675" w:type="dxa"/>
            <w:tcBorders>
              <w:top w:val="nil"/>
              <w:left w:val="nil"/>
              <w:bottom w:val="nil"/>
              <w:right w:val="single" w:color="6CE26C" w:sz="18" w:space="0"/>
            </w:tcBorders>
            <w:shd w:val="clear" w:color="auto" w:fill="F7F7F7"/>
            <w:tcMar>
              <w:right w:w="75" w:type="dxa"/>
            </w:tcMar>
            <w:vAlign w:val="top"/>
          </w:tcPr>
          <w:p w14:paraId="3718F489">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01</w:t>
            </w:r>
          </w:p>
          <w:p w14:paraId="5EAE918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02</w:t>
            </w:r>
          </w:p>
          <w:p w14:paraId="3C49CB3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03</w:t>
            </w:r>
          </w:p>
          <w:p w14:paraId="3EB2A553">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04</w:t>
            </w:r>
          </w:p>
          <w:p w14:paraId="17455B8D">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05</w:t>
            </w:r>
          </w:p>
          <w:p w14:paraId="1F34F68A">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06</w:t>
            </w:r>
          </w:p>
          <w:p w14:paraId="2558BE46">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07</w:t>
            </w:r>
          </w:p>
          <w:p w14:paraId="18E0C29A">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08</w:t>
            </w:r>
          </w:p>
          <w:p w14:paraId="6E970A9D">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09</w:t>
            </w:r>
          </w:p>
          <w:p w14:paraId="6400910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10</w:t>
            </w:r>
          </w:p>
          <w:p w14:paraId="49B90EEF">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11</w:t>
            </w:r>
          </w:p>
          <w:p w14:paraId="6BFCEA64">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12</w:t>
            </w:r>
          </w:p>
          <w:p w14:paraId="1A5D844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13</w:t>
            </w:r>
          </w:p>
          <w:p w14:paraId="2279BA97">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14</w:t>
            </w:r>
          </w:p>
          <w:p w14:paraId="507BAE4D">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15</w:t>
            </w:r>
          </w:p>
          <w:p w14:paraId="11CC4FB0">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16</w:t>
            </w:r>
          </w:p>
          <w:p w14:paraId="5C4DDA75">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17</w:t>
            </w:r>
          </w:p>
          <w:p w14:paraId="04D0E899">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18</w:t>
            </w:r>
          </w:p>
          <w:p w14:paraId="10F42C6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19</w:t>
            </w:r>
          </w:p>
          <w:p w14:paraId="428596AB">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20</w:t>
            </w:r>
          </w:p>
          <w:p w14:paraId="0B65F83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21</w:t>
            </w:r>
          </w:p>
          <w:p w14:paraId="28BBB437">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22</w:t>
            </w:r>
          </w:p>
          <w:p w14:paraId="273A60C1">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23</w:t>
            </w:r>
          </w:p>
          <w:p w14:paraId="5777B1B4">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24</w:t>
            </w:r>
          </w:p>
          <w:p w14:paraId="7F70214E">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25</w:t>
            </w:r>
          </w:p>
          <w:p w14:paraId="1FB598BC">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26</w:t>
            </w:r>
          </w:p>
          <w:p w14:paraId="27D9AFC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27</w:t>
            </w:r>
          </w:p>
          <w:p w14:paraId="1FFB4820">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28</w:t>
            </w:r>
          </w:p>
          <w:p w14:paraId="0008370C">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29</w:t>
            </w:r>
          </w:p>
          <w:p w14:paraId="02ED6D0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30</w:t>
            </w:r>
          </w:p>
          <w:p w14:paraId="2DD3B7DB">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31</w:t>
            </w:r>
          </w:p>
          <w:p w14:paraId="7EBCF819">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32</w:t>
            </w:r>
          </w:p>
          <w:p w14:paraId="1EC90CCE">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33</w:t>
            </w:r>
          </w:p>
          <w:p w14:paraId="644AF25D">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34</w:t>
            </w:r>
          </w:p>
          <w:p w14:paraId="61268BB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35</w:t>
            </w:r>
          </w:p>
          <w:p w14:paraId="5DECA1C1">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36</w:t>
            </w:r>
          </w:p>
          <w:p w14:paraId="49025773">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37</w:t>
            </w:r>
          </w:p>
          <w:p w14:paraId="3408EF31">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38</w:t>
            </w:r>
          </w:p>
          <w:p w14:paraId="05F92E91">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39</w:t>
            </w:r>
          </w:p>
          <w:p w14:paraId="39BABBE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40</w:t>
            </w:r>
          </w:p>
          <w:p w14:paraId="525FD970">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41</w:t>
            </w:r>
          </w:p>
          <w:p w14:paraId="21F2FFB6">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42</w:t>
            </w:r>
          </w:p>
          <w:p w14:paraId="17946FF9">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43</w:t>
            </w:r>
          </w:p>
          <w:p w14:paraId="0C3E14F5">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44</w:t>
            </w:r>
          </w:p>
          <w:p w14:paraId="30DBC0B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45</w:t>
            </w:r>
          </w:p>
          <w:p w14:paraId="5C33E32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46</w:t>
            </w:r>
          </w:p>
          <w:p w14:paraId="3ECAC065">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47</w:t>
            </w:r>
          </w:p>
          <w:p w14:paraId="4E7C5455">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48</w:t>
            </w:r>
          </w:p>
          <w:p w14:paraId="1CC4241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49</w:t>
            </w:r>
          </w:p>
          <w:p w14:paraId="44ED6423">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50</w:t>
            </w:r>
          </w:p>
          <w:p w14:paraId="581209C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51</w:t>
            </w:r>
          </w:p>
          <w:p w14:paraId="49AB2C86">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52</w:t>
            </w:r>
          </w:p>
          <w:p w14:paraId="357AF8C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53</w:t>
            </w:r>
          </w:p>
          <w:p w14:paraId="74E9B68A">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54</w:t>
            </w:r>
          </w:p>
          <w:p w14:paraId="71AFDF1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55</w:t>
            </w:r>
          </w:p>
          <w:p w14:paraId="43842E5C">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56</w:t>
            </w:r>
          </w:p>
          <w:p w14:paraId="4BF6BCA3">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57</w:t>
            </w:r>
          </w:p>
          <w:p w14:paraId="5E3473E5">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58</w:t>
            </w:r>
          </w:p>
          <w:p w14:paraId="0D7D8F5C">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59</w:t>
            </w:r>
          </w:p>
          <w:p w14:paraId="3CEE7D60">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60</w:t>
            </w:r>
          </w:p>
        </w:tc>
        <w:tc>
          <w:tcPr>
            <w:tcW w:w="8693" w:type="dxa"/>
            <w:tcBorders>
              <w:top w:val="nil"/>
              <w:left w:val="nil"/>
              <w:bottom w:val="nil"/>
              <w:right w:val="nil"/>
            </w:tcBorders>
            <w:shd w:val="clear" w:color="auto" w:fill="FFFFFF"/>
            <w:tcMar>
              <w:left w:w="150" w:type="dxa"/>
            </w:tcMar>
            <w:vAlign w:val="top"/>
          </w:tcPr>
          <w:p w14:paraId="25E687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import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pandas as pd</w:t>
            </w:r>
          </w:p>
          <w:p w14:paraId="2B3125D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import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numpy as np</w:t>
            </w:r>
          </w:p>
          <w:p w14:paraId="33021D8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05A69F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from</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parameters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import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p>
          <w:p w14:paraId="2B7A42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47F496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xml:space="preserve"># MFE5130 2025 奇异期权定价 二项式模型 </w:t>
            </w:r>
          </w:p>
          <w:p w14:paraId="5C0413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def</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binominal_priceX(style):</w:t>
            </w:r>
          </w:p>
          <w:p w14:paraId="647D0A6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#===生成二叉树列索引矩阵===</w:t>
            </w:r>
          </w:p>
          <w:p w14:paraId="22DD772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mu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np.arange(M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756E283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mu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np.resize(mu, (M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M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5CD513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md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np.transpose(mu)</w:t>
            </w:r>
          </w:p>
          <w:p w14:paraId="3E6435D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#print("二叉树列索引矩阵md:\n", md)</w:t>
            </w:r>
          </w:p>
          <w:p w14:paraId="72D946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mu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u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(mu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md)</w:t>
            </w:r>
          </w:p>
          <w:p w14:paraId="520484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md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d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md </w:t>
            </w:r>
          </w:p>
          <w:p w14:paraId="204C776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S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S0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mu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md</w:t>
            </w:r>
          </w:p>
          <w:p w14:paraId="6592194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03C4E3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iv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np.zeros_like(S)</w:t>
            </w:r>
          </w:p>
          <w:p w14:paraId="58BA6B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iv[:,M]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np.maximum(K2[</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5</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S[:,M]</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1.5</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13809E5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#===计算内层期权价值矩阵===</w:t>
            </w:r>
          </w:p>
          <w:p w14:paraId="77C9495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#iv = np.maximum(K2[5] - S**1.5, 0)  # 计算内层期权价值，欧式看涨期权</w:t>
            </w:r>
          </w:p>
          <w:p w14:paraId="335CE4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z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p>
          <w:p w14:paraId="6312D15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for</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j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in</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FF1493"/>
                <w:spacing w:val="0"/>
                <w:kern w:val="0"/>
                <w:sz w:val="24"/>
                <w:szCs w:val="24"/>
                <w:bdr w:val="none" w:color="auto" w:sz="0" w:space="0"/>
                <w:shd w:val="clear" w:fill="FFFFFF"/>
                <w:vertAlign w:val="baseline"/>
                <w:lang w:val="en-US" w:eastAsia="zh-CN" w:bidi="ar"/>
                <w14:ligatures w14:val="standardContextual"/>
              </w:rPr>
              <w:t>range</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M</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M_inner</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41B1902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holding_value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(p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iv[</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z, j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p)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iv[</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z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j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df</w:t>
            </w:r>
          </w:p>
          <w:p w14:paraId="28E13AE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if</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style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'American'</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04EE9D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exercise_value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np.maximum(K2[</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5</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S[</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:M</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z,j]</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1.5</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6B1844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iv[</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:M</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z, j]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np.maximum(holding_value,exercise_value)</w:t>
            </w:r>
          </w:p>
          <w:p w14:paraId="44A8BAF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elif</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style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'European'</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73AA049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iv[</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:M</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z, j]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holding_value</w:t>
            </w:r>
          </w:p>
          <w:p w14:paraId="6FD0A2C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z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p>
          <w:p w14:paraId="250133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#print("内层期权在T日的价格C(T):\n", iv[M - M_inner])</w:t>
            </w:r>
          </w:p>
          <w:p w14:paraId="05E122C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#计算内层期权在T时刻的价格平均值和中位数以分析得出合理的K1</w:t>
            </w:r>
          </w:p>
          <w:p w14:paraId="3AD403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V1_T_mean = np.mean(iv[:,M_outer])</w:t>
            </w:r>
          </w:p>
          <w:p w14:paraId="77997EA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V1_T_median = np.median(iv[:,M_outer])</w:t>
            </w:r>
          </w:p>
          <w:p w14:paraId="1873387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print(f"内层期权在T时刻的价格平均值为:{V1_T_mean},价格中位数为{V1_T_median}")</w:t>
            </w:r>
          </w:p>
          <w:p w14:paraId="47CD03C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V1_t_mean = V1_T_mean * np.exp(-rf*C_outer)</w:t>
            </w:r>
          </w:p>
          <w:p w14:paraId="0587711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V1_t_median = V1_T_median * np.exp(-rf*C_outer)</w:t>
            </w:r>
          </w:p>
          <w:p w14:paraId="65C7031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print(f"内层期权在t时刻的价格平均值为:{V1_t_mean},价格中位数为{V1_t_median}")</w:t>
            </w:r>
          </w:p>
          <w:p w14:paraId="5CA1210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#===计算内层期权价值矩阵===</w:t>
            </w:r>
          </w:p>
          <w:p w14:paraId="194BBD3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#===计算第M_outer步后的内层期权价格列===</w:t>
            </w:r>
          </w:p>
          <w:p w14:paraId="775B7A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iv[</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:M_outer</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,M_outer]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np.maximum(N1</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(iv[</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:M_outer</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,M_outer]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K1),</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5DC6F60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#===计算第M_outer步后的内层期权价格列===</w:t>
            </w:r>
          </w:p>
          <w:p w14:paraId="029ECD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0018EA1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1D7DA9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#===计算外层看涨期权价值矩阵===</w:t>
            </w:r>
          </w:p>
          <w:p w14:paraId="34E6D79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z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p>
          <w:p w14:paraId="7119509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for</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i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in</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FF1493"/>
                <w:spacing w:val="0"/>
                <w:kern w:val="0"/>
                <w:sz w:val="24"/>
                <w:szCs w:val="24"/>
                <w:bdr w:val="none" w:color="auto" w:sz="0" w:space="0"/>
                <w:shd w:val="clear" w:fill="FFFFFF"/>
                <w:vertAlign w:val="baseline"/>
                <w:lang w:val="en-US" w:eastAsia="zh-CN" w:bidi="ar"/>
                <w14:ligatures w14:val="standardContextual"/>
              </w:rPr>
              <w:t>range</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(M_outer</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39DCE3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iv[</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:M_outer</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z,i]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(iv[</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:M_outer</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z,i</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p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iv[</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:M_outer</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z</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,i</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p))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df</w:t>
            </w:r>
          </w:p>
          <w:p w14:paraId="19A729F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z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w:t>
            </w:r>
          </w:p>
          <w:p w14:paraId="2A5B0E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#print("外层期权在t日的价格C(t):\n", iv[0,0])</w:t>
            </w:r>
          </w:p>
          <w:p w14:paraId="79FBB1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priceX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iv[</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77F9B1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#===计算外层看涨期权价值矩阵===</w:t>
            </w:r>
          </w:p>
          <w:p w14:paraId="768B86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return</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priceX</w:t>
            </w:r>
          </w:p>
          <w:p w14:paraId="39E3402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188AB1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a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binominal_priceX(</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'European'</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66004FD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b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binominal_priceX(</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'American'</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6BCAEDE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FF1493"/>
                <w:spacing w:val="0"/>
                <w:kern w:val="0"/>
                <w:sz w:val="24"/>
                <w:szCs w:val="24"/>
                <w:bdr w:val="none" w:color="auto" w:sz="0" w:space="0"/>
                <w:shd w:val="clear" w:fill="FFFFFF"/>
                <w:vertAlign w:val="baseline"/>
                <w:lang w:val="en-US" w:eastAsia="zh-CN" w:bidi="ar"/>
                <w14:ligatures w14:val="standardContextual"/>
              </w:rPr>
              <w:t>print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(f</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"内层为欧式期权的X的二项式定价为:{a}"</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5EA673D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FF1493"/>
                <w:spacing w:val="0"/>
                <w:kern w:val="0"/>
                <w:sz w:val="24"/>
                <w:szCs w:val="24"/>
                <w:bdr w:val="none" w:color="auto" w:sz="0" w:space="0"/>
                <w:shd w:val="clear" w:fill="FFFFFF"/>
                <w:vertAlign w:val="baseline"/>
                <w:lang w:val="en-US" w:eastAsia="zh-CN" w:bidi="ar"/>
                <w14:ligatures w14:val="standardContextual"/>
              </w:rPr>
              <w:t>print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(f</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"内层为美式期权的X的二项式定价为:{b}"</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752CD40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31376F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FF1493"/>
                <w:spacing w:val="0"/>
                <w:kern w:val="0"/>
                <w:sz w:val="24"/>
                <w:szCs w:val="24"/>
                <w:bdr w:val="none" w:color="auto" w:sz="0" w:space="0"/>
                <w:shd w:val="clear" w:fill="FFFFFF"/>
                <w:vertAlign w:val="baseline"/>
                <w:lang w:val="en-US" w:eastAsia="zh-CN" w:bidi="ar"/>
                <w14:ligatures w14:val="standardContextual"/>
              </w:rPr>
              <w:t>print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(f</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"欧式期权的价格变化率为{100*(a/48.43 - 1):.2f}%"</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333BF8E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FF1493"/>
                <w:spacing w:val="0"/>
                <w:kern w:val="0"/>
                <w:sz w:val="24"/>
                <w:szCs w:val="24"/>
                <w:bdr w:val="none" w:color="auto" w:sz="0" w:space="0"/>
                <w:shd w:val="clear" w:fill="FFFFFF"/>
                <w:vertAlign w:val="baseline"/>
                <w:lang w:val="en-US" w:eastAsia="zh-CN" w:bidi="ar"/>
                <w14:ligatures w14:val="standardContextual"/>
              </w:rPr>
              <w:t>print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(f</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"美式期权的价格变化率为{100*(b/51.18 - 1):.2f}%"</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tc>
      </w:tr>
    </w:tbl>
    <w:p w14:paraId="25E259B3">
      <w:pPr>
        <w:tabs>
          <w:tab w:val="left" w:pos="2090"/>
        </w:tabs>
        <w:rPr>
          <w:rFonts w:hint="eastAsia" w:eastAsia="宋体"/>
          <w:lang w:eastAsia="zh-CN"/>
        </w:rPr>
      </w:pPr>
    </w:p>
    <w:p w14:paraId="6E5AD6A0">
      <w:pPr>
        <w:pStyle w:val="3"/>
        <w:rPr>
          <w:rFonts w:hint="eastAsia"/>
        </w:rPr>
      </w:pPr>
      <w:bookmarkStart w:id="34" w:name="_Toc16693"/>
      <w:r>
        <w:rPr>
          <w:rFonts w:hint="eastAsia"/>
          <w:lang w:val="en-US" w:eastAsia="zh-CN"/>
        </w:rPr>
        <w:t>7</w:t>
      </w:r>
      <w:r>
        <w:rPr>
          <w:rFonts w:hint="eastAsia"/>
        </w:rPr>
        <w:t>.2 蒙特卡洛模拟定价代码</w:t>
      </w:r>
      <w:bookmarkEnd w:id="34"/>
    </w:p>
    <w:tbl>
      <w:tblPr>
        <w:tblW w:w="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0" w:type="dxa"/>
          <w:left w:w="0" w:type="dxa"/>
          <w:bottom w:w="0" w:type="dxa"/>
          <w:right w:w="0" w:type="dxa"/>
        </w:tblCellMar>
      </w:tblPr>
      <w:tblGrid>
        <w:gridCol w:w="586"/>
        <w:gridCol w:w="7720"/>
      </w:tblGrid>
      <w:tr w14:paraId="04B2DF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0" w:type="dxa"/>
            <w:left w:w="0" w:type="dxa"/>
            <w:bottom w:w="0" w:type="dxa"/>
            <w:right w:w="0" w:type="dxa"/>
          </w:tblCellMar>
        </w:tblPrEx>
        <w:trPr>
          <w:trHeight w:val="0" w:hRule="atLeast"/>
        </w:trPr>
        <w:tc>
          <w:tcPr>
            <w:tcW w:w="675" w:type="dxa"/>
            <w:tcBorders>
              <w:top w:val="nil"/>
              <w:left w:val="nil"/>
              <w:bottom w:val="nil"/>
              <w:right w:val="single" w:color="6CE26C" w:sz="18" w:space="0"/>
            </w:tcBorders>
            <w:shd w:val="clear" w:color="auto" w:fill="F7F7F7"/>
            <w:tcMar>
              <w:right w:w="75" w:type="dxa"/>
            </w:tcMar>
            <w:vAlign w:val="top"/>
          </w:tcPr>
          <w:p w14:paraId="17BAC3D1">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01</w:t>
            </w:r>
          </w:p>
          <w:p w14:paraId="63D4BF49">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02</w:t>
            </w:r>
          </w:p>
          <w:p w14:paraId="11EA13E0">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03</w:t>
            </w:r>
          </w:p>
          <w:p w14:paraId="1E0F68C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04</w:t>
            </w:r>
          </w:p>
          <w:p w14:paraId="5954D499">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05</w:t>
            </w:r>
          </w:p>
          <w:p w14:paraId="4F45D8E6">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06</w:t>
            </w:r>
          </w:p>
          <w:p w14:paraId="1E493C0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07</w:t>
            </w:r>
          </w:p>
          <w:p w14:paraId="658096AC">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08</w:t>
            </w:r>
          </w:p>
          <w:p w14:paraId="3A483E86">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09</w:t>
            </w:r>
          </w:p>
          <w:p w14:paraId="01C5FC4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10</w:t>
            </w:r>
          </w:p>
          <w:p w14:paraId="5D13BE7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11</w:t>
            </w:r>
          </w:p>
          <w:p w14:paraId="3991E3A4">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12</w:t>
            </w:r>
          </w:p>
          <w:p w14:paraId="2C4BCD1D">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13</w:t>
            </w:r>
          </w:p>
          <w:p w14:paraId="756FB1B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14</w:t>
            </w:r>
          </w:p>
          <w:p w14:paraId="7F2A322C">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15</w:t>
            </w:r>
          </w:p>
          <w:p w14:paraId="576BEA11">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16</w:t>
            </w:r>
          </w:p>
          <w:p w14:paraId="0BA2602B">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17</w:t>
            </w:r>
          </w:p>
          <w:p w14:paraId="1F8DC765">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18</w:t>
            </w:r>
          </w:p>
          <w:p w14:paraId="45C639BC">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19</w:t>
            </w:r>
          </w:p>
          <w:p w14:paraId="37BCFCA9">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20</w:t>
            </w:r>
          </w:p>
          <w:p w14:paraId="6E2B3E7C">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21</w:t>
            </w:r>
          </w:p>
          <w:p w14:paraId="0EC3A26A">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22</w:t>
            </w:r>
          </w:p>
          <w:p w14:paraId="78337D3A">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23</w:t>
            </w:r>
          </w:p>
          <w:p w14:paraId="1DEA40A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24</w:t>
            </w:r>
          </w:p>
          <w:p w14:paraId="137099AE">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25</w:t>
            </w:r>
          </w:p>
          <w:p w14:paraId="4B7264CB">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26</w:t>
            </w:r>
          </w:p>
          <w:p w14:paraId="37B7746D">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27</w:t>
            </w:r>
          </w:p>
          <w:p w14:paraId="2EC9666C">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28</w:t>
            </w:r>
          </w:p>
          <w:p w14:paraId="60F65E1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29</w:t>
            </w:r>
          </w:p>
          <w:p w14:paraId="0A8FD2F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30</w:t>
            </w:r>
          </w:p>
          <w:p w14:paraId="4CA1D08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31</w:t>
            </w:r>
          </w:p>
          <w:p w14:paraId="3EC4EFB0">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32</w:t>
            </w:r>
          </w:p>
          <w:p w14:paraId="7DD5D39B">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33</w:t>
            </w:r>
          </w:p>
          <w:p w14:paraId="18E4307A">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34</w:t>
            </w:r>
          </w:p>
          <w:p w14:paraId="5101D217">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35</w:t>
            </w:r>
          </w:p>
          <w:p w14:paraId="558969BB">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36</w:t>
            </w:r>
          </w:p>
          <w:p w14:paraId="1D004C0C">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37</w:t>
            </w:r>
          </w:p>
          <w:p w14:paraId="34908420">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38</w:t>
            </w:r>
          </w:p>
          <w:p w14:paraId="7F8CB1DF">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39</w:t>
            </w:r>
          </w:p>
          <w:p w14:paraId="22DBE23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40</w:t>
            </w:r>
          </w:p>
          <w:p w14:paraId="4DC0EAA4">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41</w:t>
            </w:r>
          </w:p>
          <w:p w14:paraId="78136E8C">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42</w:t>
            </w:r>
          </w:p>
          <w:p w14:paraId="3015D90B">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43</w:t>
            </w:r>
          </w:p>
          <w:p w14:paraId="51506595">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44</w:t>
            </w:r>
          </w:p>
          <w:p w14:paraId="5C823651">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45</w:t>
            </w:r>
          </w:p>
          <w:p w14:paraId="0075B85A">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46</w:t>
            </w:r>
          </w:p>
          <w:p w14:paraId="622F0024">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47</w:t>
            </w:r>
          </w:p>
          <w:p w14:paraId="6658225E">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48</w:t>
            </w:r>
          </w:p>
          <w:p w14:paraId="0B9106D4">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49</w:t>
            </w:r>
          </w:p>
          <w:p w14:paraId="59AFAF06">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50</w:t>
            </w:r>
          </w:p>
          <w:p w14:paraId="5581CAD9">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51</w:t>
            </w:r>
          </w:p>
          <w:p w14:paraId="12148B3F">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52</w:t>
            </w:r>
          </w:p>
          <w:p w14:paraId="73A6B134">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53</w:t>
            </w:r>
          </w:p>
          <w:p w14:paraId="00E32947">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54</w:t>
            </w:r>
          </w:p>
          <w:p w14:paraId="56A528CA">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55</w:t>
            </w:r>
          </w:p>
          <w:p w14:paraId="06475735">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56</w:t>
            </w:r>
          </w:p>
          <w:p w14:paraId="378627E4">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57</w:t>
            </w:r>
          </w:p>
          <w:p w14:paraId="751C058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58</w:t>
            </w:r>
          </w:p>
          <w:p w14:paraId="30BD210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59</w:t>
            </w:r>
          </w:p>
          <w:p w14:paraId="3F837F27">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60</w:t>
            </w:r>
          </w:p>
          <w:p w14:paraId="0E211725">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61</w:t>
            </w:r>
          </w:p>
          <w:p w14:paraId="19F1939A">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62</w:t>
            </w:r>
          </w:p>
          <w:p w14:paraId="0AE31DC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63</w:t>
            </w:r>
          </w:p>
          <w:p w14:paraId="0AF2AB30">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64</w:t>
            </w:r>
          </w:p>
          <w:p w14:paraId="695B038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65</w:t>
            </w:r>
          </w:p>
          <w:p w14:paraId="02789E7F">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66</w:t>
            </w:r>
          </w:p>
          <w:p w14:paraId="67302514">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67</w:t>
            </w:r>
          </w:p>
          <w:p w14:paraId="63AC6AB7">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68</w:t>
            </w:r>
          </w:p>
          <w:p w14:paraId="61EC84AB">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69</w:t>
            </w:r>
          </w:p>
          <w:p w14:paraId="63BBB338">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70</w:t>
            </w:r>
          </w:p>
          <w:p w14:paraId="1A36AAFB">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71</w:t>
            </w:r>
          </w:p>
          <w:p w14:paraId="3114B7DA">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72</w:t>
            </w:r>
          </w:p>
          <w:p w14:paraId="3565CD19">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73</w:t>
            </w:r>
          </w:p>
          <w:p w14:paraId="2A205B6B">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74</w:t>
            </w:r>
          </w:p>
          <w:p w14:paraId="785327C7">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75</w:t>
            </w:r>
          </w:p>
          <w:p w14:paraId="1202D949">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76</w:t>
            </w:r>
          </w:p>
          <w:p w14:paraId="41735BF0">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77</w:t>
            </w:r>
          </w:p>
          <w:p w14:paraId="7E0365B4">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78</w:t>
            </w:r>
          </w:p>
          <w:p w14:paraId="31DB898C">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79</w:t>
            </w:r>
          </w:p>
          <w:p w14:paraId="128B4100">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80</w:t>
            </w:r>
          </w:p>
          <w:p w14:paraId="4AB7B5CC">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81</w:t>
            </w:r>
          </w:p>
          <w:p w14:paraId="3CEB8F4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82</w:t>
            </w:r>
          </w:p>
          <w:p w14:paraId="27A5A3C3">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83</w:t>
            </w:r>
          </w:p>
          <w:p w14:paraId="766B31B7">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84</w:t>
            </w:r>
          </w:p>
          <w:p w14:paraId="06B5AF12">
            <w:pPr>
              <w:keepNext w:val="0"/>
              <w:keepLines w:val="0"/>
              <w:widowControl/>
              <w:suppressLineNumbers w:val="0"/>
              <w:pBdr>
                <w:top w:val="none" w:color="auto" w:sz="0" w:space="0"/>
                <w:left w:val="none" w:color="auto" w:sz="0" w:space="0"/>
                <w:bottom w:val="none" w:color="auto" w:sz="0" w:space="0"/>
                <w:right w:val="single" w:color="6CE26C" w:sz="18" w:space="5"/>
              </w:pBdr>
              <w:shd w:val="clear" w:fill="FFFFFF"/>
              <w:spacing w:before="0" w:beforeAutospacing="0" w:after="0" w:afterAutospacing="0" w:line="231" w:lineRule="atLeast"/>
              <w:ind w:left="0" w:right="0"/>
              <w:jc w:val="right"/>
              <w:textAlignment w:val="baseline"/>
              <w:rPr>
                <w:rFonts w:hint="default" w:ascii="Consolas" w:hAnsi="Consolas" w:eastAsia="Consolas" w:cs="Consolas"/>
                <w:b w:val="0"/>
                <w:bCs w:val="0"/>
                <w:i w:val="0"/>
                <w:iCs w:val="0"/>
                <w:caps w:val="0"/>
                <w:color w:val="AFAFAF"/>
                <w:spacing w:val="0"/>
                <w:sz w:val="24"/>
                <w:szCs w:val="24"/>
              </w:rPr>
            </w:pPr>
            <w:r>
              <w:rPr>
                <w:rFonts w:hint="default" w:ascii="Consolas" w:hAnsi="Consolas" w:eastAsia="Consolas" w:cs="Consolas"/>
                <w:b w:val="0"/>
                <w:bCs w:val="0"/>
                <w:i w:val="0"/>
                <w:iCs w:val="0"/>
                <w:caps w:val="0"/>
                <w:color w:val="AFAFAF"/>
                <w:spacing w:val="0"/>
                <w:kern w:val="0"/>
                <w:sz w:val="24"/>
                <w:szCs w:val="24"/>
                <w:bdr w:val="none" w:color="auto" w:sz="0" w:space="0"/>
                <w:shd w:val="clear" w:fill="FFFFFF"/>
                <w:vertAlign w:val="baseline"/>
                <w:lang w:val="en-US" w:eastAsia="zh-CN" w:bidi="ar"/>
                <w14:ligatures w14:val="standardContextual"/>
              </w:rPr>
              <w:t>85</w:t>
            </w:r>
          </w:p>
        </w:tc>
        <w:tc>
          <w:tcPr>
            <w:tcW w:w="8693" w:type="dxa"/>
            <w:tcBorders>
              <w:top w:val="nil"/>
              <w:left w:val="nil"/>
              <w:bottom w:val="nil"/>
              <w:right w:val="nil"/>
            </w:tcBorders>
            <w:shd w:val="clear" w:color="auto" w:fill="FFFFFF"/>
            <w:tcMar>
              <w:left w:w="150" w:type="dxa"/>
            </w:tcMar>
            <w:vAlign w:val="top"/>
          </w:tcPr>
          <w:p w14:paraId="2D72DCA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import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pandas as pd</w:t>
            </w:r>
          </w:p>
          <w:p w14:paraId="1E55EB5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import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numpy as np</w:t>
            </w:r>
          </w:p>
          <w:p w14:paraId="0A8F2AE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37DEFB6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from</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tqdm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import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tqdm</w:t>
            </w:r>
          </w:p>
          <w:p w14:paraId="4138DF3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from</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parameters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import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p>
          <w:p w14:paraId="4E5EE69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from</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utils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import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p>
          <w:p w14:paraId="36DC33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xml:space="preserve"># MFE5130 2025 奇异期权定价 蒙特卡洛模型 </w:t>
            </w:r>
          </w:p>
          <w:p w14:paraId="3EC2147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2390FD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#重新命名参数</w:t>
            </w:r>
          </w:p>
          <w:p w14:paraId="529C0C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119F92E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def</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monte_carlo_priceX(style):</w:t>
            </w:r>
          </w:p>
          <w:p w14:paraId="0139D2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#==生成N_outer个外层期权价格S_T==</w:t>
            </w:r>
          </w:p>
          <w:p w14:paraId="243B146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#创建一个随机数生成器rng</w:t>
            </w:r>
          </w:p>
          <w:p w14:paraId="2AAD473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rng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np.random.default_rng(seed)</w:t>
            </w:r>
          </w:p>
          <w:p w14:paraId="0D0E90F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Z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rng.standard_normal(N_outer)</w:t>
            </w:r>
          </w:p>
          <w:p w14:paraId="551719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muT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rf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q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0.5</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volatility</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2</w:t>
            </w:r>
          </w:p>
          <w:p w14:paraId="3D44709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sigT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volatility</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np.sqrt(C_outer)</w:t>
            </w:r>
          </w:p>
          <w:p w14:paraId="4E63413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S_T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S0</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np.exp(muT</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C_outer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sigT</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Z)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#形状 (N_outer,)</w:t>
            </w:r>
          </w:p>
          <w:p w14:paraId="4C288C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24FFCFA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xml:space="preserve"># muC = rf - q - 0.5 * volatility**2 </w:t>
            </w:r>
          </w:p>
          <w:p w14:paraId="0359168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sigC = volatility*np.sqrt(C_inner)</w:t>
            </w:r>
          </w:p>
          <w:p w14:paraId="5899107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discount_C = np.exp(-rf*C_inner)</w:t>
            </w:r>
          </w:p>
          <w:p w14:paraId="1867CE0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discount_T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np.exp(</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rf</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C_outer)</w:t>
            </w:r>
          </w:p>
          <w:p w14:paraId="44C08F2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discounted_payoffs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np.zeros(N_outer)</w:t>
            </w:r>
          </w:p>
          <w:p w14:paraId="3F9E2E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#V1_Ts = []</w:t>
            </w:r>
          </w:p>
          <w:p w14:paraId="3AD4F4B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#遍历每一个外层价格ST求这个ST对应的Px</w:t>
            </w:r>
          </w:p>
          <w:p w14:paraId="778D80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for</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j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in</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tqdm(</w:t>
            </w:r>
            <w:r>
              <w:rPr>
                <w:rStyle w:val="25"/>
                <w:rFonts w:hint="default" w:ascii="Consolas" w:hAnsi="Consolas" w:eastAsia="Consolas" w:cs="Consolas"/>
                <w:b w:val="0"/>
                <w:bCs w:val="0"/>
                <w:i w:val="0"/>
                <w:iCs w:val="0"/>
                <w:caps w:val="0"/>
                <w:color w:val="FF1493"/>
                <w:spacing w:val="0"/>
                <w:kern w:val="0"/>
                <w:sz w:val="24"/>
                <w:szCs w:val="24"/>
                <w:bdr w:val="none" w:color="auto" w:sz="0" w:space="0"/>
                <w:shd w:val="clear" w:fill="FFFFFF"/>
                <w:vertAlign w:val="baseline"/>
                <w:lang w:val="en-US" w:eastAsia="zh-CN" w:bidi="ar"/>
                <w14:ligatures w14:val="standardContextual"/>
              </w:rPr>
              <w:t>range</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(N_outer), desc</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'计算中'</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54E5FF6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s_t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S_T[j]</w:t>
            </w:r>
          </w:p>
          <w:p w14:paraId="6ADD819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#z_inner = rng.standard_normal(N_inner)</w:t>
            </w:r>
          </w:p>
          <w:p w14:paraId="70D7E24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if</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style</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'European'</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7843033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S_TC = s_t * np.exp(muC*C_inner + sigC * z_inner) #得到N_inner个T+C时刻的股价</w:t>
            </w:r>
          </w:p>
          <w:p w14:paraId="35E72D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#计算T+C时刻的N_inner个内层期权收益</w:t>
            </w:r>
          </w:p>
          <w:p w14:paraId="77069AE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payoff_inner = np.maximum(K2[5] - S_TC ** 1.5, 0)</w:t>
            </w:r>
          </w:p>
          <w:p w14:paraId="475062B5">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#计算T时刻内层期权的价格</w:t>
            </w:r>
          </w:p>
          <w:p w14:paraId="0C49A74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V1_T = payoff_inner.mean() * discount_C</w:t>
            </w:r>
          </w:p>
          <w:p w14:paraId="2E970E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#V1_Ts.append(V1_T)</w:t>
            </w:r>
          </w:p>
          <w:p w14:paraId="0145979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params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26F7C68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"S0"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s_t,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初始股价 (Initial Stock Level)</w:t>
            </w:r>
          </w:p>
          <w:p w14:paraId="7D7817B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"K"</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K2[</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5</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行权价格 (Strike Price)</w:t>
            </w:r>
          </w:p>
          <w:p w14:paraId="0FF0BB3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C_inner,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到期时间 (Time-to-Maturity)</w:t>
            </w:r>
          </w:p>
          <w:p w14:paraId="4EBFE6D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"r"</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rf,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无风险利率 (Short Rate)</w:t>
            </w:r>
          </w:p>
          <w:p w14:paraId="7A1C54F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"sigma"</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volatility,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波动率 (Volatility)</w:t>
            </w:r>
          </w:p>
          <w:p w14:paraId="072C4E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"q"</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q,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股息收益率</w:t>
            </w:r>
          </w:p>
          <w:p w14:paraId="04F9D7C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1194B38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 模拟参数 ---</w:t>
            </w:r>
          </w:p>
          <w:p w14:paraId="64C94BE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"I"</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N_inner,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模拟路径数量</w:t>
            </w:r>
          </w:p>
          <w:p w14:paraId="39AEDF4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30C384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V1_T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European_MC_calculation(params)</w:t>
            </w:r>
          </w:p>
          <w:p w14:paraId="510344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elif</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style</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'American'</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0D640AD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params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773592B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 模型参数 ---</w:t>
            </w:r>
          </w:p>
          <w:p w14:paraId="6587E7AF">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"S0"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s_t,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初始股价 (Initial Stock Level)</w:t>
            </w:r>
          </w:p>
          <w:p w14:paraId="1C0047F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"K"</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K2[</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5</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行权价格 (Strike Price)</w:t>
            </w:r>
          </w:p>
          <w:p w14:paraId="6994BBF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C_inner,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到期时间 (Time-to-Maturity)</w:t>
            </w:r>
          </w:p>
          <w:p w14:paraId="368A9FB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"r"</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rf,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无风险利率 (Short Rate)</w:t>
            </w:r>
          </w:p>
          <w:p w14:paraId="5457599B">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"sigma"</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volatility,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波动率 (Volatility)</w:t>
            </w:r>
          </w:p>
          <w:p w14:paraId="4857E32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"q"</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q,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股息收益率</w:t>
            </w:r>
          </w:p>
          <w:p w14:paraId="1F63088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2E8B98B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 模拟参数 ---</w:t>
            </w:r>
          </w:p>
          <w:p w14:paraId="31BB3B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"I"</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N_inner,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模拟路径数量</w:t>
            </w:r>
          </w:p>
          <w:p w14:paraId="4B73CC16">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"M"</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100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时间步数量</w:t>
            </w:r>
          </w:p>
          <w:p w14:paraId="5413A2C0">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49F79EC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V1_T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American_MC_calculation(params)</w:t>
            </w:r>
          </w:p>
          <w:p w14:paraId="6C27A869">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else</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67F2205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FF1493"/>
                <w:spacing w:val="0"/>
                <w:kern w:val="0"/>
                <w:sz w:val="24"/>
                <w:szCs w:val="24"/>
                <w:bdr w:val="none" w:color="auto" w:sz="0" w:space="0"/>
                <w:shd w:val="clear" w:fill="FFFFFF"/>
                <w:vertAlign w:val="baseline"/>
                <w:lang w:val="en-US" w:eastAsia="zh-CN" w:bidi="ar"/>
                <w14:ligatures w14:val="standardContextual"/>
              </w:rPr>
              <w:t>print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(f</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"style必须是European和American中的一个!"</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36B4F53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52F785D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#计算T时刻外层期权的收益</w:t>
            </w:r>
          </w:p>
          <w:p w14:paraId="37481FC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payoff_outer_T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np.maximum(N1</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(V1_T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K1),</w:t>
            </w:r>
            <w:r>
              <w:rPr>
                <w:rStyle w:val="25"/>
                <w:rFonts w:hint="default" w:ascii="Consolas" w:hAnsi="Consolas" w:eastAsia="Consolas" w:cs="Consolas"/>
                <w:b w:val="0"/>
                <w:bCs w:val="0"/>
                <w:i w:val="0"/>
                <w:iCs w:val="0"/>
                <w:caps w:val="0"/>
                <w:color w:val="009900"/>
                <w:spacing w:val="0"/>
                <w:kern w:val="0"/>
                <w:sz w:val="24"/>
                <w:szCs w:val="24"/>
                <w:bdr w:val="none" w:color="auto" w:sz="0" w:space="0"/>
                <w:shd w:val="clear" w:fill="FFFFFF"/>
                <w:vertAlign w:val="baseline"/>
                <w:lang w:val="en-US" w:eastAsia="zh-CN" w:bidi="ar"/>
                <w14:ligatures w14:val="standardContextual"/>
              </w:rPr>
              <w:t>0</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586FAC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#计算0时刻外层期权的价格</w:t>
            </w:r>
          </w:p>
          <w:p w14:paraId="1446A46C">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discounted_payoffs[j]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discount_T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payoff_outer_T</w:t>
            </w:r>
          </w:p>
          <w:p w14:paraId="627771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307254D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#分析内层期权T时刻的价格，以正确模拟K1</w:t>
            </w:r>
          </w:p>
          <w:p w14:paraId="50579837">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V1_Ts = np.array(V1_Ts)</w:t>
            </w:r>
          </w:p>
          <w:p w14:paraId="31BBF98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V1_T_mean = np.mean(V1_Ts)</w:t>
            </w:r>
          </w:p>
          <w:p w14:paraId="3014D84E">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V1_T_median = np.median(V1_Ts)</w:t>
            </w:r>
          </w:p>
          <w:p w14:paraId="01F9C5B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511CAF1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 print(f"内层期权在T时刻的价格平均值为:{V1_T_mean},价格中位数为{V1_T_median}")</w:t>
            </w:r>
          </w:p>
          <w:p w14:paraId="08657C32">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7F789CE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 xml:space="preserve">price_X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discounted_payoffs.mean()</w:t>
            </w:r>
          </w:p>
          <w:p w14:paraId="605F8EA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val="0"/>
                <w:bCs w:val="0"/>
                <w:i w:val="0"/>
                <w:iCs w:val="0"/>
                <w:caps w:val="0"/>
                <w:color w:val="008200"/>
                <w:spacing w:val="0"/>
                <w:kern w:val="0"/>
                <w:sz w:val="24"/>
                <w:szCs w:val="24"/>
                <w:bdr w:val="none" w:color="auto" w:sz="0" w:space="0"/>
                <w:shd w:val="clear" w:fill="FFFFFF"/>
                <w:vertAlign w:val="baseline"/>
                <w:lang w:val="en-US" w:eastAsia="zh-CN" w:bidi="ar"/>
                <w14:ligatures w14:val="standardContextual"/>
              </w:rPr>
              <w:t>#print(f"外层{N_outer}步内层{N_inner}步的蒙特卡洛定价法得到期权X的价格为:{price_X}")</w:t>
            </w:r>
          </w:p>
          <w:p w14:paraId="1207802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r>
              <w:rPr>
                <w:rStyle w:val="25"/>
                <w:rFonts w:hint="default" w:ascii="Consolas" w:hAnsi="Consolas" w:eastAsia="Consolas" w:cs="Consolas"/>
                <w:b/>
                <w:bCs/>
                <w:i w:val="0"/>
                <w:iCs w:val="0"/>
                <w:caps w:val="0"/>
                <w:color w:val="006699"/>
                <w:spacing w:val="0"/>
                <w:kern w:val="0"/>
                <w:sz w:val="24"/>
                <w:szCs w:val="24"/>
                <w:bdr w:val="none" w:color="auto" w:sz="0" w:space="0"/>
                <w:shd w:val="clear" w:fill="FFFFFF"/>
                <w:vertAlign w:val="baseline"/>
                <w:lang w:val="en-US" w:eastAsia="zh-CN" w:bidi="ar"/>
                <w14:ligatures w14:val="standardContextual"/>
              </w:rPr>
              <w:t>return</w:t>
            </w: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xml:space="preserve"> </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price_X</w:t>
            </w:r>
          </w:p>
          <w:p w14:paraId="008873D3">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2AEA27C4">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Fonts w:hint="default" w:ascii="Consolas" w:hAnsi="Consolas" w:eastAsia="Consolas" w:cs="Consolas"/>
                <w:b w:val="0"/>
                <w:bCs w:val="0"/>
                <w:i w:val="0"/>
                <w:iCs w:val="0"/>
                <w:caps w:val="0"/>
                <w:color w:val="333333"/>
                <w:spacing w:val="0"/>
                <w:kern w:val="0"/>
                <w:sz w:val="24"/>
                <w:szCs w:val="24"/>
                <w:bdr w:val="none" w:color="auto" w:sz="0" w:space="0"/>
                <w:shd w:val="clear" w:fill="FFFFFF"/>
                <w:vertAlign w:val="baseline"/>
                <w:lang w:val="en-US" w:eastAsia="zh-CN" w:bidi="ar"/>
                <w14:ligatures w14:val="standardContextual"/>
              </w:rPr>
              <w:t> </w:t>
            </w:r>
          </w:p>
          <w:p w14:paraId="68ED732A">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FF1493"/>
                <w:spacing w:val="0"/>
                <w:kern w:val="0"/>
                <w:sz w:val="24"/>
                <w:szCs w:val="24"/>
                <w:bdr w:val="none" w:color="auto" w:sz="0" w:space="0"/>
                <w:shd w:val="clear" w:fill="FFFFFF"/>
                <w:vertAlign w:val="baseline"/>
                <w:lang w:val="en-US" w:eastAsia="zh-CN" w:bidi="ar"/>
                <w14:ligatures w14:val="standardContextual"/>
              </w:rPr>
              <w:t>print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(f</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"内层为欧式期权的X的蒙特卡洛模拟定价为:{monte_carlo_priceX('European')}"</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p w14:paraId="6651DD6D">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31" w:lineRule="atLeast"/>
              <w:ind w:left="0" w:right="0"/>
              <w:jc w:val="left"/>
              <w:textAlignment w:val="baseline"/>
              <w:rPr>
                <w:rFonts w:hint="default" w:ascii="Consolas" w:hAnsi="Consolas" w:eastAsia="Consolas" w:cs="Consolas"/>
                <w:b w:val="0"/>
                <w:bCs w:val="0"/>
                <w:i w:val="0"/>
                <w:iCs w:val="0"/>
                <w:caps w:val="0"/>
                <w:color w:val="333333"/>
                <w:spacing w:val="0"/>
                <w:sz w:val="24"/>
                <w:szCs w:val="24"/>
              </w:rPr>
            </w:pPr>
            <w:r>
              <w:rPr>
                <w:rStyle w:val="25"/>
                <w:rFonts w:hint="default" w:ascii="Consolas" w:hAnsi="Consolas" w:eastAsia="Consolas" w:cs="Consolas"/>
                <w:b w:val="0"/>
                <w:bCs w:val="0"/>
                <w:i w:val="0"/>
                <w:iCs w:val="0"/>
                <w:caps w:val="0"/>
                <w:color w:val="FF1493"/>
                <w:spacing w:val="0"/>
                <w:kern w:val="0"/>
                <w:sz w:val="24"/>
                <w:szCs w:val="24"/>
                <w:bdr w:val="none" w:color="auto" w:sz="0" w:space="0"/>
                <w:shd w:val="clear" w:fill="FFFFFF"/>
                <w:vertAlign w:val="baseline"/>
                <w:lang w:val="en-US" w:eastAsia="zh-CN" w:bidi="ar"/>
                <w14:ligatures w14:val="standardContextual"/>
              </w:rPr>
              <w:t>print</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(f</w:t>
            </w:r>
            <w:r>
              <w:rPr>
                <w:rStyle w:val="25"/>
                <w:rFonts w:hint="default" w:ascii="Consolas" w:hAnsi="Consolas" w:eastAsia="Consolas" w:cs="Consolas"/>
                <w:b w:val="0"/>
                <w:bCs w:val="0"/>
                <w:i w:val="0"/>
                <w:iCs w:val="0"/>
                <w:caps w:val="0"/>
                <w:color w:val="0000FF"/>
                <w:spacing w:val="0"/>
                <w:kern w:val="0"/>
                <w:sz w:val="24"/>
                <w:szCs w:val="24"/>
                <w:bdr w:val="none" w:color="auto" w:sz="0" w:space="0"/>
                <w:shd w:val="clear" w:fill="FFFFFF"/>
                <w:vertAlign w:val="baseline"/>
                <w:lang w:val="en-US" w:eastAsia="zh-CN" w:bidi="ar"/>
                <w14:ligatures w14:val="standardContextual"/>
              </w:rPr>
              <w:t>"内层为美式期权的X的蒙特卡洛模拟定价为:{monte_carlo_priceX('American')}"</w:t>
            </w:r>
            <w:r>
              <w:rPr>
                <w:rStyle w:val="25"/>
                <w:rFonts w:hint="default" w:ascii="Consolas" w:hAnsi="Consolas" w:eastAsia="Consolas" w:cs="Consolas"/>
                <w:b w:val="0"/>
                <w:bCs w:val="0"/>
                <w:i w:val="0"/>
                <w:iCs w:val="0"/>
                <w:caps w:val="0"/>
                <w:color w:val="000000"/>
                <w:spacing w:val="0"/>
                <w:kern w:val="0"/>
                <w:sz w:val="24"/>
                <w:szCs w:val="24"/>
                <w:bdr w:val="none" w:color="auto" w:sz="0" w:space="0"/>
                <w:shd w:val="clear" w:fill="FFFFFF"/>
                <w:vertAlign w:val="baseline"/>
                <w:lang w:val="en-US" w:eastAsia="zh-CN" w:bidi="ar"/>
                <w14:ligatures w14:val="standardContextual"/>
              </w:rPr>
              <w:t>)</w:t>
            </w:r>
          </w:p>
        </w:tc>
      </w:tr>
    </w:tbl>
    <w:p w14:paraId="0E89999C"/>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00" w:lineRule="auto"/>
      </w:pPr>
      <w:r>
        <w:separator/>
      </w:r>
    </w:p>
  </w:footnote>
  <w:footnote w:type="continuationSeparator" w:id="1">
    <w:p>
      <w:pPr>
        <w:spacing w:line="30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4B9D63"/>
    <w:multiLevelType w:val="singleLevel"/>
    <w:tmpl w:val="8C4B9D63"/>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C35399C"/>
    <w:rsid w:val="0011018B"/>
    <w:rsid w:val="00202D90"/>
    <w:rsid w:val="002F6DBA"/>
    <w:rsid w:val="00377F4B"/>
    <w:rsid w:val="003B18FF"/>
    <w:rsid w:val="00457326"/>
    <w:rsid w:val="004C6C7C"/>
    <w:rsid w:val="005133F9"/>
    <w:rsid w:val="006431DF"/>
    <w:rsid w:val="00690EDE"/>
    <w:rsid w:val="006B6C60"/>
    <w:rsid w:val="0071298C"/>
    <w:rsid w:val="0072594B"/>
    <w:rsid w:val="00796A61"/>
    <w:rsid w:val="00857033"/>
    <w:rsid w:val="008F3098"/>
    <w:rsid w:val="009917D7"/>
    <w:rsid w:val="00A304F3"/>
    <w:rsid w:val="00C57F62"/>
    <w:rsid w:val="00DD2D4B"/>
    <w:rsid w:val="00E0271A"/>
    <w:rsid w:val="00E96B9B"/>
    <w:rsid w:val="00FA21B1"/>
    <w:rsid w:val="0BA03B24"/>
    <w:rsid w:val="0C35399C"/>
    <w:rsid w:val="13417C24"/>
    <w:rsid w:val="14380564"/>
    <w:rsid w:val="16F5513D"/>
    <w:rsid w:val="179761F4"/>
    <w:rsid w:val="1B9D5E5B"/>
    <w:rsid w:val="1E6E5F01"/>
    <w:rsid w:val="2244248A"/>
    <w:rsid w:val="25096983"/>
    <w:rsid w:val="2A6D37AC"/>
    <w:rsid w:val="2D9E66A8"/>
    <w:rsid w:val="37661A13"/>
    <w:rsid w:val="3862042D"/>
    <w:rsid w:val="39163A04"/>
    <w:rsid w:val="3A0B0650"/>
    <w:rsid w:val="3FFE3893"/>
    <w:rsid w:val="450E4647"/>
    <w:rsid w:val="465A00E2"/>
    <w:rsid w:val="46C82ABD"/>
    <w:rsid w:val="4CD817CF"/>
    <w:rsid w:val="4D4557D4"/>
    <w:rsid w:val="52C129E8"/>
    <w:rsid w:val="54171791"/>
    <w:rsid w:val="5BF154A0"/>
    <w:rsid w:val="5D445DA8"/>
    <w:rsid w:val="6D162FB8"/>
    <w:rsid w:val="6E66587A"/>
    <w:rsid w:val="72F13B80"/>
    <w:rsid w:val="749D3FBF"/>
    <w:rsid w:val="7B346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00" w:lineRule="auto"/>
      <w:jc w:val="both"/>
    </w:pPr>
    <w:rPr>
      <w:rFonts w:ascii="Times New Roman" w:hAnsi="Times New Roman" w:eastAsia="宋体" w:cs="Times New Roman"/>
      <w:kern w:val="2"/>
      <w:sz w:val="24"/>
      <w:szCs w:val="21"/>
      <w:lang w:val="en-US" w:eastAsia="zh-CN" w:bidi="ar-SA"/>
      <w14:ligatures w14:val="standardContextual"/>
    </w:rPr>
  </w:style>
  <w:style w:type="paragraph" w:styleId="2">
    <w:name w:val="heading 1"/>
    <w:basedOn w:val="1"/>
    <w:next w:val="1"/>
    <w:link w:val="28"/>
    <w:autoRedefine/>
    <w:qFormat/>
    <w:uiPriority w:val="9"/>
    <w:pPr>
      <w:keepNext/>
      <w:keepLines/>
      <w:spacing w:before="120" w:after="240" w:line="240" w:lineRule="auto"/>
      <w:jc w:val="center"/>
      <w:outlineLvl w:val="0"/>
    </w:pPr>
    <w:rPr>
      <w:rFonts w:eastAsia="黑体" w:asciiTheme="majorHAnsi" w:hAnsiTheme="majorHAnsi" w:cstheme="majorBidi"/>
      <w:bCs/>
      <w:sz w:val="30"/>
      <w:szCs w:val="48"/>
    </w:rPr>
  </w:style>
  <w:style w:type="paragraph" w:styleId="3">
    <w:name w:val="heading 2"/>
    <w:basedOn w:val="1"/>
    <w:next w:val="1"/>
    <w:link w:val="26"/>
    <w:autoRedefine/>
    <w:unhideWhenUsed/>
    <w:qFormat/>
    <w:uiPriority w:val="9"/>
    <w:pPr>
      <w:keepNext/>
      <w:keepLines/>
      <w:adjustRightInd w:val="0"/>
      <w:jc w:val="left"/>
      <w:outlineLvl w:val="1"/>
    </w:pPr>
    <w:rPr>
      <w:rFonts w:cstheme="majorBidi"/>
      <w:b/>
      <w:szCs w:val="40"/>
    </w:rPr>
  </w:style>
  <w:style w:type="paragraph" w:styleId="4">
    <w:name w:val="heading 3"/>
    <w:basedOn w:val="1"/>
    <w:next w:val="1"/>
    <w:link w:val="29"/>
    <w:autoRedefine/>
    <w:unhideWhenUsed/>
    <w:qFormat/>
    <w:uiPriority w:val="9"/>
    <w:pPr>
      <w:keepNext/>
      <w:keepLines/>
      <w:spacing w:before="160" w:after="80"/>
      <w:jc w:val="left"/>
      <w:outlineLvl w:val="2"/>
    </w:pPr>
    <w:rPr>
      <w:rFonts w:asciiTheme="majorHAnsi" w:hAnsiTheme="majorHAnsi" w:cstheme="majorBidi"/>
      <w:b/>
      <w:szCs w:val="32"/>
    </w:rPr>
  </w:style>
  <w:style w:type="paragraph" w:styleId="5">
    <w:name w:val="heading 4"/>
    <w:basedOn w:val="1"/>
    <w:next w:val="1"/>
    <w:link w:val="27"/>
    <w:unhideWhenUsed/>
    <w:qFormat/>
    <w:uiPriority w:val="9"/>
    <w:pPr>
      <w:keepNext/>
      <w:keepLines/>
      <w:spacing w:before="80" w:after="40"/>
      <w:jc w:val="center"/>
      <w:outlineLvl w:val="3"/>
    </w:pPr>
    <w:rPr>
      <w:rFonts w:cstheme="majorBidi"/>
      <w:color w:val="2E54A1" w:themeColor="accent1" w:themeShade="BF"/>
      <w:sz w:val="28"/>
      <w:szCs w:val="28"/>
    </w:rPr>
  </w:style>
  <w:style w:type="paragraph" w:styleId="6">
    <w:name w:val="heading 5"/>
    <w:basedOn w:val="1"/>
    <w:next w:val="1"/>
    <w:link w:val="30"/>
    <w:unhideWhenUsed/>
    <w:qFormat/>
    <w:uiPriority w:val="9"/>
    <w:pPr>
      <w:keepNext/>
      <w:keepLines/>
      <w:spacing w:before="80" w:after="40"/>
      <w:outlineLvl w:val="4"/>
    </w:pPr>
    <w:rPr>
      <w:rFonts w:cstheme="majorBidi"/>
      <w:b/>
      <w:color w:val="000000" w:themeColor="text1"/>
      <w:szCs w:val="24"/>
      <w14:textFill>
        <w14:solidFill>
          <w14:schemeClr w14:val="tx1"/>
        </w14:solidFill>
      </w14:textFill>
    </w:rPr>
  </w:style>
  <w:style w:type="paragraph" w:styleId="7">
    <w:name w:val="heading 6"/>
    <w:basedOn w:val="1"/>
    <w:next w:val="1"/>
    <w:link w:val="31"/>
    <w:semiHidden/>
    <w:unhideWhenUsed/>
    <w:qFormat/>
    <w:uiPriority w:val="9"/>
    <w:pPr>
      <w:keepNext/>
      <w:keepLines/>
      <w:spacing w:before="40"/>
      <w:outlineLvl w:val="5"/>
    </w:pPr>
    <w:rPr>
      <w:rFonts w:cstheme="majorBidi"/>
      <w:b/>
      <w:bCs/>
      <w:color w:val="2E54A1" w:themeColor="accent1" w:themeShade="BF"/>
    </w:rPr>
  </w:style>
  <w:style w:type="paragraph" w:styleId="8">
    <w:name w:val="heading 7"/>
    <w:basedOn w:val="1"/>
    <w:next w:val="1"/>
    <w:link w:val="3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2">
    <w:name w:val="Default Paragraph Font"/>
    <w:unhideWhenUsed/>
    <w:uiPriority w:val="1"/>
  </w:style>
  <w:style w:type="table" w:default="1" w:styleId="20">
    <w:name w:val="Normal Table"/>
    <w:semiHidden/>
    <w:unhideWhenUsed/>
    <w:uiPriority w:val="99"/>
    <w:tblPr>
      <w:tblCellMar>
        <w:top w:w="0" w:type="dxa"/>
        <w:left w:w="108" w:type="dxa"/>
        <w:bottom w:w="0" w:type="dxa"/>
        <w:right w:w="108" w:type="dxa"/>
      </w:tblCellMar>
    </w:tblPr>
  </w:style>
  <w:style w:type="paragraph" w:styleId="11">
    <w:name w:val="Body Text"/>
    <w:basedOn w:val="1"/>
    <w:link w:val="45"/>
    <w:semiHidden/>
    <w:qFormat/>
    <w:uiPriority w:val="0"/>
    <w:pPr>
      <w:widowControl/>
      <w:kinsoku w:val="0"/>
      <w:autoSpaceDE w:val="0"/>
      <w:autoSpaceDN w:val="0"/>
      <w:adjustRightInd w:val="0"/>
      <w:snapToGrid w:val="0"/>
      <w:spacing w:line="240" w:lineRule="auto"/>
      <w:jc w:val="left"/>
      <w:textAlignment w:val="baseline"/>
    </w:pPr>
    <w:rPr>
      <w:rFonts w:ascii="宋体" w:hAnsi="宋体" w:cs="宋体"/>
      <w:snapToGrid w:val="0"/>
      <w:color w:val="000000"/>
      <w:kern w:val="0"/>
      <w:sz w:val="21"/>
      <w:lang w:eastAsia="en-US"/>
    </w:rPr>
  </w:style>
  <w:style w:type="paragraph" w:styleId="12">
    <w:name w:val="toc 3"/>
    <w:basedOn w:val="1"/>
    <w:next w:val="1"/>
    <w:uiPriority w:val="0"/>
    <w:pPr>
      <w:ind w:left="840" w:leftChars="400"/>
    </w:pPr>
  </w:style>
  <w:style w:type="paragraph" w:styleId="13">
    <w:name w:val="footer"/>
    <w:basedOn w:val="1"/>
    <w:link w:val="49"/>
    <w:unhideWhenUsed/>
    <w:qFormat/>
    <w:uiPriority w:val="99"/>
    <w:pPr>
      <w:tabs>
        <w:tab w:val="center" w:pos="4153"/>
        <w:tab w:val="right" w:pos="8306"/>
      </w:tabs>
      <w:snapToGrid w:val="0"/>
      <w:spacing w:line="240" w:lineRule="auto"/>
      <w:jc w:val="left"/>
    </w:pPr>
    <w:rPr>
      <w:sz w:val="18"/>
      <w:szCs w:val="18"/>
    </w:rPr>
  </w:style>
  <w:style w:type="paragraph" w:styleId="14">
    <w:name w:val="header"/>
    <w:basedOn w:val="1"/>
    <w:link w:val="44"/>
    <w:qFormat/>
    <w:uiPriority w:val="0"/>
    <w:pPr>
      <w:pBdr>
        <w:bottom w:val="single" w:color="auto" w:sz="6" w:space="1"/>
      </w:pBdr>
      <w:tabs>
        <w:tab w:val="center" w:pos="4153"/>
        <w:tab w:val="right" w:pos="8306"/>
      </w:tabs>
      <w:snapToGrid w:val="0"/>
      <w:spacing w:line="240" w:lineRule="auto"/>
      <w:jc w:val="center"/>
    </w:pPr>
    <w:rPr>
      <w:sz w:val="18"/>
      <w:szCs w:val="18"/>
      <w14:ligatures w14:val="none"/>
    </w:rPr>
  </w:style>
  <w:style w:type="paragraph" w:styleId="15">
    <w:name w:val="toc 1"/>
    <w:basedOn w:val="1"/>
    <w:next w:val="1"/>
    <w:autoRedefine/>
    <w:unhideWhenUsed/>
    <w:qFormat/>
    <w:uiPriority w:val="39"/>
  </w:style>
  <w:style w:type="paragraph" w:styleId="16">
    <w:name w:val="Subtitle"/>
    <w:basedOn w:val="1"/>
    <w:next w:val="1"/>
    <w:link w:val="3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oc 2"/>
    <w:basedOn w:val="1"/>
    <w:next w:val="1"/>
    <w:autoRedefine/>
    <w:unhideWhenUsed/>
    <w:qFormat/>
    <w:uiPriority w:val="39"/>
    <w:pPr>
      <w:ind w:left="420" w:leftChars="200"/>
    </w:pPr>
  </w:style>
  <w:style w:type="paragraph" w:styleId="18">
    <w:name w:val="Normal (Web)"/>
    <w:basedOn w:val="1"/>
    <w:semiHidden/>
    <w:unhideWhenUsed/>
    <w:qFormat/>
    <w:uiPriority w:val="99"/>
    <w:pPr>
      <w:widowControl/>
      <w:spacing w:before="100" w:beforeAutospacing="1" w:after="100" w:afterAutospacing="1" w:line="240" w:lineRule="auto"/>
      <w:jc w:val="left"/>
    </w:pPr>
    <w:rPr>
      <w:rFonts w:ascii="宋体" w:hAnsi="宋体" w:cs="宋体"/>
      <w:kern w:val="0"/>
      <w:szCs w:val="24"/>
    </w:rPr>
  </w:style>
  <w:style w:type="paragraph" w:styleId="19">
    <w:name w:val="Title"/>
    <w:basedOn w:val="1"/>
    <w:next w:val="1"/>
    <w:link w:val="35"/>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1">
    <w:name w:val="Table Grid"/>
    <w:basedOn w:val="20"/>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22"/>
    <w:rPr>
      <w:b/>
      <w:bCs/>
    </w:rPr>
  </w:style>
  <w:style w:type="character" w:styleId="24">
    <w:name w:val="Hyperlink"/>
    <w:basedOn w:val="22"/>
    <w:unhideWhenUsed/>
    <w:qFormat/>
    <w:uiPriority w:val="99"/>
    <w:rPr>
      <w:color w:val="0000FF"/>
      <w:u w:val="single"/>
    </w:rPr>
  </w:style>
  <w:style w:type="character" w:styleId="25">
    <w:name w:val="HTML Code"/>
    <w:basedOn w:val="22"/>
    <w:uiPriority w:val="0"/>
    <w:rPr>
      <w:rFonts w:ascii="Courier New" w:hAnsi="Courier New"/>
      <w:sz w:val="20"/>
    </w:rPr>
  </w:style>
  <w:style w:type="character" w:customStyle="1" w:styleId="26">
    <w:name w:val="标题 2 字符"/>
    <w:basedOn w:val="22"/>
    <w:link w:val="3"/>
    <w:qFormat/>
    <w:uiPriority w:val="9"/>
    <w:rPr>
      <w:rFonts w:ascii="Times New Roman" w:hAnsi="Times New Roman" w:eastAsia="宋体" w:cstheme="majorBidi"/>
      <w:b/>
      <w:sz w:val="24"/>
      <w:szCs w:val="40"/>
    </w:rPr>
  </w:style>
  <w:style w:type="character" w:customStyle="1" w:styleId="27">
    <w:name w:val="标题 4 字符"/>
    <w:basedOn w:val="22"/>
    <w:link w:val="5"/>
    <w:qFormat/>
    <w:uiPriority w:val="9"/>
    <w:rPr>
      <w:rFonts w:cstheme="majorBidi"/>
      <w:color w:val="2E54A1" w:themeColor="accent1" w:themeShade="BF"/>
      <w:sz w:val="28"/>
      <w:szCs w:val="28"/>
    </w:rPr>
  </w:style>
  <w:style w:type="character" w:customStyle="1" w:styleId="28">
    <w:name w:val="标题 1 字符"/>
    <w:basedOn w:val="22"/>
    <w:link w:val="2"/>
    <w:qFormat/>
    <w:uiPriority w:val="9"/>
    <w:rPr>
      <w:rFonts w:eastAsia="黑体" w:asciiTheme="majorHAnsi" w:hAnsiTheme="majorHAnsi" w:cstheme="majorBidi"/>
      <w:bCs/>
      <w:sz w:val="30"/>
      <w:szCs w:val="48"/>
    </w:rPr>
  </w:style>
  <w:style w:type="character" w:customStyle="1" w:styleId="29">
    <w:name w:val="标题 3 字符"/>
    <w:basedOn w:val="22"/>
    <w:link w:val="4"/>
    <w:qFormat/>
    <w:uiPriority w:val="9"/>
    <w:rPr>
      <w:rFonts w:eastAsia="宋体" w:asciiTheme="majorHAnsi" w:hAnsiTheme="majorHAnsi" w:cstheme="majorBidi"/>
      <w:b/>
      <w:sz w:val="24"/>
      <w:szCs w:val="32"/>
    </w:rPr>
  </w:style>
  <w:style w:type="character" w:customStyle="1" w:styleId="30">
    <w:name w:val="标题 5 字符"/>
    <w:basedOn w:val="22"/>
    <w:link w:val="6"/>
    <w:semiHidden/>
    <w:qFormat/>
    <w:uiPriority w:val="9"/>
    <w:rPr>
      <w:rFonts w:ascii="Times New Roman" w:hAnsi="Times New Roman" w:eastAsia="宋体" w:cstheme="majorBidi"/>
      <w:b/>
      <w:color w:val="000000" w:themeColor="text1"/>
      <w:szCs w:val="24"/>
      <w14:textFill>
        <w14:solidFill>
          <w14:schemeClr w14:val="tx1"/>
        </w14:solidFill>
      </w14:textFill>
    </w:rPr>
  </w:style>
  <w:style w:type="character" w:customStyle="1" w:styleId="31">
    <w:name w:val="标题 6 字符"/>
    <w:basedOn w:val="22"/>
    <w:link w:val="7"/>
    <w:semiHidden/>
    <w:qFormat/>
    <w:uiPriority w:val="9"/>
    <w:rPr>
      <w:rFonts w:cstheme="majorBidi"/>
      <w:b/>
      <w:bCs/>
      <w:color w:val="2E54A1" w:themeColor="accent1" w:themeShade="BF"/>
    </w:rPr>
  </w:style>
  <w:style w:type="character" w:customStyle="1" w:styleId="32">
    <w:name w:val="标题 7 字符"/>
    <w:basedOn w:val="22"/>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3">
    <w:name w:val="标题 8 字符"/>
    <w:basedOn w:val="22"/>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4">
    <w:name w:val="标题 9 字符"/>
    <w:basedOn w:val="22"/>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标题 字符"/>
    <w:basedOn w:val="22"/>
    <w:link w:val="19"/>
    <w:qFormat/>
    <w:uiPriority w:val="10"/>
    <w:rPr>
      <w:rFonts w:asciiTheme="majorHAnsi" w:hAnsiTheme="majorHAnsi" w:eastAsiaTheme="majorEastAsia" w:cstheme="majorBidi"/>
      <w:spacing w:val="-10"/>
      <w:kern w:val="28"/>
      <w:sz w:val="56"/>
      <w:szCs w:val="56"/>
    </w:rPr>
  </w:style>
  <w:style w:type="character" w:customStyle="1" w:styleId="36">
    <w:name w:val="副标题 字符"/>
    <w:basedOn w:val="22"/>
    <w:link w:val="16"/>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7">
    <w:name w:val="Quote"/>
    <w:basedOn w:val="1"/>
    <w:next w:val="1"/>
    <w:link w:val="3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8">
    <w:name w:val="引用 字符"/>
    <w:basedOn w:val="22"/>
    <w:link w:val="37"/>
    <w:qFormat/>
    <w:uiPriority w:val="29"/>
    <w:rPr>
      <w:i/>
      <w:iCs/>
      <w:color w:val="404040" w:themeColor="text1" w:themeTint="BF"/>
      <w14:textFill>
        <w14:solidFill>
          <w14:schemeClr w14:val="tx1">
            <w14:lumMod w14:val="75000"/>
            <w14:lumOff w14:val="25000"/>
          </w14:schemeClr>
        </w14:solidFill>
      </w14:textFill>
    </w:rPr>
  </w:style>
  <w:style w:type="paragraph" w:styleId="39">
    <w:name w:val="List Paragraph"/>
    <w:basedOn w:val="1"/>
    <w:qFormat/>
    <w:uiPriority w:val="34"/>
    <w:pPr>
      <w:ind w:left="720"/>
      <w:contextualSpacing/>
    </w:pPr>
  </w:style>
  <w:style w:type="character" w:customStyle="1" w:styleId="40">
    <w:name w:val="明显强调1"/>
    <w:basedOn w:val="22"/>
    <w:qFormat/>
    <w:uiPriority w:val="21"/>
    <w:rPr>
      <w:i/>
      <w:iCs/>
      <w:color w:val="2E54A1" w:themeColor="accent1" w:themeShade="BF"/>
    </w:rPr>
  </w:style>
  <w:style w:type="paragraph" w:styleId="41">
    <w:name w:val="Intense Quote"/>
    <w:basedOn w:val="1"/>
    <w:next w:val="1"/>
    <w:link w:val="42"/>
    <w:qFormat/>
    <w:uiPriority w:val="30"/>
    <w:pPr>
      <w:pBdr>
        <w:top w:val="single" w:color="2D54A0" w:themeColor="accent1" w:themeShade="BF" w:sz="4" w:space="10"/>
        <w:bottom w:val="single" w:color="2D54A0" w:themeColor="accent1" w:themeShade="BF" w:sz="4" w:space="10"/>
      </w:pBdr>
      <w:spacing w:before="360" w:after="360"/>
      <w:ind w:left="864" w:right="864"/>
      <w:jc w:val="center"/>
    </w:pPr>
    <w:rPr>
      <w:i/>
      <w:iCs/>
      <w:color w:val="2E54A1" w:themeColor="accent1" w:themeShade="BF"/>
    </w:rPr>
  </w:style>
  <w:style w:type="character" w:customStyle="1" w:styleId="42">
    <w:name w:val="明显引用 字符"/>
    <w:basedOn w:val="22"/>
    <w:link w:val="41"/>
    <w:qFormat/>
    <w:uiPriority w:val="30"/>
    <w:rPr>
      <w:i/>
      <w:iCs/>
      <w:color w:val="2E54A1" w:themeColor="accent1" w:themeShade="BF"/>
    </w:rPr>
  </w:style>
  <w:style w:type="character" w:customStyle="1" w:styleId="43">
    <w:name w:val="明显参考1"/>
    <w:basedOn w:val="22"/>
    <w:qFormat/>
    <w:uiPriority w:val="32"/>
    <w:rPr>
      <w:b/>
      <w:bCs/>
      <w:smallCaps/>
      <w:color w:val="2E54A1" w:themeColor="accent1" w:themeShade="BF"/>
      <w:spacing w:val="5"/>
    </w:rPr>
  </w:style>
  <w:style w:type="character" w:customStyle="1" w:styleId="44">
    <w:name w:val="页眉 字符"/>
    <w:basedOn w:val="22"/>
    <w:link w:val="14"/>
    <w:qFormat/>
    <w:uiPriority w:val="0"/>
    <w:rPr>
      <w:sz w:val="18"/>
      <w:szCs w:val="18"/>
      <w14:ligatures w14:val="none"/>
    </w:rPr>
  </w:style>
  <w:style w:type="character" w:customStyle="1" w:styleId="45">
    <w:name w:val="正文文本 字符"/>
    <w:basedOn w:val="22"/>
    <w:link w:val="11"/>
    <w:semiHidden/>
    <w:qFormat/>
    <w:uiPriority w:val="0"/>
    <w:rPr>
      <w:rFonts w:ascii="宋体" w:hAnsi="宋体" w:cs="宋体"/>
      <w:snapToGrid w:val="0"/>
      <w:color w:val="000000"/>
      <w:kern w:val="0"/>
      <w:sz w:val="21"/>
      <w:lang w:eastAsia="en-US"/>
    </w:rPr>
  </w:style>
  <w:style w:type="table" w:customStyle="1" w:styleId="46">
    <w:name w:val="Table Normal"/>
    <w:semiHidden/>
    <w:unhideWhenUsed/>
    <w:qFormat/>
    <w:uiPriority w:val="0"/>
    <w:rPr>
      <w:rFonts w:ascii="Arial" w:hAnsi="Arial" w:cs="Arial"/>
    </w:rPr>
    <w:tblPr>
      <w:tblCellMar>
        <w:top w:w="0" w:type="dxa"/>
        <w:left w:w="0" w:type="dxa"/>
        <w:bottom w:w="0" w:type="dxa"/>
        <w:right w:w="0" w:type="dxa"/>
      </w:tblCellMar>
    </w:tblPr>
  </w:style>
  <w:style w:type="paragraph" w:customStyle="1" w:styleId="47">
    <w:name w:val="Table Text"/>
    <w:basedOn w:val="1"/>
    <w:semiHidden/>
    <w:qFormat/>
    <w:uiPriority w:val="0"/>
    <w:pPr>
      <w:widowControl/>
      <w:kinsoku w:val="0"/>
      <w:autoSpaceDE w:val="0"/>
      <w:autoSpaceDN w:val="0"/>
      <w:adjustRightInd w:val="0"/>
      <w:snapToGrid w:val="0"/>
      <w:spacing w:line="240" w:lineRule="auto"/>
      <w:jc w:val="left"/>
      <w:textAlignment w:val="baseline"/>
    </w:pPr>
    <w:rPr>
      <w:rFonts w:eastAsia="Times New Roman"/>
      <w:snapToGrid w:val="0"/>
      <w:color w:val="000000"/>
      <w:kern w:val="0"/>
      <w:sz w:val="19"/>
      <w:szCs w:val="19"/>
      <w:lang w:eastAsia="en-US"/>
    </w:rPr>
  </w:style>
  <w:style w:type="character" w:styleId="48">
    <w:name w:val="Placeholder Text"/>
    <w:basedOn w:val="22"/>
    <w:semiHidden/>
    <w:qFormat/>
    <w:uiPriority w:val="99"/>
    <w:rPr>
      <w:color w:val="666666"/>
    </w:rPr>
  </w:style>
  <w:style w:type="character" w:customStyle="1" w:styleId="49">
    <w:name w:val="页脚 字符"/>
    <w:basedOn w:val="22"/>
    <w:link w:val="13"/>
    <w:qFormat/>
    <w:uiPriority w:val="99"/>
    <w:rPr>
      <w:sz w:val="18"/>
      <w:szCs w:val="18"/>
    </w:rPr>
  </w:style>
  <w:style w:type="paragraph" w:customStyle="1" w:styleId="50">
    <w:name w:val="TOC 标题1"/>
    <w:basedOn w:val="2"/>
    <w:next w:val="1"/>
    <w:unhideWhenUsed/>
    <w:qFormat/>
    <w:uiPriority w:val="39"/>
    <w:pPr>
      <w:widowControl/>
      <w:spacing w:before="240" w:after="0" w:line="259" w:lineRule="auto"/>
      <w:jc w:val="left"/>
      <w:outlineLvl w:val="9"/>
    </w:pPr>
    <w:rPr>
      <w:rFonts w:eastAsiaTheme="majorEastAsia"/>
      <w:b/>
      <w:color w:val="2E54A1" w:themeColor="accent1" w:themeShade="BF"/>
      <w:kern w:val="0"/>
      <w:sz w:val="32"/>
      <w:szCs w:val="32"/>
    </w:rPr>
  </w:style>
  <w:style w:type="character" w:customStyle="1" w:styleId="51">
    <w:name w:val="未处理的提及1"/>
    <w:basedOn w:val="22"/>
    <w:semiHidden/>
    <w:unhideWhenUsed/>
    <w:qFormat/>
    <w:uiPriority w:val="99"/>
    <w:rPr>
      <w:color w:val="605E5C"/>
      <w:shd w:val="clear" w:color="auto" w:fill="E1DFDD"/>
    </w:rPr>
  </w:style>
  <w:style w:type="paragraph" w:customStyle="1" w:styleId="52">
    <w:name w:val="参考文献"/>
    <w:basedOn w:val="1"/>
    <w:link w:val="53"/>
    <w:autoRedefine/>
    <w:qFormat/>
    <w:uiPriority w:val="0"/>
    <w:rPr>
      <w:sz w:val="21"/>
    </w:rPr>
  </w:style>
  <w:style w:type="character" w:customStyle="1" w:styleId="53">
    <w:name w:val="参考文献 字符"/>
    <w:basedOn w:val="22"/>
    <w:link w:val="52"/>
    <w:qFormat/>
    <w:uiPriority w:val="0"/>
    <w:rPr>
      <w:sz w:val="21"/>
    </w:rPr>
  </w:style>
  <w:style w:type="paragraph" w:customStyle="1" w:styleId="54">
    <w:name w:val="致谢"/>
    <w:basedOn w:val="2"/>
    <w:link w:val="55"/>
    <w:qFormat/>
    <w:uiPriority w:val="0"/>
  </w:style>
  <w:style w:type="character" w:customStyle="1" w:styleId="55">
    <w:name w:val="致谢 字符"/>
    <w:basedOn w:val="28"/>
    <w:link w:val="54"/>
    <w:qFormat/>
    <w:uiPriority w:val="0"/>
    <w:rPr>
      <w:rFonts w:eastAsia="黑体" w:asciiTheme="majorHAnsi" w:hAnsiTheme="majorHAnsi" w:cstheme="majorBidi"/>
      <w:sz w:val="30"/>
      <w:szCs w:val="48"/>
    </w:rPr>
  </w:style>
  <w:style w:type="paragraph" w:customStyle="1" w:styleId="56">
    <w:name w:val="WPSOffice手动目录 1"/>
    <w:uiPriority w:val="0"/>
    <w:rPr>
      <w:rFonts w:ascii="Times New Roman" w:hAnsi="Times New Roman" w:eastAsia="宋体" w:cs="Times New Roman"/>
      <w:lang w:val="en-US" w:eastAsia="zh-CN" w:bidi="ar-SA"/>
    </w:rPr>
  </w:style>
  <w:style w:type="paragraph" w:customStyle="1" w:styleId="57">
    <w:name w:val="WPSOffice手动目录 2"/>
    <w:uiPriority w:val="0"/>
    <w:pPr>
      <w:ind w:left="200" w:leftChars="200"/>
    </w:pPr>
    <w:rPr>
      <w:rFonts w:ascii="Times New Roman" w:hAnsi="Times New Roman" w:eastAsia="宋体" w:cs="Times New Roman"/>
      <w:lang w:val="en-US" w:eastAsia="zh-CN" w:bidi="ar-SA"/>
    </w:rPr>
  </w:style>
  <w:style w:type="paragraph" w:customStyle="1" w:styleId="58">
    <w:name w:val="WPSOffice手动目录 3"/>
    <w:uiPriority w:val="0"/>
    <w:pPr>
      <w:ind w:left="400" w:leftChars="400"/>
    </w:pPr>
    <w:rPr>
      <w:rFonts w:ascii="Times New Roman" w:hAnsi="Times New Roman" w:eastAsia="宋体" w:cs="Times New Roman"/>
      <w:lang w:val="en-US" w:eastAsia="zh-CN" w:bidi="ar-SA"/>
    </w:rPr>
  </w:style>
  <w:style w:type="paragraph" w:customStyle="1" w:styleId="59">
    <w:name w:val="AMDisplayEquation"/>
    <w:basedOn w:val="1"/>
    <w:next w:val="1"/>
    <w:link w:val="60"/>
    <w:uiPriority w:val="0"/>
    <w:pPr>
      <w:tabs>
        <w:tab w:val="center" w:pos="4160"/>
        <w:tab w:val="right" w:pos="8300"/>
      </w:tabs>
      <w:ind w:firstLine="420"/>
    </w:pPr>
  </w:style>
  <w:style w:type="character" w:customStyle="1" w:styleId="60">
    <w:name w:val="AMDisplayEquation 字符"/>
    <w:basedOn w:val="22"/>
    <w:link w:val="59"/>
    <w:uiPriority w:val="0"/>
    <w:rPr>
      <w:kern w:val="2"/>
      <w:sz w:val="24"/>
      <w:szCs w:val="21"/>
      <w14:ligatures w14:val="standardContextual"/>
    </w:rPr>
  </w:style>
  <w:style w:type="character" w:customStyle="1" w:styleId="61">
    <w:name w:val="Unresolved Mention"/>
    <w:basedOn w:val="22"/>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2.wmf"/><Relationship Id="rId8" Type="http://schemas.openxmlformats.org/officeDocument/2006/relationships/oleObject" Target="embeddings/oleObject2.bin"/><Relationship Id="rId7" Type="http://schemas.openxmlformats.org/officeDocument/2006/relationships/image" Target="media/image1.wmf"/><Relationship Id="rId6" Type="http://schemas.openxmlformats.org/officeDocument/2006/relationships/oleObject" Target="embeddings/oleObject1.bin"/><Relationship Id="rId5" Type="http://schemas.openxmlformats.org/officeDocument/2006/relationships/theme" Target="theme/theme1.xml"/><Relationship Id="rId4" Type="http://schemas.openxmlformats.org/officeDocument/2006/relationships/endnotes" Target="endnotes.xml"/><Relationship Id="rId38" Type="http://schemas.openxmlformats.org/officeDocument/2006/relationships/fontTable" Target="fontTable.xml"/><Relationship Id="rId37" Type="http://schemas.openxmlformats.org/officeDocument/2006/relationships/numbering" Target="numbering.xml"/><Relationship Id="rId36" Type="http://schemas.openxmlformats.org/officeDocument/2006/relationships/image" Target="media/image16.wmf"/><Relationship Id="rId35" Type="http://schemas.openxmlformats.org/officeDocument/2006/relationships/oleObject" Target="embeddings/oleObject15.bin"/><Relationship Id="rId34" Type="http://schemas.openxmlformats.org/officeDocument/2006/relationships/oleObject" Target="embeddings/oleObject14.bin"/><Relationship Id="rId33" Type="http://schemas.openxmlformats.org/officeDocument/2006/relationships/image" Target="media/image15.wmf"/><Relationship Id="rId32" Type="http://schemas.openxmlformats.org/officeDocument/2006/relationships/oleObject" Target="embeddings/oleObject13.bin"/><Relationship Id="rId31" Type="http://schemas.openxmlformats.org/officeDocument/2006/relationships/image" Target="media/image14.wmf"/><Relationship Id="rId30" Type="http://schemas.openxmlformats.org/officeDocument/2006/relationships/oleObject" Target="embeddings/oleObject12.bin"/><Relationship Id="rId3" Type="http://schemas.openxmlformats.org/officeDocument/2006/relationships/footnotes" Target="footnotes.xml"/><Relationship Id="rId29" Type="http://schemas.openxmlformats.org/officeDocument/2006/relationships/image" Target="media/image13.wmf"/><Relationship Id="rId28" Type="http://schemas.openxmlformats.org/officeDocument/2006/relationships/oleObject" Target="embeddings/oleObject11.bin"/><Relationship Id="rId27" Type="http://schemas.openxmlformats.org/officeDocument/2006/relationships/image" Target="media/image12.wmf"/><Relationship Id="rId26" Type="http://schemas.openxmlformats.org/officeDocument/2006/relationships/oleObject" Target="embeddings/oleObject10.bin"/><Relationship Id="rId25" Type="http://schemas.openxmlformats.org/officeDocument/2006/relationships/image" Target="media/image11.wmf"/><Relationship Id="rId24" Type="http://schemas.openxmlformats.org/officeDocument/2006/relationships/oleObject" Target="embeddings/oleObject9.bin"/><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wmf"/><Relationship Id="rId20" Type="http://schemas.openxmlformats.org/officeDocument/2006/relationships/oleObject" Target="embeddings/oleObject8.bin"/><Relationship Id="rId2" Type="http://schemas.openxmlformats.org/officeDocument/2006/relationships/settings" Target="settings.xml"/><Relationship Id="rId19" Type="http://schemas.openxmlformats.org/officeDocument/2006/relationships/image" Target="media/image7.wmf"/><Relationship Id="rId18" Type="http://schemas.openxmlformats.org/officeDocument/2006/relationships/oleObject" Target="embeddings/oleObject7.bin"/><Relationship Id="rId17" Type="http://schemas.openxmlformats.org/officeDocument/2006/relationships/image" Target="media/image6.wmf"/><Relationship Id="rId16" Type="http://schemas.openxmlformats.org/officeDocument/2006/relationships/oleObject" Target="embeddings/oleObject6.bin"/><Relationship Id="rId15" Type="http://schemas.openxmlformats.org/officeDocument/2006/relationships/image" Target="media/image5.wmf"/><Relationship Id="rId14" Type="http://schemas.openxmlformats.org/officeDocument/2006/relationships/oleObject" Target="embeddings/oleObject5.bin"/><Relationship Id="rId13" Type="http://schemas.openxmlformats.org/officeDocument/2006/relationships/image" Target="media/image4.wmf"/><Relationship Id="rId12" Type="http://schemas.openxmlformats.org/officeDocument/2006/relationships/oleObject" Target="embeddings/oleObject4.bin"/><Relationship Id="rId11" Type="http://schemas.openxmlformats.org/officeDocument/2006/relationships/image" Target="media/image3.wmf"/><Relationship Id="rId10" Type="http://schemas.openxmlformats.org/officeDocument/2006/relationships/oleObject" Target="embeddings/oleObject3.bin"/><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4065</Words>
  <Characters>5078</Characters>
  <Lines>287</Lines>
  <Paragraphs>283</Paragraphs>
  <TotalTime>2</TotalTime>
  <ScaleCrop>false</ScaleCrop>
  <LinksUpToDate>false</LinksUpToDate>
  <CharactersWithSpaces>5398</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2025-11-26T09:07:00Z</dcterms:created>
  <dc:creator>lty_uibe</dc:creator>
  <cp:lastModifiedBy>lty_uibe</cp:lastModifiedBy>
  <dcterms:modified xsi:type="dcterms:W3CDTF">2025-11-27T15:15:31Z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3E17CB99F39F45008C92930E2B609240_13</vt:lpwstr>
  </property>
  <property fmtid="{D5CDD505-2E9C-101B-9397-08002B2CF9AE}" pid="4" name="KSOTemplateDocerSaveRecord">
    <vt:lpwstr>eyJoZGlkIjoiNmMyM2NjNThhODdhMTkwMTg0ZDJjMWM3OTk2NTZjNWEiLCJ1c2VySWQiOiI5OTYwNDAxNTgifQ==</vt:lpwstr>
  </property>
  <property fmtid="{D5CDD505-2E9C-101B-9397-08002B2CF9AE}" pid="5" name="AMWinEqns">
    <vt:bool>true</vt:bool>
  </property>
</Properties>
</file>