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360"/>
      </w:pPr>
    </w:p>
    <w:p>
      <w:pPr>
        <w:widowControl/>
        <w:spacing w:after="80"/>
      </w:pPr>
      <w:r>
        <w:rPr>
          <w:rFonts w:ascii="Calibri" w:hAnsi="Calibri" w:eastAsia="Calibri"/>
          <w:b/>
          <w:color w:val="2E74B5"/>
          <w:sz w:val="20"/>
        </w:rPr>
        <w:t>GAMMA-READY PPT CONTENT OUTLINE</w:t>
      </w:r>
    </w:p>
    <w:p>
      <w:pPr>
        <w:pStyle w:val="Title"/>
        <w:widowControl/>
      </w:pPr>
      <w:r>
        <w:t>CPU Time Crossover</w:t>
      </w:r>
    </w:p>
    <w:p>
      <w:pPr>
        <w:pStyle w:val="Subtitle"/>
        <w:widowControl/>
      </w:pPr>
      <w:r>
        <w:t>Adaptive Bundle Algorithm vs. Uniform Baseline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Gamma instruction  </w:t>
      </w:r>
      <w:r>
        <w:rPr>
          <w:rFonts w:ascii="Calibri" w:hAnsi="Calibri" w:eastAsia="Calibri"/>
          <w:color w:val="0B2545"/>
          <w:sz w:val="21"/>
        </w:rPr>
        <w:t>Treat the four numbered headings that follow as the complete slide sequence. Render every block enclosed by $$ ... $$ as LaTeX. Do not invent crossover results; the three runs are still in progress.</w:t>
      </w:r>
    </w:p>
    <w:p>
      <w:pPr>
        <w:pStyle w:val="GammaSource"/>
        <w:widowControl/>
      </w:pPr>
      <w:r>
        <w:rPr>
          <w:rFonts w:ascii="Calibri" w:hAnsi="Calibri" w:eastAsia="Calibri"/>
          <w:color w:val="5B6573"/>
          <w:sz w:val="18"/>
        </w:rPr>
        <w:t>Source document: /Users/shirch/vscode101/.venv/First-order-method-smooth-MOO/Adaptive Bundle Algorithm/CPU_Time_Crossover_PPT_Outline.docx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Slide 01  |  Motivation: From Gradient Efficiency to Runtime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Core message  </w:t>
      </w:r>
      <w:r>
        <w:rPr>
          <w:rFonts w:ascii="Calibri" w:hAnsi="Calibri" w:eastAsia="Calibri"/>
          <w:color w:val="0B2545"/>
          <w:sz w:val="21"/>
        </w:rPr>
        <w:t>The plateau experiments indicate that Adaptive uses gradient evaluations more effectively, but its runtime is still higher in the current small-network setting.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Adaptive typically requires fewer gradient evaluations than the Baseline.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Adaptive also introduces repeated lambda subproblems, IPOPT solves, and bundle-management overhead.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Therefore, better gradient efficiency does not automatically imply shorter total runtime.</w:t>
      </w:r>
    </w:p>
    <w:p>
      <w:pPr>
        <w:pStyle w:val="Heading2"/>
        <w:widowControl/>
      </w:pPr>
      <w:r>
        <w:t>Runtime decomposition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N_B and N_A: Baseline and Adaptive gradient-evaluation counts.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C_g: cost of one gradient evaluation.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O_B and O_I: non-gradient overhead for Baseline and Adaptive + IPOPT.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T_B = N_B C_g + O_B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T_A = N_A C_g + O_I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N_A &lt; N_B, \qquad O_I &gt; O_B $$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Research question  </w:t>
      </w:r>
      <w:r>
        <w:rPr>
          <w:rFonts w:ascii="Calibri" w:hAnsi="Calibri" w:eastAsia="Calibri"/>
          <w:color w:val="0B2545"/>
          <w:sz w:val="21"/>
        </w:rPr>
        <w:t>As one gradient evaluation becomes more expensive, when does the time saved by reducing gradient evaluations exceed the additional IPOPT overhead?</w:t>
      </w:r>
    </w:p>
    <w:p>
      <w:pPr>
        <w:pStyle w:val="Heading1"/>
        <w:keepNext/>
        <w:widowControl/>
      </w:pPr>
      <w:r>
        <w:t>Slide 02  |  Why the Previous Setting Can Hide the Crossover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Previous architecture: one hidden layer with width h = 2.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The parameter count and forward/backward cost are very small, so C_g is small.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IPOPT, lambda maximization, and bundle management dominate the runtime difference.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(N_B-N_A)C_g &lt; O_I-O_B \quad \Longrightarrow \quad T_A&gt;T_B $$</w:t>
      </w:r>
    </w:p>
    <w:p>
      <w:pPr>
        <w:pStyle w:val="Heading2"/>
        <w:widowControl/>
      </w:pPr>
      <w:r>
        <w:t>Crossover condition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(N_B-N_A)C_g &gt; O_I-O_B \quad \Longrightarrow \quad T_A&lt;T_B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C_g^* = \frac{O_I-O_B}{N_B-N_A}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C_g&gt;C_g^* \quad \Longrightarrow \quad T_A&lt;T_B $$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Takeaway  </w:t>
      </w:r>
      <w:r>
        <w:rPr>
          <w:rFonts w:ascii="Calibri" w:hAnsi="Calibri" w:eastAsia="Calibri"/>
          <w:color w:val="0B2545"/>
          <w:sz w:val="21"/>
        </w:rPr>
        <w:t>The current runtime result does not rule out an Adaptive advantage; it shows that the crossover has not yet appeared in the small-network regime.</w:t>
      </w:r>
    </w:p>
    <w:p>
      <w:pPr>
        <w:pStyle w:val="Heading1"/>
        <w:keepNext/>
        <w:widowControl/>
      </w:pPr>
      <w:r>
        <w:t>Slide 03  |  Research Hypothesis and Controlled Width Sweep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Hold K, p, n, seeds, optimization budgets, and stopping rules fixed.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Change only the two-hidden-layer widths: 64 x 64, 80 x 80, and 96 x 96.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Increasing width raises the parameter dimension d and the forward/backward cost, increasing C_g.</w:t>
      </w:r>
    </w:p>
    <w:p>
      <w:pPr>
        <w:pStyle w:val="GammaBullet"/>
        <w:widowControl/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Expected trend: the Baseline/Adaptive runtime ratio increases and eventually crosses 1.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R_T = \frac{T_B}{T_A}, \qquad R_T=1 \text{ at the crossover}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R_T&gt;1 \quad \Longrightarrow \quad \text{Adaptive is faster} $$</w:t>
      </w:r>
    </w:p>
    <w:p>
      <w:pPr>
        <w:spacing w:before="120" w:after="160"/>
        <w:ind w:left="173" w:right="173"/>
        <w:shd w:fill="FFF8E8" w:val="clear"/>
        <w:widowControl/>
        <w:pBdr>
          <w:left w:val="single" w:sz="20" w:space="8" w:color="9A6B00"/>
        </w:pBdr>
      </w:pPr>
      <w:r>
        <w:rPr>
          <w:rFonts w:ascii="Calibri" w:hAnsi="Calibri" w:eastAsia="Calibri"/>
          <w:b/>
          <w:color w:val="6B4E16"/>
          <w:sz w:val="21"/>
        </w:rPr>
        <w:t xml:space="preserve">Empirical caveat  </w:t>
      </w:r>
      <w:r>
        <w:rPr>
          <w:rFonts w:ascii="Calibri" w:hAnsi="Calibri" w:eastAsia="Calibri"/>
          <w:color w:val="6B4E16"/>
          <w:sz w:val="21"/>
        </w:rPr>
        <w:t>N_A, N_B, and O_I may also change with network size, so the crossover must be measured rather than inferred from parameter count alone.</w:t>
      </w:r>
    </w:p>
    <w:p>
      <w:pPr>
        <w:pStyle w:val="Heading1"/>
        <w:keepNext/>
        <w:pageBreakBefore/>
        <w:widowControl/>
      </w:pPr>
      <w:r>
        <w:t>Slide 04  |  Current Experiments in Progress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Controlled design  </w:t>
      </w:r>
      <w:r>
        <w:rPr>
          <w:rFonts w:ascii="Calibri" w:hAnsi="Calibri" w:eastAsia="Calibri"/>
          <w:color w:val="0B2545"/>
          <w:sz w:val="21"/>
        </w:rPr>
        <w:t>All three fast-mode runs use identical settings except for hidden_sizes. No crossover results are included yet because the runs are still in progress.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1260"/>
        <w:gridCol w:w="1380"/>
        <w:gridCol w:w="1280"/>
        <w:gridCol w:w="1600"/>
        <w:gridCol w:w="1120"/>
        <w:gridCol w:w="2720"/>
      </w:tblGrid>
      <w:tr>
        <w:trPr>
          <w:tblHeader w:val="true"/>
        </w:trPr>
        <w:tc>
          <w:tcPr>
            <w:tcW w:type="dxa" w:w="126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Case</w:t>
            </w:r>
          </w:p>
        </w:tc>
        <w:tc>
          <w:tcPr>
            <w:tcW w:type="dxa" w:w="138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Hidden sizes</w:t>
            </w:r>
          </w:p>
        </w:tc>
        <w:tc>
          <w:tcPr>
            <w:tcW w:type="dxa" w:w="128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Parameters d</w:t>
            </w:r>
          </w:p>
        </w:tc>
        <w:tc>
          <w:tcPr>
            <w:tcW w:type="dxa" w:w="160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K / p / n</w:t>
            </w:r>
          </w:p>
        </w:tc>
        <w:tc>
          <w:tcPr>
            <w:tcW w:type="dxa" w:w="112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Seeds</w:t>
            </w:r>
          </w:p>
        </w:tc>
        <w:tc>
          <w:tcPr>
            <w:tcW w:type="dxa" w:w="272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Status / expected runtime</w:t>
            </w:r>
          </w:p>
        </w:tc>
      </w:tr>
      <w:tr>
        <w:trPr/>
        <w:tc>
          <w:tcPr>
            <w:tcW w:type="dxa" w:w="1260"/>
            <w:vAlign w:val="center"/>
            <w:shd w:fill="E8EEF5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11111"/>
                <w:sz w:val="17"/>
              </w:rPr>
              <w:t>h64x64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[64, 64]</w:t>
            </w:r>
          </w:p>
        </w:tc>
        <w:tc>
          <w:tcPr>
            <w:tcW w:type="dxa" w:w="12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5,634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 / 20 / 50,000</w:t>
            </w:r>
          </w:p>
        </w:tc>
        <w:tc>
          <w:tcPr>
            <w:tcW w:type="dxa" w:w="1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10 / 11</w:t>
            </w:r>
          </w:p>
        </w:tc>
        <w:tc>
          <w:tcPr>
            <w:tcW w:type="dxa" w:w="27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2F6B4F"/>
                <w:sz w:val="17"/>
              </w:rPr>
              <w:t>Running</w:t>
              <w:br/>
              <w:t>20-60 min</w:t>
            </w:r>
          </w:p>
        </w:tc>
      </w:tr>
      <w:tr>
        <w:trPr/>
        <w:tc>
          <w:tcPr>
            <w:tcW w:type="dxa" w:w="1260"/>
            <w:vAlign w:val="center"/>
            <w:shd w:fill="E8EEF5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11111"/>
                <w:sz w:val="17"/>
              </w:rPr>
              <w:t>h80x80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[80, 80]</w:t>
            </w:r>
          </w:p>
        </w:tc>
        <w:tc>
          <w:tcPr>
            <w:tcW w:type="dxa" w:w="12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8,322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 / 20 / 50,000</w:t>
            </w:r>
          </w:p>
        </w:tc>
        <w:tc>
          <w:tcPr>
            <w:tcW w:type="dxa" w:w="1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10 / 11</w:t>
            </w:r>
          </w:p>
        </w:tc>
        <w:tc>
          <w:tcPr>
            <w:tcW w:type="dxa" w:w="27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2F6B4F"/>
                <w:sz w:val="17"/>
              </w:rPr>
              <w:t>Running</w:t>
              <w:br/>
              <w:t>30-90 min</w:t>
            </w:r>
          </w:p>
        </w:tc>
      </w:tr>
      <w:tr>
        <w:trPr/>
        <w:tc>
          <w:tcPr>
            <w:tcW w:type="dxa" w:w="1260"/>
            <w:vAlign w:val="center"/>
            <w:shd w:fill="E8EEF5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11111"/>
                <w:sz w:val="17"/>
              </w:rPr>
              <w:t>h96x96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[96, 96]</w:t>
            </w:r>
          </w:p>
        </w:tc>
        <w:tc>
          <w:tcPr>
            <w:tcW w:type="dxa" w:w="12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11,522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 / 20 / 50,000</w:t>
            </w:r>
          </w:p>
        </w:tc>
        <w:tc>
          <w:tcPr>
            <w:tcW w:type="dxa" w:w="1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10 / 11</w:t>
            </w:r>
          </w:p>
        </w:tc>
        <w:tc>
          <w:tcPr>
            <w:tcW w:type="dxa" w:w="27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2F6B4F"/>
                <w:sz w:val="17"/>
              </w:rPr>
              <w:t>Running</w:t>
              <w:br/>
              <w:t>45-120 min</w:t>
            </w:r>
          </w:p>
        </w:tc>
      </w:tr>
    </w:tbl>
    <w:p>
      <w:pPr>
        <w:pStyle w:val="GammaSource"/>
        <w:widowControl/>
        <w:spacing w:before="80" w:after="140"/>
      </w:pPr>
      <w:r>
        <w:rPr>
          <w:rFonts w:ascii="Calibri" w:hAnsi="Calibri" w:eastAsia="Calibri"/>
          <w:i/>
          <w:color w:val="5B6573"/>
          <w:sz w:val="18"/>
        </w:rPr>
        <w:t>Seeds are data seed / initialization seed. Expected runtimes are taken from the fast-mode notebook configurations.</w:t>
      </w:r>
    </w:p>
    <w:p>
      <w:pPr>
        <w:pStyle w:val="Heading2"/>
        <w:widowControl/>
      </w:pPr>
      <w:r>
        <w:t>Shared protocol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PyTorch MLP; K = 2, p = 20, n = 50,000; data seed = 10; initialization seed = 11.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Baseline budget = 1,100 gradient evaluations; Adaptive safety budget = 4,400.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Baseline defines the final GN* target; Adaptive stops as soon as it reaches the same target.</w:t>
      </w:r>
    </w:p>
    <w:p>
      <w:pPr>
        <w:pStyle w:val="GammaBullet"/>
        <w:widowControl/>
        <w:numPr>
          <w:ilvl w:val="0"/>
          <w:numId w:val="10"/>
        </w:numPr>
        <w:spacing w:after="80" w:line="264" w:lineRule="auto"/>
      </w:pPr>
      <w:r>
        <w:rPr>
          <w:rFonts w:ascii="Calibri" w:hAnsi="Calibri" w:eastAsia="Calibri"/>
          <w:sz w:val="22"/>
        </w:rPr>
        <w:t>The lambda subproblem uses IPOPT with lambda_max_starts = 3.</w:t>
      </w:r>
    </w:p>
    <w:p>
      <w:pPr>
        <w:spacing w:before="120" w:after="160"/>
        <w:ind w:left="173" w:right="173"/>
        <w:shd w:fill="FFF8E8" w:val="clear"/>
        <w:widowControl/>
        <w:pBdr>
          <w:left w:val="single" w:sz="20" w:space="8" w:color="9A6B00"/>
        </w:pBdr>
      </w:pPr>
      <w:r>
        <w:rPr>
          <w:rFonts w:ascii="Calibri" w:hAnsi="Calibri" w:eastAsia="Calibri"/>
          <w:b/>
          <w:color w:val="6B4E16"/>
          <w:sz w:val="21"/>
        </w:rPr>
        <w:t xml:space="preserve">Measurement note  </w:t>
      </w:r>
      <w:r>
        <w:rPr>
          <w:rFonts w:ascii="Calibri" w:hAnsi="Calibri" w:eastAsia="Calibri"/>
          <w:color w:val="6B4E16"/>
          <w:sz w:val="21"/>
        </w:rPr>
        <w:t>The current cpu_times field is recorded with time.time(), so it is elapsed wall-clock runtime after checkpoint overhead is removed, not strict process CPU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Page </w:t>
    </w:r>
    <w:r>
      <w:rPr>
        <w:rFonts w:ascii="Calibri" w:hAnsi="Calibri" w:eastAsia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5B6573"/>
        <w:sz w:val="17"/>
      </w:rPr>
      <w:t>CPU TIME CROSSOVER  |  GAMMA-READY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  <w:lvl w:ilvl="1">
      <w:start w:val="1"/>
      <w:numFmt w:val="bullet"/>
      <w:lvlText w:val="–"/>
      <w:suff w:val="tab"/>
      <w:pPr>
        <w:tabs>
          <w:tab w:val="num" w:pos="1080"/>
        </w:tabs>
        <w:ind w:left="1080" w:hanging="360"/>
        <w:spacing w:after="10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 Light" w:hAnsi="Calibri Light" w:eastAsia="Calibri Light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ammaBullet">
    <w:name w:val="Gamma Bullet"/>
    <w:pPr>
      <w:spacing w:before="0" w:after="160" w:line="280" w:lineRule="auto"/>
    </w:pPr>
    <w:rPr>
      <w:rFonts w:ascii="Calibri" w:hAnsi="Calibri" w:eastAsia="Calibri"/>
      <w:b w:val="0"/>
      <w:color w:val="111111"/>
      <w:sz w:val="22"/>
    </w:rPr>
  </w:style>
  <w:style w:type="paragraph" w:customStyle="1" w:styleId="GammaFormula">
    <w:name w:val="Gamma Formula"/>
    <w:pPr>
      <w:keepLines/>
      <w:spacing w:before="100" w:after="140" w:line="240" w:lineRule="auto"/>
    </w:pPr>
    <w:rPr>
      <w:rFonts w:ascii="Cambria Math" w:hAnsi="Cambria Math" w:eastAsia="Cambria Math"/>
      <w:b w:val="0"/>
      <w:color w:val="0B2545"/>
      <w:sz w:val="23"/>
    </w:rPr>
  </w:style>
  <w:style w:type="paragraph" w:customStyle="1" w:styleId="GammaSource">
    <w:name w:val="Gamma Source"/>
    <w:pPr>
      <w:spacing w:before="0" w:after="120"/>
    </w:pPr>
    <w:rPr>
      <w:rFonts w:ascii="Calibri" w:hAnsi="Calibri" w:eastAsia="Calibri"/>
      <w:b w:val="0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 Time Crossover - Gamma-Ready PPT Outline</dc:title>
  <dc:subject>Adaptive Bundle Algorithm vs. Uniform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