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M4 ViT扩展实验代码检查与运行安排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2026/09/30 13：30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46教A110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AAC7">
            <w:pPr>
              <w:pStyle w:val="30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陈纪仰、</w:t>
            </w:r>
            <w:r>
              <w:rPr>
                <w:rFonts w:hint="eastAsia" w:ascii="宋体" w:hAnsi="宋体" w:eastAsia="宋体" w:cs="宋体"/>
              </w:rPr>
              <w:t>朱炳政、杜孟泽、邹研泽、张泰瑜</w:t>
            </w: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0B80A23E">
            <w:pPr>
              <w:pStyle w:val="30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本次会议主要讨论M4 ViT扩展实验的代码实现进展、具体实验方案和后续运行安排。此前小组已经对ViT可解释性以及SLIC与Patch的比较方向进行了初步调研，本次会议重点确认相关方案是否已经落实到代码，并安排正式实验开始前的检查工作。</w:t>
            </w:r>
          </w:p>
          <w:p w14:paraId="3F264E40">
            <w:pPr>
              <w:pStyle w:val="30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根据同学汇报，ViT-B/16模型支持、16×16 Patch划分、区域化RISE、按累计像素比例计算Insertion/Deletion，以及M3结果复用、实验续跑和结果汇总等功能已经完成，相关代码已推送到GitHub，具体实施方案也整理在Markdown文档中。围绕实验落地，邹研泽提出应先把跨架构实验和SLIC-Patch分区实验的输出目录、检查标准区分开，便于后续核对结果。张泰瑜认为，当前可以先把代码实现范围和实验步骤记录清楚，等实际运行后再根据结果判断是否需要继续扩展。陈纪仰强调，比较过程中要统一样本、预处理和评价指标，避免把模型差异与区域划分差异混在一起。杜孟泽结合相关工作指出，已有研究虽然涉及类似的Patch与超像素比较，但实验条件并不完全相同，因此仍可以作为本项目的实践性扩展。朱炳政则提醒，正式运行前需要先检查ViT权重、数据文件和环境配置，并通过小规模测试确认代码能够正常执行。</w:t>
            </w:r>
          </w:p>
          <w:p w14:paraId="4B3DEECC">
            <w:pPr>
              <w:pStyle w:val="30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会议决定先使用独立输出目录完成单样本GPU冒烟测试，确认模型、显存、运行时间和输出字段正常后，再运行跨架构实验和SLIC-Patch分区实验。目前M4还没有产生正式数值结果，医学影像方向暂不纳入本轮实验。</w:t>
            </w:r>
          </w:p>
          <w:p w14:paraId="210F8785">
            <w:pPr>
              <w:pStyle w:val="30"/>
              <w:keepNext w:val="0"/>
              <w:keepLines w:val="0"/>
              <w:widowControl/>
              <w:suppressLineNumbers w:val="0"/>
              <w:ind w:firstLine="48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目前的遗留问题是正式运行所需的数据和环境还需要逐项确认，实验完成后的工作量是否充足也要根据实际结果判断。下一次会议将查看冒烟测试情况，确定两组正式实验的运行顺序；如果本轮实验完成后内容仍然不足，再讨论是否增加其他扩展内容。</w:t>
            </w:r>
          </w:p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55845" cy="2649220"/>
                  <wp:effectExtent l="0" t="0" r="8255" b="5080"/>
                  <wp:docPr id="1" name="图片 1" descr="b793ddf6c6d279ededf750aab82b7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b793ddf6c6d279ededf750aab82b78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5845" cy="264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B2F1FE3"/>
    <w:rsid w:val="30D36858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</Words>
  <Characters>84</Characters>
  <Lines>0</Lines>
  <Paragraphs>0</Paragraphs>
  <TotalTime>16</TotalTime>
  <ScaleCrop>false</ScaleCrop>
  <LinksUpToDate>false</LinksUpToDate>
  <CharactersWithSpaces>88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课程组</dc:creator>
  <dc:description>generated by python-docx</dc:description>
  <cp:lastModifiedBy>张泰瑜</cp:lastModifiedBy>
  <dcterms:modified xsi:type="dcterms:W3CDTF">2026-09-30T07:44:18Z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2052-12.1.0.29161</vt:lpwstr>
  </property>
  <property fmtid="{D5CDD505-2E9C-101B-9397-08002B2CF9AE}" pid="4" name="ICV">
    <vt:lpwstr>C18F17E0E29F4665B6C428067B5AEECC_13</vt:lpwstr>
  </property>
</Properties>
</file>