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AE7B1">
      <w:pPr>
        <w:spacing w:after="160"/>
        <w:jc w:val="center"/>
        <w:rPr>
          <w:rFonts w:hint="eastAsia" w:ascii="宋体" w:hAnsi="宋体" w:eastAsia="宋体" w:cs="宋体"/>
        </w:rPr>
      </w:pPr>
      <w:r>
        <w:rPr>
          <w:rFonts w:ascii="Noto Sans CJK SC" w:hAnsi="Noto Sans CJK SC" w:eastAsia="Noto Sans CJK SC"/>
          <w:b/>
          <w:sz w:val="32"/>
        </w:rPr>
        <w:t>机</w:t>
      </w:r>
      <w:r>
        <w:rPr>
          <w:rFonts w:hint="eastAsia" w:ascii="宋体" w:hAnsi="宋体" w:eastAsia="宋体" w:cs="宋体"/>
          <w:b/>
          <w:sz w:val="32"/>
        </w:rPr>
        <w:t>器学习综合实践小组会议纪要表</w:t>
      </w:r>
    </w:p>
    <w:tbl>
      <w:tblPr>
        <w:tblStyle w:val="33"/>
        <w:tblW w:w="0" w:type="auto"/>
        <w:jc w:val="center"/>
        <w:tblLayout w:type="fixed"/>
        <w:tblCellMar>
          <w:top w:w="0" w:type="dxa"/>
          <w:left w:w="108" w:type="dxa"/>
          <w:bottom w:w="0" w:type="dxa"/>
          <w:right w:w="108" w:type="dxa"/>
        </w:tblCellMar>
      </w:tblPr>
      <w:tblGrid>
        <w:gridCol w:w="2622"/>
        <w:gridCol w:w="2622"/>
        <w:gridCol w:w="2622"/>
        <w:gridCol w:w="2622"/>
      </w:tblGrid>
      <w:tr w14:paraId="62336FC3">
        <w:tblPrEx>
          <w:tblCellMar>
            <w:top w:w="0" w:type="dxa"/>
            <w:left w:w="108" w:type="dxa"/>
            <w:bottom w:w="0" w:type="dxa"/>
            <w:right w:w="108" w:type="dxa"/>
          </w:tblCellMar>
        </w:tblPrEx>
        <w:trPr>
          <w:cantSplit/>
          <w:trHeight w:val="508" w:hRule="atLeast"/>
          <w:jc w:val="center"/>
        </w:trPr>
        <w:tc>
          <w:tcPr>
            <w:tcW w:w="2622" w:type="dxa"/>
            <w:tcBorders>
              <w:top w:val="single" w:color="808080" w:sz="8" w:space="0"/>
              <w:left w:val="single" w:color="808080" w:sz="8" w:space="0"/>
              <w:bottom w:val="single" w:color="808080" w:sz="8" w:space="0"/>
              <w:right w:val="single" w:color="808080" w:sz="8" w:space="0"/>
              <w:insideH w:val="single" w:sz="8" w:space="0"/>
              <w:insideV w:val="single" w:sz="8" w:space="0"/>
            </w:tcBorders>
            <w:shd w:val="clear" w:color="auto" w:fill="auto"/>
            <w:tcMar>
              <w:top w:w="90" w:type="dxa"/>
              <w:left w:w="100" w:type="dxa"/>
              <w:bottom w:w="90" w:type="dxa"/>
              <w:right w:w="100" w:type="dxa"/>
            </w:tcMar>
            <w:vAlign w:val="center"/>
          </w:tcPr>
          <w:p w14:paraId="38EAD3C9">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rPr>
            </w:pPr>
            <w:r>
              <w:rPr>
                <w:rFonts w:hint="eastAsia" w:ascii="宋体" w:hAnsi="宋体" w:eastAsia="宋体" w:cs="宋体"/>
                <w:b/>
                <w:sz w:val="21"/>
              </w:rPr>
              <w:t>会议主题</w:t>
            </w:r>
          </w:p>
        </w:tc>
        <w:tc>
          <w:tcPr>
            <w:tcW w:w="7866" w:type="dxa"/>
            <w:gridSpan w:val="3"/>
            <w:tcBorders>
              <w:top w:val="single" w:color="808080" w:sz="8" w:space="0"/>
              <w:left w:val="single" w:color="808080" w:sz="8" w:space="0"/>
              <w:bottom w:val="single" w:color="808080" w:sz="8" w:space="0"/>
              <w:right w:val="single" w:color="808080" w:sz="8" w:space="0"/>
              <w:insideH w:val="single" w:sz="8" w:space="0"/>
              <w:insideV w:val="single" w:sz="8" w:space="0"/>
            </w:tcBorders>
            <w:tcMar>
              <w:top w:w="90" w:type="dxa"/>
              <w:left w:w="100" w:type="dxa"/>
              <w:bottom w:w="90" w:type="dxa"/>
              <w:right w:w="100" w:type="dxa"/>
            </w:tcMar>
            <w:vAlign w:val="center"/>
          </w:tcPr>
          <w:p w14:paraId="451988C0">
            <w:pPr>
              <w:pStyle w:val="30"/>
              <w:keepNext w:val="0"/>
              <w:keepLines w:val="0"/>
              <w:widowControl/>
              <w:suppressLineNumbers w:val="0"/>
              <w:rPr>
                <w:rFonts w:hint="eastAsia" w:ascii="宋体" w:hAnsi="宋体" w:eastAsia="宋体" w:cs="宋体"/>
              </w:rPr>
            </w:pPr>
            <w:r>
              <w:rPr>
                <w:rFonts w:hint="eastAsia" w:ascii="宋体" w:hAnsi="宋体" w:eastAsia="宋体" w:cs="宋体"/>
              </w:rPr>
              <w:t>不同小组归因实验结果对比及评价口径讨论</w:t>
            </w:r>
          </w:p>
        </w:tc>
      </w:tr>
      <w:tr w14:paraId="15812E53">
        <w:tblPrEx>
          <w:tblCellMar>
            <w:top w:w="0" w:type="dxa"/>
            <w:left w:w="108" w:type="dxa"/>
            <w:bottom w:w="0" w:type="dxa"/>
            <w:right w:w="108" w:type="dxa"/>
          </w:tblCellMar>
        </w:tblPrEx>
        <w:trPr>
          <w:cantSplit/>
          <w:trHeight w:val="562" w:hRule="atLeast"/>
          <w:jc w:val="center"/>
        </w:trPr>
        <w:tc>
          <w:tcPr>
            <w:tcW w:w="2622" w:type="dxa"/>
            <w:tcBorders>
              <w:top w:val="single" w:color="808080" w:sz="8" w:space="0"/>
              <w:left w:val="single" w:color="808080" w:sz="8" w:space="0"/>
              <w:bottom w:val="single" w:color="808080" w:sz="8" w:space="0"/>
              <w:right w:val="single" w:color="808080" w:sz="8" w:space="0"/>
              <w:insideH w:val="single" w:sz="8" w:space="0"/>
              <w:insideV w:val="single" w:sz="8" w:space="0"/>
            </w:tcBorders>
            <w:shd w:val="clear" w:color="auto" w:fill="auto"/>
            <w:tcMar>
              <w:top w:w="90" w:type="dxa"/>
              <w:left w:w="100" w:type="dxa"/>
              <w:bottom w:w="90" w:type="dxa"/>
              <w:right w:w="100" w:type="dxa"/>
            </w:tcMar>
            <w:vAlign w:val="center"/>
          </w:tcPr>
          <w:p w14:paraId="60CE8BED">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rPr>
            </w:pPr>
            <w:r>
              <w:rPr>
                <w:rFonts w:hint="eastAsia" w:ascii="宋体" w:hAnsi="宋体" w:eastAsia="宋体" w:cs="宋体"/>
                <w:b/>
                <w:sz w:val="21"/>
              </w:rPr>
              <w:t>会议时间</w:t>
            </w:r>
          </w:p>
        </w:tc>
        <w:tc>
          <w:tcPr>
            <w:tcW w:w="2622" w:type="dxa"/>
            <w:tcBorders>
              <w:top w:val="single" w:color="808080" w:sz="8" w:space="0"/>
              <w:left w:val="single" w:color="808080" w:sz="8" w:space="0"/>
              <w:bottom w:val="single" w:color="808080" w:sz="8" w:space="0"/>
              <w:right w:val="single" w:color="808080" w:sz="8" w:space="0"/>
              <w:insideH w:val="single" w:sz="8" w:space="0"/>
              <w:insideV w:val="single" w:sz="8" w:space="0"/>
            </w:tcBorders>
            <w:tcMar>
              <w:top w:w="90" w:type="dxa"/>
              <w:left w:w="100" w:type="dxa"/>
              <w:bottom w:w="90" w:type="dxa"/>
              <w:right w:w="100" w:type="dxa"/>
            </w:tcMar>
            <w:vAlign w:val="center"/>
          </w:tcPr>
          <w:p w14:paraId="67DBC4F6">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left"/>
              <w:textAlignment w:val="auto"/>
              <w:rPr>
                <w:rFonts w:hint="default" w:ascii="宋体" w:hAnsi="宋体" w:eastAsia="宋体" w:cs="宋体"/>
                <w:lang w:val="en-US" w:eastAsia="zh-CN"/>
              </w:rPr>
            </w:pPr>
            <w:r>
              <w:rPr>
                <w:rFonts w:hint="eastAsia" w:ascii="宋体" w:hAnsi="宋体" w:eastAsia="宋体" w:cs="宋体"/>
                <w:lang w:val="en-US" w:eastAsia="zh-CN"/>
              </w:rPr>
              <w:t>10月30日 13：30</w:t>
            </w:r>
          </w:p>
        </w:tc>
        <w:tc>
          <w:tcPr>
            <w:tcW w:w="2622" w:type="dxa"/>
            <w:tcBorders>
              <w:top w:val="single" w:color="808080" w:sz="8" w:space="0"/>
              <w:left w:val="single" w:color="808080" w:sz="8" w:space="0"/>
              <w:bottom w:val="single" w:color="808080" w:sz="8" w:space="0"/>
              <w:right w:val="single" w:color="808080" w:sz="8" w:space="0"/>
              <w:insideH w:val="single" w:sz="8" w:space="0"/>
              <w:insideV w:val="single" w:sz="8" w:space="0"/>
            </w:tcBorders>
            <w:shd w:val="clear" w:color="auto" w:fill="auto"/>
            <w:tcMar>
              <w:top w:w="90" w:type="dxa"/>
              <w:left w:w="100" w:type="dxa"/>
              <w:bottom w:w="90" w:type="dxa"/>
              <w:right w:w="100" w:type="dxa"/>
            </w:tcMar>
            <w:vAlign w:val="center"/>
          </w:tcPr>
          <w:p w14:paraId="03B9FFA8">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rPr>
            </w:pPr>
            <w:r>
              <w:rPr>
                <w:rFonts w:hint="eastAsia" w:ascii="宋体" w:hAnsi="宋体" w:eastAsia="宋体" w:cs="宋体"/>
                <w:b/>
                <w:sz w:val="21"/>
              </w:rPr>
              <w:t>会议地点</w:t>
            </w:r>
          </w:p>
        </w:tc>
        <w:tc>
          <w:tcPr>
            <w:tcW w:w="2622" w:type="dxa"/>
            <w:tcBorders>
              <w:top w:val="single" w:color="808080" w:sz="8" w:space="0"/>
              <w:left w:val="single" w:color="808080" w:sz="8" w:space="0"/>
              <w:bottom w:val="single" w:color="808080" w:sz="8" w:space="0"/>
              <w:right w:val="single" w:color="808080" w:sz="8" w:space="0"/>
              <w:insideH w:val="single" w:sz="8" w:space="0"/>
              <w:insideV w:val="single" w:sz="8" w:space="0"/>
            </w:tcBorders>
            <w:tcMar>
              <w:top w:w="90" w:type="dxa"/>
              <w:left w:w="100" w:type="dxa"/>
              <w:bottom w:w="90" w:type="dxa"/>
              <w:right w:w="100" w:type="dxa"/>
            </w:tcMar>
            <w:vAlign w:val="center"/>
          </w:tcPr>
          <w:p w14:paraId="6B153D6F">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left"/>
              <w:textAlignment w:val="auto"/>
              <w:rPr>
                <w:rFonts w:hint="default" w:ascii="宋体" w:hAnsi="宋体" w:eastAsia="宋体" w:cs="宋体"/>
                <w:lang w:val="en-US" w:eastAsia="zh-CN"/>
              </w:rPr>
            </w:pPr>
            <w:r>
              <w:rPr>
                <w:rFonts w:hint="eastAsia" w:ascii="宋体" w:hAnsi="宋体" w:eastAsia="宋体" w:cs="宋体"/>
                <w:lang w:val="en-US" w:eastAsia="zh-CN"/>
              </w:rPr>
              <w:t>郑东图书馆研究厢308</w:t>
            </w:r>
          </w:p>
        </w:tc>
      </w:tr>
      <w:tr w14:paraId="1FDDD938">
        <w:tblPrEx>
          <w:tblCellMar>
            <w:top w:w="0" w:type="dxa"/>
            <w:left w:w="108" w:type="dxa"/>
            <w:bottom w:w="0" w:type="dxa"/>
            <w:right w:w="108" w:type="dxa"/>
          </w:tblCellMar>
        </w:tblPrEx>
        <w:trPr>
          <w:cantSplit/>
          <w:trHeight w:val="822" w:hRule="atLeast"/>
          <w:jc w:val="center"/>
        </w:trPr>
        <w:tc>
          <w:tcPr>
            <w:tcW w:w="2622" w:type="dxa"/>
            <w:tcBorders>
              <w:top w:val="single" w:color="808080" w:sz="8" w:space="0"/>
              <w:left w:val="single" w:color="808080" w:sz="8" w:space="0"/>
              <w:bottom w:val="single" w:color="808080" w:sz="8" w:space="0"/>
              <w:right w:val="single" w:color="808080" w:sz="8" w:space="0"/>
              <w:insideH w:val="single" w:sz="8" w:space="0"/>
              <w:insideV w:val="single" w:sz="8" w:space="0"/>
            </w:tcBorders>
            <w:shd w:val="clear" w:color="auto" w:fill="auto"/>
            <w:tcMar>
              <w:top w:w="90" w:type="dxa"/>
              <w:left w:w="100" w:type="dxa"/>
              <w:bottom w:w="90" w:type="dxa"/>
              <w:right w:w="100" w:type="dxa"/>
            </w:tcMar>
            <w:vAlign w:val="center"/>
          </w:tcPr>
          <w:p w14:paraId="04C90929">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lang w:val="en-US" w:eastAsia="zh-CN"/>
              </w:rPr>
            </w:pPr>
            <w:r>
              <w:rPr>
                <w:rFonts w:hint="eastAsia" w:ascii="宋体" w:hAnsi="宋体" w:eastAsia="宋体" w:cs="宋体"/>
                <w:b/>
                <w:sz w:val="21"/>
              </w:rPr>
              <w:t>参会</w:t>
            </w:r>
            <w:r>
              <w:rPr>
                <w:rFonts w:hint="eastAsia" w:ascii="宋体" w:hAnsi="宋体" w:eastAsia="宋体" w:cs="宋体"/>
                <w:b/>
                <w:sz w:val="21"/>
                <w:lang w:val="en-US" w:eastAsia="zh-CN"/>
              </w:rPr>
              <w:t>小组</w:t>
            </w:r>
          </w:p>
        </w:tc>
        <w:tc>
          <w:tcPr>
            <w:tcW w:w="7866" w:type="dxa"/>
            <w:gridSpan w:val="3"/>
            <w:tcBorders>
              <w:top w:val="single" w:color="808080" w:sz="8" w:space="0"/>
              <w:left w:val="single" w:color="808080" w:sz="8" w:space="0"/>
              <w:bottom w:val="single" w:color="808080" w:sz="8" w:space="0"/>
              <w:right w:val="single" w:color="808080" w:sz="8" w:space="0"/>
              <w:insideH w:val="single" w:sz="8" w:space="0"/>
              <w:insideV w:val="single" w:sz="8" w:space="0"/>
            </w:tcBorders>
            <w:tcMar>
              <w:top w:w="90" w:type="dxa"/>
              <w:left w:w="100" w:type="dxa"/>
              <w:bottom w:w="90" w:type="dxa"/>
              <w:right w:w="100" w:type="dxa"/>
            </w:tcMar>
            <w:vAlign w:val="center"/>
          </w:tcPr>
          <w:p w14:paraId="1AAB8A0F">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left"/>
              <w:textAlignment w:val="auto"/>
              <w:rPr>
                <w:rFonts w:hint="default" w:ascii="宋体" w:hAnsi="宋体" w:eastAsia="宋体" w:cs="宋体"/>
                <w:lang w:val="en-US" w:eastAsia="zh-CN"/>
              </w:rPr>
            </w:pPr>
            <w:r>
              <w:rPr>
                <w:rFonts w:hint="eastAsia" w:ascii="宋体" w:hAnsi="宋体" w:eastAsia="宋体" w:cs="宋体"/>
                <w:lang w:val="en-US" w:eastAsia="zh-CN"/>
              </w:rPr>
              <w:t>G01</w:t>
            </w:r>
          </w:p>
        </w:tc>
      </w:tr>
      <w:tr w14:paraId="73C8A4DE">
        <w:tblPrEx>
          <w:tblCellMar>
            <w:top w:w="0" w:type="dxa"/>
            <w:left w:w="108" w:type="dxa"/>
            <w:bottom w:w="0" w:type="dxa"/>
            <w:right w:w="108" w:type="dxa"/>
          </w:tblCellMar>
        </w:tblPrEx>
        <w:trPr>
          <w:cantSplit/>
          <w:trHeight w:val="1777" w:hRule="atLeast"/>
          <w:jc w:val="center"/>
        </w:trPr>
        <w:tc>
          <w:tcPr>
            <w:tcW w:w="2622" w:type="dxa"/>
            <w:tcBorders>
              <w:top w:val="single" w:color="808080" w:sz="8" w:space="0"/>
              <w:left w:val="single" w:color="808080" w:sz="8" w:space="0"/>
              <w:bottom w:val="single" w:color="808080" w:sz="8" w:space="0"/>
              <w:right w:val="single" w:color="808080" w:sz="8" w:space="0"/>
              <w:insideH w:val="single" w:sz="8" w:space="0"/>
              <w:insideV w:val="single" w:sz="8" w:space="0"/>
            </w:tcBorders>
            <w:shd w:val="clear" w:color="auto" w:fill="auto"/>
            <w:tcMar>
              <w:top w:w="90" w:type="dxa"/>
              <w:left w:w="100" w:type="dxa"/>
              <w:bottom w:w="90" w:type="dxa"/>
              <w:right w:w="100" w:type="dxa"/>
            </w:tcMar>
            <w:vAlign w:val="center"/>
          </w:tcPr>
          <w:p w14:paraId="5A9D82FA">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lang w:val="en-US" w:eastAsia="zh-CN"/>
              </w:rPr>
            </w:pPr>
            <w:r>
              <w:rPr>
                <w:rFonts w:hint="eastAsia" w:ascii="宋体" w:hAnsi="宋体" w:eastAsia="宋体" w:cs="宋体"/>
                <w:b/>
                <w:sz w:val="21"/>
              </w:rPr>
              <w:t>参会</w:t>
            </w:r>
            <w:r>
              <w:rPr>
                <w:rFonts w:hint="eastAsia" w:ascii="宋体" w:hAnsi="宋体" w:eastAsia="宋体" w:cs="宋体"/>
                <w:b/>
                <w:sz w:val="21"/>
                <w:lang w:val="en-US" w:eastAsia="zh-CN"/>
              </w:rPr>
              <w:t>人员</w:t>
            </w:r>
          </w:p>
        </w:tc>
        <w:tc>
          <w:tcPr>
            <w:tcW w:w="7866" w:type="dxa"/>
            <w:gridSpan w:val="3"/>
            <w:tcBorders>
              <w:top w:val="single" w:color="808080" w:sz="8" w:space="0"/>
              <w:left w:val="single" w:color="808080" w:sz="8" w:space="0"/>
              <w:bottom w:val="single" w:color="808080" w:sz="8" w:space="0"/>
              <w:right w:val="single" w:color="808080" w:sz="8" w:space="0"/>
              <w:insideH w:val="single" w:sz="8" w:space="0"/>
              <w:insideV w:val="single" w:sz="8" w:space="0"/>
            </w:tcBorders>
            <w:tcMar>
              <w:top w:w="90" w:type="dxa"/>
              <w:left w:w="100" w:type="dxa"/>
              <w:bottom w:w="90" w:type="dxa"/>
              <w:right w:w="100" w:type="dxa"/>
            </w:tcMar>
            <w:vAlign w:val="center"/>
          </w:tcPr>
          <w:p w14:paraId="068FAAC7">
            <w:pPr>
              <w:pStyle w:val="30"/>
              <w:keepNext w:val="0"/>
              <w:keepLines w:val="0"/>
              <w:widowControl/>
              <w:suppressLineNumbers w:val="0"/>
              <w:rPr>
                <w:rFonts w:hint="eastAsia" w:ascii="宋体" w:hAnsi="宋体" w:eastAsia="宋体" w:cs="宋体"/>
              </w:rPr>
            </w:pPr>
            <w:r>
              <w:rPr>
                <w:rFonts w:hint="eastAsia" w:ascii="宋体" w:hAnsi="宋体" w:eastAsia="宋体" w:cs="宋体"/>
              </w:rPr>
              <w:t>陈纪仰、朱炳政、杜孟泽、邹研泽、张泰瑜</w:t>
            </w:r>
          </w:p>
        </w:tc>
      </w:tr>
      <w:tr w14:paraId="33B844B9">
        <w:tblPrEx>
          <w:tblCellMar>
            <w:top w:w="0" w:type="dxa"/>
            <w:left w:w="108" w:type="dxa"/>
            <w:bottom w:w="0" w:type="dxa"/>
            <w:right w:w="108" w:type="dxa"/>
          </w:tblCellMar>
        </w:tblPrEx>
        <w:trPr>
          <w:cantSplit/>
          <w:trHeight w:val="4534" w:hRule="atLeast"/>
          <w:jc w:val="center"/>
        </w:trPr>
        <w:tc>
          <w:tcPr>
            <w:tcW w:w="2622" w:type="dxa"/>
            <w:tcBorders>
              <w:top w:val="single" w:color="808080" w:sz="8" w:space="0"/>
              <w:left w:val="single" w:color="808080" w:sz="8" w:space="0"/>
              <w:bottom w:val="single" w:color="808080" w:sz="8" w:space="0"/>
              <w:right w:val="single" w:color="808080" w:sz="8" w:space="0"/>
              <w:insideH w:val="single" w:sz="8" w:space="0"/>
              <w:insideV w:val="single" w:sz="8" w:space="0"/>
            </w:tcBorders>
            <w:shd w:val="clear" w:color="auto" w:fill="auto"/>
            <w:tcMar>
              <w:top w:w="90" w:type="dxa"/>
              <w:left w:w="100" w:type="dxa"/>
              <w:bottom w:w="90" w:type="dxa"/>
              <w:right w:w="100" w:type="dxa"/>
            </w:tcMar>
            <w:vAlign w:val="center"/>
          </w:tcPr>
          <w:p w14:paraId="458212A7">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rPr>
            </w:pPr>
            <w:r>
              <w:rPr>
                <w:rFonts w:hint="eastAsia" w:ascii="宋体" w:hAnsi="宋体" w:eastAsia="宋体" w:cs="宋体"/>
                <w:b/>
                <w:sz w:val="21"/>
              </w:rPr>
              <w:t>会议纪要</w:t>
            </w:r>
          </w:p>
        </w:tc>
        <w:tc>
          <w:tcPr>
            <w:tcW w:w="7866" w:type="dxa"/>
            <w:gridSpan w:val="3"/>
            <w:tcBorders>
              <w:top w:val="single" w:color="808080" w:sz="8" w:space="0"/>
              <w:left w:val="single" w:color="808080" w:sz="8" w:space="0"/>
              <w:bottom w:val="single" w:color="808080" w:sz="8" w:space="0"/>
              <w:right w:val="single" w:color="808080" w:sz="8" w:space="0"/>
              <w:insideH w:val="single" w:sz="8" w:space="0"/>
              <w:insideV w:val="single" w:sz="8" w:space="0"/>
            </w:tcBorders>
            <w:tcMar>
              <w:top w:w="90" w:type="dxa"/>
              <w:left w:w="100" w:type="dxa"/>
              <w:bottom w:w="90" w:type="dxa"/>
              <w:right w:w="100" w:type="dxa"/>
            </w:tcMar>
            <w:vAlign w:val="top"/>
          </w:tcPr>
          <w:p w14:paraId="2CDA2318">
            <w:pPr>
              <w:pStyle w:val="30"/>
              <w:keepNext w:val="0"/>
              <w:keepLines w:val="0"/>
              <w:widowControl/>
              <w:suppressLineNumbers w:val="0"/>
              <w:rPr>
                <w:rFonts w:hint="eastAsia" w:ascii="宋体" w:hAnsi="宋体" w:eastAsia="宋体" w:cs="宋体"/>
              </w:rPr>
            </w:pPr>
            <w:r>
              <w:rPr>
                <w:rFonts w:hint="eastAsia" w:ascii="宋体" w:hAnsi="宋体" w:eastAsia="宋体" w:cs="宋体"/>
              </w:rPr>
              <w:t>本次会议主要讨论其他小组提交的梯度类归因实验结果，并与本组已有的黑盒归因实验进行初步对比。会上，杜孟泽介绍了对方在ImageNet和ResNet-50上的实验情况，对方结果显示IG在忠实性方面表现较好，Grad-CAM在稳定性和运行效率方面更有优势。</w:t>
            </w:r>
          </w:p>
          <w:p w14:paraId="1E9E25FE">
            <w:pPr>
              <w:pStyle w:val="30"/>
              <w:keepNext w:val="0"/>
              <w:keepLines w:val="0"/>
              <w:widowControl/>
              <w:suppressLineNumbers w:val="0"/>
              <w:rPr>
                <w:rFonts w:hint="eastAsia" w:ascii="宋体" w:hAnsi="宋体" w:eastAsia="宋体" w:cs="宋体"/>
              </w:rPr>
            </w:pPr>
            <w:r>
              <w:rPr>
                <w:rFonts w:hint="eastAsia" w:ascii="宋体" w:hAnsi="宋体" w:eastAsia="宋体" w:cs="宋体"/>
              </w:rPr>
              <w:t>邹研泽认为，两组实验虽然都体现出不同归因方法之间存在优缺点权衡，但目前不能直接根据AUC数值判断哪一组结果更好。陈纪仰指出，两组在模型输出、图像数量、遮蔽方式、评价单位和稳定性指标等方面都存在差异，尤其是对方使用Softmax概率和像素级评价，而本组主要使用pre-Softmax logit和SLIC区域级扰动，因此数值不能直接横向比较。</w:t>
            </w:r>
          </w:p>
          <w:p w14:paraId="347B0392">
            <w:pPr>
              <w:pStyle w:val="30"/>
              <w:keepNext w:val="0"/>
              <w:keepLines w:val="0"/>
              <w:widowControl/>
              <w:suppressLineNumbers w:val="0"/>
              <w:rPr>
                <w:rFonts w:hint="eastAsia" w:ascii="宋体" w:hAnsi="宋体" w:eastAsia="宋体" w:cs="宋体"/>
              </w:rPr>
            </w:pPr>
            <w:r>
              <w:rPr>
                <w:rFonts w:hint="eastAsia" w:ascii="宋体" w:hAnsi="宋体" w:eastAsia="宋体" w:cs="宋体"/>
              </w:rPr>
              <w:t>朱炳政补充，本组的LIME、RISE和Ablation分别在忠实性、稳定性和效率方面具有不同优势，和对方“没有单一最优方法”的结论基本一致。张泰瑜建议在汇报中将两组结果作为方法特点的定性对照，重点说明不同实验条件对结果的影响，不直接进行排名。陈纪仰还提醒，正式合并结果前需要核对样本数量、模型权重和评价口径，避免出现样本数或实验条件不一致的问题。</w:t>
            </w:r>
          </w:p>
          <w:p w14:paraId="022A2E66">
            <w:pPr>
              <w:pStyle w:val="30"/>
              <w:keepNext w:val="0"/>
              <w:keepLines w:val="0"/>
              <w:widowControl/>
              <w:suppressLineNumbers w:val="0"/>
              <w:rPr>
                <w:rFonts w:hint="eastAsia" w:ascii="宋体" w:hAnsi="宋体" w:eastAsia="宋体" w:cs="宋体"/>
              </w:rPr>
            </w:pPr>
            <w:r>
              <w:rPr>
                <w:rFonts w:hint="eastAsia" w:ascii="宋体" w:hAnsi="宋体" w:eastAsia="宋体" w:cs="宋体"/>
              </w:rPr>
              <w:t>会议最终认为，两组实验可以共同说明归因方法在忠实性、稳定性和效率之间存在权衡，但当前还不能得出“对方结果优于本组”的结论。</w:t>
            </w:r>
          </w:p>
          <w:p w14:paraId="633D3A8F">
            <w:pPr>
              <w:pStyle w:val="30"/>
              <w:keepNext w:val="0"/>
              <w:keepLines w:val="0"/>
              <w:widowControl/>
              <w:suppressLineNumbers w:val="0"/>
              <w:rPr>
                <w:rFonts w:hint="eastAsia" w:ascii="宋体" w:hAnsi="宋体" w:eastAsia="宋体" w:cs="宋体"/>
              </w:rPr>
            </w:pPr>
            <w:r>
              <w:rPr>
                <w:rFonts w:hint="eastAsia" w:ascii="宋体" w:hAnsi="宋体" w:eastAsia="宋体" w:cs="宋体"/>
              </w:rPr>
              <w:t>目前的遗留问题是两组实验是否能够在统一样本和评价设置下进行进一步比较。下一次会议将检查对比材料，并确定最终汇报中采用定性对比还是补充统一口径实验。</w:t>
            </w:r>
          </w:p>
        </w:tc>
      </w:tr>
      <w:tr w14:paraId="2D6936D5">
        <w:tblPrEx>
          <w:tblCellMar>
            <w:top w:w="0" w:type="dxa"/>
            <w:left w:w="108" w:type="dxa"/>
            <w:bottom w:w="0" w:type="dxa"/>
            <w:right w:w="108" w:type="dxa"/>
          </w:tblCellMar>
        </w:tblPrEx>
        <w:trPr>
          <w:cantSplit/>
          <w:trHeight w:val="5102" w:hRule="atLeast"/>
          <w:jc w:val="center"/>
        </w:trPr>
        <w:tc>
          <w:tcPr>
            <w:tcW w:w="2622" w:type="dxa"/>
            <w:tcBorders>
              <w:top w:val="single" w:color="808080" w:sz="8" w:space="0"/>
              <w:left w:val="single" w:color="808080" w:sz="8" w:space="0"/>
              <w:bottom w:val="single" w:color="808080" w:sz="8" w:space="0"/>
              <w:right w:val="single" w:color="808080" w:sz="8" w:space="0"/>
              <w:insideH w:val="single" w:sz="8" w:space="0"/>
              <w:insideV w:val="single" w:sz="8" w:space="0"/>
            </w:tcBorders>
            <w:shd w:val="clear" w:color="auto" w:fill="auto"/>
            <w:tcMar>
              <w:top w:w="90" w:type="dxa"/>
              <w:left w:w="100" w:type="dxa"/>
              <w:bottom w:w="90" w:type="dxa"/>
              <w:right w:w="100" w:type="dxa"/>
            </w:tcMar>
            <w:vAlign w:val="center"/>
          </w:tcPr>
          <w:p w14:paraId="1087D9CA">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rPr>
            </w:pPr>
            <w:r>
              <w:rPr>
                <w:rFonts w:hint="eastAsia" w:ascii="宋体" w:hAnsi="宋体" w:eastAsia="宋体" w:cs="宋体"/>
                <w:b/>
                <w:sz w:val="21"/>
              </w:rPr>
              <w:t>现场照片</w:t>
            </w:r>
          </w:p>
        </w:tc>
        <w:tc>
          <w:tcPr>
            <w:tcW w:w="7866" w:type="dxa"/>
            <w:gridSpan w:val="3"/>
            <w:tcBorders>
              <w:top w:val="single" w:color="808080" w:sz="8" w:space="0"/>
              <w:left w:val="single" w:color="808080" w:sz="8" w:space="0"/>
              <w:bottom w:val="single" w:color="808080" w:sz="8" w:space="0"/>
              <w:right w:val="single" w:color="808080" w:sz="8" w:space="0"/>
              <w:insideH w:val="single" w:sz="8" w:space="0"/>
              <w:insideV w:val="single" w:sz="8" w:space="0"/>
            </w:tcBorders>
            <w:tcMar>
              <w:top w:w="90" w:type="dxa"/>
              <w:left w:w="100" w:type="dxa"/>
              <w:bottom w:w="90" w:type="dxa"/>
              <w:right w:w="100" w:type="dxa"/>
            </w:tcMar>
            <w:vAlign w:val="center"/>
          </w:tcPr>
          <w:p w14:paraId="0ACB1E3F">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lang w:eastAsia="zh-CN"/>
              </w:rPr>
            </w:pPr>
            <w:bookmarkStart w:id="0" w:name="_GoBack"/>
            <w:r>
              <w:rPr>
                <w:rFonts w:hint="eastAsia" w:ascii="宋体" w:hAnsi="宋体" w:eastAsia="宋体" w:cs="宋体"/>
                <w:lang w:eastAsia="zh-CN"/>
              </w:rPr>
              <w:drawing>
                <wp:inline distT="0" distB="0" distL="114300" distR="114300">
                  <wp:extent cx="4850130" cy="2727960"/>
                  <wp:effectExtent l="0" t="0" r="1270" b="2540"/>
                  <wp:docPr id="1" name="图片 1" descr="53dd3faf4f271ebdf7f17c8bd2c3f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3dd3faf4f271ebdf7f17c8bd2c3fd33"/>
                          <pic:cNvPicPr>
                            <a:picLocks noChangeAspect="1"/>
                          </pic:cNvPicPr>
                        </pic:nvPicPr>
                        <pic:blipFill>
                          <a:blip r:embed="rId6"/>
                          <a:stretch>
                            <a:fillRect/>
                          </a:stretch>
                        </pic:blipFill>
                        <pic:spPr>
                          <a:xfrm>
                            <a:off x="0" y="0"/>
                            <a:ext cx="4850130" cy="2727960"/>
                          </a:xfrm>
                          <a:prstGeom prst="rect">
                            <a:avLst/>
                          </a:prstGeom>
                        </pic:spPr>
                      </pic:pic>
                    </a:graphicData>
                  </a:graphic>
                </wp:inline>
              </w:drawing>
            </w:r>
            <w:bookmarkEnd w:id="0"/>
          </w:p>
        </w:tc>
      </w:tr>
    </w:tbl>
    <w:p w14:paraId="5E69BA82">
      <w:pPr>
        <w:keepNext w:val="0"/>
        <w:keepLines w:val="0"/>
        <w:pageBreakBefore w:val="0"/>
        <w:widowControl/>
        <w:shd w:val="clear"/>
        <w:kinsoku/>
        <w:wordWrap/>
        <w:overflowPunct/>
        <w:topLinePunct w:val="0"/>
        <w:autoSpaceDE/>
        <w:autoSpaceDN/>
        <w:bidi w:val="0"/>
        <w:adjustRightInd/>
        <w:snapToGrid/>
        <w:spacing w:after="0" w:line="240" w:lineRule="auto"/>
        <w:ind w:firstLine="0" w:firstLineChars="0"/>
        <w:jc w:val="left"/>
        <w:textAlignment w:val="auto"/>
        <w:rPr>
          <w:rFonts w:hint="eastAsia" w:ascii="宋体" w:hAnsi="宋体" w:eastAsia="宋体" w:cs="宋体"/>
        </w:rPr>
      </w:pPr>
    </w:p>
    <w:sectPr>
      <w:pgSz w:w="11906" w:h="16838"/>
      <w:pgMar w:top="709" w:right="709" w:bottom="652" w:left="70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 w:name="AMGDT">
    <w:altName w:val="Segoe UI Semilight"/>
    <w:panose1 w:val="02000400000000000000"/>
    <w:charset w:val="00"/>
    <w:family w:val="auto"/>
    <w:pitch w:val="default"/>
    <w:sig w:usb0="00000000"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916E89"/>
    <w:rsid w:val="2B2F1FE3"/>
    <w:rsid w:val="69F51B40"/>
    <w:rsid w:val="7F8315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84</Words>
  <Characters>84</Characters>
  <Lines>0</Lines>
  <Paragraphs>0</Paragraphs>
  <TotalTime>16</TotalTime>
  <ScaleCrop>false</ScaleCrop>
  <LinksUpToDate>false</LinksUpToDate>
  <CharactersWithSpaces>88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课程组</dc:creator>
  <dc:description>generated by python-docx</dc:description>
  <cp:lastModifiedBy>张泰瑜</cp:lastModifiedBy>
  <dcterms:modified xsi:type="dcterms:W3CDTF">2026-10-30T08:11:12Z</dcterms:modified>
  <dc:subject>课程综合实践过程记录模板</dc:subject>
  <dc:title>机器学习综合实践小组会议纪要表</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eyJoZGlkIjoiZWI2NDBkMmI5NGM2Y2FhZmRlZmNmNjUzN2M2YzI0ZWEiLCJ1c2VySWQiOiIxNjg4MTQ1MjU1In0=</vt:lpwstr>
  </property>
  <property fmtid="{D5CDD505-2E9C-101B-9397-08002B2CF9AE}" pid="3" name="KSOProductBuildVer">
    <vt:lpwstr>2052-12.1.0.29161</vt:lpwstr>
  </property>
  <property fmtid="{D5CDD505-2E9C-101B-9397-08002B2CF9AE}" pid="4" name="ICV">
    <vt:lpwstr>C8B9F461746E4022BE77A5BD49314E62_13</vt:lpwstr>
  </property>
</Properties>
</file>