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CB" w:rsidRDefault="00366980" w:rsidP="00366980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E45B20">
        <w:rPr>
          <w:rFonts w:ascii="Arial" w:hAnsi="Arial" w:cs="Arial"/>
          <w:b/>
          <w:sz w:val="32"/>
          <w:szCs w:val="32"/>
        </w:rPr>
        <w:t>Elit</w:t>
      </w:r>
      <w:proofErr w:type="spellEnd"/>
      <w:r w:rsidRPr="00E45B20">
        <w:rPr>
          <w:rFonts w:ascii="Arial" w:hAnsi="Arial" w:cs="Arial"/>
          <w:b/>
          <w:sz w:val="32"/>
          <w:szCs w:val="32"/>
        </w:rPr>
        <w:t xml:space="preserve"> Ingressos</w:t>
      </w:r>
      <w:r w:rsidR="0073640A" w:rsidRPr="00E45B20">
        <w:rPr>
          <w:rFonts w:ascii="Arial" w:hAnsi="Arial" w:cs="Arial"/>
          <w:b/>
          <w:sz w:val="32"/>
          <w:szCs w:val="32"/>
        </w:rPr>
        <w:t xml:space="preserve"> (Plan</w:t>
      </w:r>
      <w:bookmarkStart w:id="0" w:name="_GoBack"/>
      <w:bookmarkEnd w:id="0"/>
      <w:r w:rsidR="0073640A" w:rsidRPr="00E45B20">
        <w:rPr>
          <w:rFonts w:ascii="Arial" w:hAnsi="Arial" w:cs="Arial"/>
          <w:b/>
          <w:sz w:val="32"/>
          <w:szCs w:val="32"/>
        </w:rPr>
        <w:t>o de Negócio)</w:t>
      </w:r>
    </w:p>
    <w:p w:rsidR="00F12E71" w:rsidRDefault="00F12E71" w:rsidP="00F12E71">
      <w:pPr>
        <w:rPr>
          <w:rFonts w:ascii="Arial" w:hAnsi="Arial" w:cs="Arial"/>
          <w:b/>
          <w:sz w:val="32"/>
          <w:szCs w:val="32"/>
        </w:rPr>
      </w:pPr>
    </w:p>
    <w:p w:rsidR="00F12E71" w:rsidRPr="00F12E71" w:rsidRDefault="00F12E71" w:rsidP="00F12E71">
      <w:pPr>
        <w:rPr>
          <w:rFonts w:ascii="Arial" w:hAnsi="Arial" w:cs="Arial"/>
          <w:b/>
          <w:sz w:val="24"/>
          <w:szCs w:val="24"/>
        </w:rPr>
      </w:pPr>
      <w:r w:rsidRPr="00F12E71">
        <w:rPr>
          <w:rFonts w:ascii="Arial" w:hAnsi="Arial" w:cs="Arial"/>
          <w:b/>
          <w:sz w:val="24"/>
          <w:szCs w:val="24"/>
        </w:rPr>
        <w:t>Estudo de mercado</w:t>
      </w:r>
      <w:r w:rsidR="00A3119B">
        <w:rPr>
          <w:rFonts w:ascii="Arial" w:hAnsi="Arial" w:cs="Arial"/>
          <w:b/>
          <w:sz w:val="24"/>
          <w:szCs w:val="24"/>
        </w:rPr>
        <w:t xml:space="preserve"> (Monetização)</w:t>
      </w:r>
      <w:r w:rsidRPr="00F12E71">
        <w:rPr>
          <w:rFonts w:ascii="Arial" w:hAnsi="Arial" w:cs="Arial"/>
          <w:b/>
          <w:sz w:val="24"/>
          <w:szCs w:val="24"/>
        </w:rPr>
        <w:t>:</w:t>
      </w:r>
    </w:p>
    <w:p w:rsidR="00684FDE" w:rsidRDefault="00B70CA3" w:rsidP="00B70CA3">
      <w:pPr>
        <w:rPr>
          <w:rFonts w:ascii="Arial" w:hAnsi="Arial" w:cs="Arial"/>
        </w:rPr>
      </w:pPr>
      <w:r>
        <w:rPr>
          <w:rFonts w:ascii="Arial" w:hAnsi="Arial" w:cs="Arial"/>
        </w:rPr>
        <w:tab/>
        <w:t>O mercado audi</w:t>
      </w:r>
      <w:r w:rsidR="004477C3">
        <w:rPr>
          <w:rFonts w:ascii="Arial" w:hAnsi="Arial" w:cs="Arial"/>
        </w:rPr>
        <w:t>ovisual é um dos que mais cresce no mundo e no Brasil não é diferente. A ANCINE (Agência Nacional do Cinema) criou o OCA (Observatório Brasileiro do Cinema e do Audiovisual), que monitora o crescimento do ramo desde 2002.</w:t>
      </w:r>
      <w:r w:rsidR="00684FDE">
        <w:rPr>
          <w:rFonts w:ascii="Arial" w:hAnsi="Arial" w:cs="Arial"/>
        </w:rPr>
        <w:t xml:space="preserve"> </w:t>
      </w:r>
      <w:r w:rsidR="00E45B20">
        <w:rPr>
          <w:rFonts w:ascii="Arial" w:hAnsi="Arial" w:cs="Arial"/>
        </w:rPr>
        <w:t>Segundo dados analisados, e</w:t>
      </w:r>
      <w:r w:rsidR="007E6E73">
        <w:rPr>
          <w:rFonts w:ascii="Arial" w:hAnsi="Arial" w:cs="Arial"/>
        </w:rPr>
        <w:t xml:space="preserve">m 2017, </w:t>
      </w:r>
      <w:r w:rsidR="00E45B20">
        <w:rPr>
          <w:rFonts w:ascii="Arial" w:hAnsi="Arial" w:cs="Arial"/>
        </w:rPr>
        <w:t>as bilheterias brasileiras atingiram</w:t>
      </w:r>
      <w:r w:rsidR="007E6E73">
        <w:rPr>
          <w:rFonts w:ascii="Arial" w:hAnsi="Arial" w:cs="Arial"/>
        </w:rPr>
        <w:t xml:space="preserve"> um pú</w:t>
      </w:r>
      <w:r w:rsidR="00E45B20">
        <w:rPr>
          <w:rFonts w:ascii="Arial" w:hAnsi="Arial" w:cs="Arial"/>
        </w:rPr>
        <w:t xml:space="preserve">blico </w:t>
      </w:r>
      <w:r w:rsidR="007E6E73">
        <w:rPr>
          <w:rFonts w:ascii="Arial" w:hAnsi="Arial" w:cs="Arial"/>
        </w:rPr>
        <w:t>de</w:t>
      </w:r>
      <w:r w:rsidR="00E45B20">
        <w:rPr>
          <w:rFonts w:ascii="Arial" w:hAnsi="Arial" w:cs="Arial"/>
        </w:rPr>
        <w:t xml:space="preserve"> cerca de 181 milhões de expectadores</w:t>
      </w:r>
      <w:r w:rsidR="007E6E73">
        <w:rPr>
          <w:rFonts w:ascii="Arial" w:hAnsi="Arial" w:cs="Arial"/>
        </w:rPr>
        <w:t>. Nesse mesmo ano o valor em média dos ingressos ficou em torno de R$: 15,00.</w:t>
      </w:r>
      <w:r w:rsidR="002C451C">
        <w:rPr>
          <w:rFonts w:ascii="Arial" w:hAnsi="Arial" w:cs="Arial"/>
        </w:rPr>
        <w:t xml:space="preserve"> </w:t>
      </w:r>
      <w:r w:rsidR="00E45B20">
        <w:rPr>
          <w:rFonts w:ascii="Arial" w:hAnsi="Arial" w:cs="Arial"/>
        </w:rPr>
        <w:t xml:space="preserve">(Fonte: </w:t>
      </w:r>
      <w:hyperlink r:id="rId6" w:history="1">
        <w:r w:rsidR="007E6E73" w:rsidRPr="005A5DE0">
          <w:rPr>
            <w:rStyle w:val="Hyperlink"/>
            <w:rFonts w:ascii="Arial" w:hAnsi="Arial" w:cs="Arial"/>
          </w:rPr>
          <w:t>https://oca.ancine.gov.br/mercado-audiovisual-brasileiro</w:t>
        </w:r>
      </w:hyperlink>
      <w:r w:rsidR="007E6E73">
        <w:rPr>
          <w:rFonts w:ascii="Arial" w:hAnsi="Arial" w:cs="Arial"/>
        </w:rPr>
        <w:t>)</w:t>
      </w:r>
      <w:r w:rsidR="003B1A1E">
        <w:rPr>
          <w:rFonts w:ascii="Arial" w:hAnsi="Arial" w:cs="Arial"/>
        </w:rPr>
        <w:t>.</w:t>
      </w:r>
    </w:p>
    <w:p w:rsidR="002C451C" w:rsidRDefault="007E6E73" w:rsidP="002C451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B1A1E">
        <w:rPr>
          <w:rFonts w:ascii="Arial" w:hAnsi="Arial" w:cs="Arial"/>
        </w:rPr>
        <w:t>O me</w:t>
      </w:r>
      <w:r w:rsidR="00306457">
        <w:rPr>
          <w:rFonts w:ascii="Arial" w:hAnsi="Arial" w:cs="Arial"/>
        </w:rPr>
        <w:t xml:space="preserve">rcado de eventos é outra tendência de crescimento. </w:t>
      </w:r>
      <w:r w:rsidR="00EC3265">
        <w:rPr>
          <w:rFonts w:ascii="Arial" w:hAnsi="Arial" w:cs="Arial"/>
        </w:rPr>
        <w:t>Segundo a ABEOC Brasil (Associação Brasileira de Empresas de Eventos), o segmento representa 3,1% do PIB, isso no ano de 2001/2002, quando a pesquisa foi realizada</w:t>
      </w:r>
      <w:r w:rsidR="002C451C">
        <w:rPr>
          <w:rFonts w:ascii="Arial" w:hAnsi="Arial" w:cs="Arial"/>
        </w:rPr>
        <w:t>.</w:t>
      </w:r>
      <w:r w:rsidR="002C451C" w:rsidRPr="002C451C">
        <w:rPr>
          <w:rFonts w:ascii="Arial" w:hAnsi="Arial" w:cs="Arial"/>
        </w:rPr>
        <w:t xml:space="preserve"> </w:t>
      </w:r>
      <w:r w:rsidR="002C451C">
        <w:rPr>
          <w:rFonts w:ascii="Arial" w:hAnsi="Arial" w:cs="Arial"/>
        </w:rPr>
        <w:t xml:space="preserve">(Fonte: </w:t>
      </w:r>
      <w:hyperlink r:id="rId7" w:history="1">
        <w:r w:rsidR="002C451C" w:rsidRPr="005A5DE0">
          <w:rPr>
            <w:rStyle w:val="Hyperlink"/>
            <w:rFonts w:ascii="Arial" w:hAnsi="Arial" w:cs="Arial"/>
          </w:rPr>
          <w:t>http://www.abeoc.org.br/qualidade/estudo-de-mercado/</w:t>
        </w:r>
      </w:hyperlink>
      <w:r w:rsidR="002C451C">
        <w:rPr>
          <w:rFonts w:ascii="Arial" w:hAnsi="Arial" w:cs="Arial"/>
        </w:rPr>
        <w:t>).</w:t>
      </w:r>
    </w:p>
    <w:p w:rsidR="00EC3265" w:rsidRDefault="002C451C" w:rsidP="00B70CA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A Revista Exame, Editora Abril, publicou </w:t>
      </w:r>
      <w:r w:rsidR="00F12E71">
        <w:rPr>
          <w:rFonts w:ascii="Arial" w:hAnsi="Arial" w:cs="Arial"/>
        </w:rPr>
        <w:t xml:space="preserve">em janeiro de 2018, uma pesquisa que apontava </w:t>
      </w:r>
      <w:r w:rsidR="00F12E71" w:rsidRPr="00F12E71">
        <w:rPr>
          <w:rFonts w:ascii="Arial" w:hAnsi="Arial" w:cs="Arial"/>
          <w:shd w:val="clear" w:color="auto" w:fill="FFFFFF"/>
        </w:rPr>
        <w:t>que o setor movimentou R$ 209,2 bilhões, em 2013, 4,32% do PIB brasileiro no período. Pesquisas anteriores, de 2002, davam conta de R$ 37 bilhões, em 2017.</w:t>
      </w:r>
      <w:r w:rsidR="00F12E71">
        <w:rPr>
          <w:rFonts w:ascii="Arial" w:hAnsi="Arial" w:cs="Arial"/>
          <w:shd w:val="clear" w:color="auto" w:fill="FFFFFF"/>
        </w:rPr>
        <w:t xml:space="preserve"> (Fonte: </w:t>
      </w:r>
      <w:hyperlink r:id="rId8" w:history="1">
        <w:r w:rsidR="00F12E71" w:rsidRPr="005A5DE0">
          <w:rPr>
            <w:rStyle w:val="Hyperlink"/>
            <w:rFonts w:ascii="Arial" w:hAnsi="Arial" w:cs="Arial"/>
            <w:shd w:val="clear" w:color="auto" w:fill="FFFFFF"/>
          </w:rPr>
          <w:t>https://exame.abril.com.br/negocios/dino/mercado-de-eventos-tem-expectativa-de-crescimento-em-2018/</w:t>
        </w:r>
      </w:hyperlink>
      <w:r w:rsidR="00F12E71">
        <w:rPr>
          <w:rFonts w:ascii="Arial" w:hAnsi="Arial" w:cs="Arial"/>
          <w:shd w:val="clear" w:color="auto" w:fill="FFFFFF"/>
        </w:rPr>
        <w:t>).</w:t>
      </w:r>
    </w:p>
    <w:p w:rsidR="00F12E71" w:rsidRDefault="00F12E71" w:rsidP="00B70CA3">
      <w:pPr>
        <w:rPr>
          <w:rFonts w:ascii="Arial" w:hAnsi="Arial" w:cs="Arial"/>
          <w:shd w:val="clear" w:color="auto" w:fill="FFFFFF"/>
        </w:rPr>
      </w:pPr>
    </w:p>
    <w:p w:rsidR="00F12E71" w:rsidRDefault="00A3119B" w:rsidP="003669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Diferenciais do </w:t>
      </w:r>
      <w:r w:rsidR="00F12E71">
        <w:rPr>
          <w:rFonts w:ascii="Arial" w:hAnsi="Arial" w:cs="Arial"/>
          <w:b/>
          <w:sz w:val="24"/>
          <w:szCs w:val="24"/>
        </w:rPr>
        <w:t>negócio:</w:t>
      </w:r>
    </w:p>
    <w:p w:rsidR="00164DE6" w:rsidRPr="00164DE6" w:rsidRDefault="00164DE6" w:rsidP="0036698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  <w:t>“</w:t>
      </w:r>
      <w:r w:rsidRPr="00164DE6">
        <w:rPr>
          <w:rFonts w:ascii="Arial" w:hAnsi="Arial" w:cs="Arial"/>
        </w:rPr>
        <w:t xml:space="preserve">Além de oferecermos um serviço de compartilhamento que nossos clientes podem desfrutar do conforto do seu lar ou onde quer que </w:t>
      </w:r>
      <w:proofErr w:type="gramStart"/>
      <w:r w:rsidRPr="00164DE6">
        <w:rPr>
          <w:rFonts w:ascii="Arial" w:hAnsi="Arial" w:cs="Arial"/>
        </w:rPr>
        <w:t>esteja</w:t>
      </w:r>
      <w:r>
        <w:rPr>
          <w:rFonts w:ascii="Arial" w:hAnsi="Arial" w:cs="Arial"/>
        </w:rPr>
        <w:t>m</w:t>
      </w:r>
      <w:r w:rsidRPr="00164DE6">
        <w:rPr>
          <w:rFonts w:ascii="Arial" w:hAnsi="Arial" w:cs="Arial"/>
        </w:rPr>
        <w:t>,</w:t>
      </w:r>
      <w:proofErr w:type="gramEnd"/>
      <w:r w:rsidRPr="00164DE6">
        <w:rPr>
          <w:rFonts w:ascii="Arial" w:hAnsi="Arial" w:cs="Arial"/>
        </w:rPr>
        <w:t xml:space="preserve"> nós da </w:t>
      </w:r>
      <w:proofErr w:type="spellStart"/>
      <w:r w:rsidRPr="00164DE6">
        <w:rPr>
          <w:rFonts w:ascii="Arial" w:hAnsi="Arial" w:cs="Arial"/>
        </w:rPr>
        <w:t>Elit</w:t>
      </w:r>
      <w:proofErr w:type="spellEnd"/>
      <w:r w:rsidRPr="00164DE6">
        <w:rPr>
          <w:rFonts w:ascii="Arial" w:hAnsi="Arial" w:cs="Arial"/>
        </w:rPr>
        <w:t xml:space="preserve"> também oferecemos eventos em que comunidades podem juntar-se para apreciar um ou mais filmes da saga desejada (com direito a cosplay e pipoca), tu</w:t>
      </w:r>
      <w:r>
        <w:rPr>
          <w:rFonts w:ascii="Arial" w:hAnsi="Arial" w:cs="Arial"/>
        </w:rPr>
        <w:t>do isso com um preço acessível.”</w:t>
      </w:r>
    </w:p>
    <w:p w:rsidR="0073640A" w:rsidRDefault="005B2383" w:rsidP="005B238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</w:rPr>
        <w:t>O site fará a intermediação entre usuário</w:t>
      </w:r>
      <w:r w:rsidR="00A3119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="000D435B">
        <w:rPr>
          <w:rFonts w:ascii="Arial" w:hAnsi="Arial" w:cs="Arial"/>
        </w:rPr>
        <w:t>co</w:t>
      </w:r>
      <w:r w:rsidR="00AC2736">
        <w:rPr>
          <w:rFonts w:ascii="Arial" w:hAnsi="Arial" w:cs="Arial"/>
        </w:rPr>
        <w:t>m o propósito de alugar filmes ou</w:t>
      </w:r>
      <w:r w:rsidR="000D435B">
        <w:rPr>
          <w:rFonts w:ascii="Arial" w:hAnsi="Arial" w:cs="Arial"/>
        </w:rPr>
        <w:t xml:space="preserve"> sagas</w:t>
      </w:r>
      <w:r w:rsidR="0073640A">
        <w:rPr>
          <w:rFonts w:ascii="Arial" w:hAnsi="Arial" w:cs="Arial"/>
        </w:rPr>
        <w:t xml:space="preserve"> </w:t>
      </w:r>
      <w:r w:rsidR="000D435B">
        <w:rPr>
          <w:rFonts w:ascii="Arial" w:hAnsi="Arial" w:cs="Arial"/>
        </w:rPr>
        <w:t>e assistir num determinado local</w:t>
      </w:r>
      <w:r w:rsidR="002B52D0">
        <w:rPr>
          <w:rFonts w:ascii="Arial" w:hAnsi="Arial" w:cs="Arial"/>
        </w:rPr>
        <w:t>. As escolhas serão</w:t>
      </w:r>
      <w:r w:rsidR="0073640A">
        <w:rPr>
          <w:rFonts w:ascii="Arial" w:hAnsi="Arial" w:cs="Arial"/>
        </w:rPr>
        <w:t xml:space="preserve"> através de sugestões</w:t>
      </w:r>
      <w:r w:rsidR="002B52D0">
        <w:rPr>
          <w:rFonts w:ascii="Arial" w:hAnsi="Arial" w:cs="Arial"/>
        </w:rPr>
        <w:t xml:space="preserve"> do site ou </w:t>
      </w:r>
      <w:r w:rsidR="00AC2736">
        <w:rPr>
          <w:rFonts w:ascii="Arial" w:hAnsi="Arial" w:cs="Arial"/>
        </w:rPr>
        <w:t xml:space="preserve">de </w:t>
      </w:r>
      <w:r w:rsidR="002B52D0">
        <w:rPr>
          <w:rFonts w:ascii="Arial" w:hAnsi="Arial" w:cs="Arial"/>
        </w:rPr>
        <w:t>usuários, se</w:t>
      </w:r>
      <w:r w:rsidR="004B303E">
        <w:rPr>
          <w:rFonts w:ascii="Arial" w:hAnsi="Arial" w:cs="Arial"/>
        </w:rPr>
        <w:t>guida</w:t>
      </w:r>
      <w:r w:rsidR="00AC2736">
        <w:rPr>
          <w:rFonts w:ascii="Arial" w:hAnsi="Arial" w:cs="Arial"/>
        </w:rPr>
        <w:t>s</w:t>
      </w:r>
      <w:r w:rsidR="002B52D0">
        <w:rPr>
          <w:rFonts w:ascii="Arial" w:hAnsi="Arial" w:cs="Arial"/>
        </w:rPr>
        <w:t xml:space="preserve"> de </w:t>
      </w:r>
      <w:r w:rsidR="0073640A">
        <w:rPr>
          <w:rFonts w:ascii="Arial" w:hAnsi="Arial" w:cs="Arial"/>
        </w:rPr>
        <w:t>votações</w:t>
      </w:r>
      <w:r w:rsidR="000D435B">
        <w:rPr>
          <w:rFonts w:ascii="Arial" w:hAnsi="Arial" w:cs="Arial"/>
        </w:rPr>
        <w:t xml:space="preserve">. </w:t>
      </w:r>
    </w:p>
    <w:p w:rsidR="004B303E" w:rsidRDefault="002B52D0" w:rsidP="000D435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site se responsabilizará </w:t>
      </w:r>
      <w:r w:rsidR="00A9460C">
        <w:rPr>
          <w:rFonts w:ascii="Arial" w:hAnsi="Arial" w:cs="Arial"/>
        </w:rPr>
        <w:t>por toda a organização, desde os</w:t>
      </w:r>
      <w:r>
        <w:rPr>
          <w:rFonts w:ascii="Arial" w:hAnsi="Arial" w:cs="Arial"/>
        </w:rPr>
        <w:t xml:space="preserve"> </w:t>
      </w:r>
      <w:r w:rsidR="00A9460C">
        <w:rPr>
          <w:rFonts w:ascii="Arial" w:hAnsi="Arial" w:cs="Arial"/>
        </w:rPr>
        <w:t>aluguéis</w:t>
      </w:r>
      <w:r>
        <w:rPr>
          <w:rFonts w:ascii="Arial" w:hAnsi="Arial" w:cs="Arial"/>
        </w:rPr>
        <w:t xml:space="preserve"> dos materiais a serem assistidos, até os </w:t>
      </w:r>
      <w:r w:rsidR="00AC2736">
        <w:rPr>
          <w:rFonts w:ascii="Arial" w:hAnsi="Arial" w:cs="Arial"/>
        </w:rPr>
        <w:t>espaços</w:t>
      </w:r>
      <w:r>
        <w:rPr>
          <w:rFonts w:ascii="Arial" w:hAnsi="Arial" w:cs="Arial"/>
        </w:rPr>
        <w:t xml:space="preserve"> e equipamentos</w:t>
      </w:r>
      <w:r w:rsidR="00A9460C">
        <w:rPr>
          <w:rFonts w:ascii="Arial" w:hAnsi="Arial" w:cs="Arial"/>
        </w:rPr>
        <w:t xml:space="preserve"> (esses por sua vez serão cotados e a aprovação se dará pelo consentimento da maioria).</w:t>
      </w:r>
      <w:r>
        <w:rPr>
          <w:rFonts w:ascii="Arial" w:hAnsi="Arial" w:cs="Arial"/>
        </w:rPr>
        <w:t xml:space="preserve"> </w:t>
      </w:r>
      <w:r w:rsidR="00A9460C">
        <w:rPr>
          <w:rFonts w:ascii="Arial" w:hAnsi="Arial" w:cs="Arial"/>
        </w:rPr>
        <w:t>P</w:t>
      </w:r>
      <w:r>
        <w:rPr>
          <w:rFonts w:ascii="Arial" w:hAnsi="Arial" w:cs="Arial"/>
        </w:rPr>
        <w:t>orém</w:t>
      </w:r>
      <w:r w:rsidR="004B303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caso algum us</w:t>
      </w:r>
      <w:r w:rsidR="004B303E">
        <w:rPr>
          <w:rFonts w:ascii="Arial" w:hAnsi="Arial" w:cs="Arial"/>
        </w:rPr>
        <w:t>uário queira disponibilizar algum</w:t>
      </w:r>
      <w:r>
        <w:rPr>
          <w:rFonts w:ascii="Arial" w:hAnsi="Arial" w:cs="Arial"/>
        </w:rPr>
        <w:t xml:space="preserve"> espaço</w:t>
      </w:r>
      <w:r w:rsidR="004B303E">
        <w:rPr>
          <w:rFonts w:ascii="Arial" w:hAnsi="Arial" w:cs="Arial"/>
        </w:rPr>
        <w:t xml:space="preserve"> particular, será feita a análise de viabilidade.</w:t>
      </w:r>
    </w:p>
    <w:p w:rsidR="0073640A" w:rsidRDefault="002B52D0" w:rsidP="000D435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3640A">
        <w:rPr>
          <w:rFonts w:ascii="Arial" w:hAnsi="Arial" w:cs="Arial"/>
        </w:rPr>
        <w:t>Todo custo</w:t>
      </w:r>
      <w:r w:rsidR="0056262A">
        <w:rPr>
          <w:rFonts w:ascii="Arial" w:hAnsi="Arial" w:cs="Arial"/>
        </w:rPr>
        <w:t xml:space="preserve"> operacional</w:t>
      </w:r>
      <w:r w:rsidR="0073640A">
        <w:rPr>
          <w:rFonts w:ascii="Arial" w:hAnsi="Arial" w:cs="Arial"/>
        </w:rPr>
        <w:t xml:space="preserve"> será rateado entre os membros participantes, além de ser </w:t>
      </w:r>
      <w:r>
        <w:rPr>
          <w:rFonts w:ascii="Arial" w:hAnsi="Arial" w:cs="Arial"/>
        </w:rPr>
        <w:t>cobrada por usuário</w:t>
      </w:r>
      <w:r w:rsidR="004B303E">
        <w:rPr>
          <w:rFonts w:ascii="Arial" w:hAnsi="Arial" w:cs="Arial"/>
        </w:rPr>
        <w:t xml:space="preserve"> e evento,</w:t>
      </w:r>
      <w:r>
        <w:rPr>
          <w:rFonts w:ascii="Arial" w:hAnsi="Arial" w:cs="Arial"/>
        </w:rPr>
        <w:t xml:space="preserve"> uma taxa de serviço para manutenção do site no percentual de 10%</w:t>
      </w:r>
      <w:r w:rsidR="004B303E">
        <w:rPr>
          <w:rFonts w:ascii="Arial" w:hAnsi="Arial" w:cs="Arial"/>
        </w:rPr>
        <w:t>.</w:t>
      </w:r>
    </w:p>
    <w:p w:rsidR="00456F0E" w:rsidRDefault="00456F0E" w:rsidP="00456F0E">
      <w:pPr>
        <w:rPr>
          <w:rFonts w:ascii="Arial" w:hAnsi="Arial" w:cs="Arial"/>
        </w:rPr>
      </w:pPr>
    </w:p>
    <w:p w:rsidR="00164DE6" w:rsidRDefault="00164DE6" w:rsidP="00456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Equipe de desenvolvimento do site:</w:t>
      </w:r>
    </w:p>
    <w:p w:rsidR="00164DE6" w:rsidRDefault="00164DE6" w:rsidP="00456F0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equipe será formada por um </w:t>
      </w:r>
      <w:r w:rsidR="008D295E">
        <w:rPr>
          <w:rFonts w:ascii="Arial" w:hAnsi="Arial" w:cs="Arial"/>
        </w:rPr>
        <w:t xml:space="preserve">designer, </w:t>
      </w:r>
      <w:proofErr w:type="gramStart"/>
      <w:r w:rsidR="008D295E">
        <w:rPr>
          <w:rFonts w:ascii="Arial" w:hAnsi="Arial" w:cs="Arial"/>
        </w:rPr>
        <w:t>dois desenvolvedor</w:t>
      </w:r>
      <w:proofErr w:type="gramEnd"/>
      <w:r w:rsidR="008D295E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ull</w:t>
      </w:r>
      <w:r w:rsidR="008D295E">
        <w:rPr>
          <w:rFonts w:ascii="Arial" w:hAnsi="Arial" w:cs="Arial"/>
        </w:rPr>
        <w:t>-</w:t>
      </w:r>
      <w:r>
        <w:rPr>
          <w:rFonts w:ascii="Arial" w:hAnsi="Arial" w:cs="Arial"/>
        </w:rPr>
        <w:t>satck e um estagiário.</w:t>
      </w:r>
    </w:p>
    <w:p w:rsidR="008D295E" w:rsidRDefault="008D295E" w:rsidP="00456F0E">
      <w:pPr>
        <w:rPr>
          <w:rFonts w:ascii="Arial" w:hAnsi="Arial" w:cs="Arial"/>
          <w:b/>
          <w:sz w:val="24"/>
          <w:szCs w:val="24"/>
        </w:rPr>
      </w:pPr>
    </w:p>
    <w:p w:rsidR="00A02982" w:rsidRPr="00EB5CB5" w:rsidRDefault="00456F0E" w:rsidP="00456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Custos Operacionais</w:t>
      </w:r>
      <w:r w:rsidR="00164DE6">
        <w:rPr>
          <w:rFonts w:ascii="Arial" w:hAnsi="Arial" w:cs="Arial"/>
          <w:b/>
          <w:sz w:val="24"/>
          <w:szCs w:val="24"/>
        </w:rPr>
        <w:t xml:space="preserve"> (desenvolvimento do site)</w:t>
      </w:r>
      <w:r>
        <w:rPr>
          <w:rFonts w:ascii="Arial" w:hAnsi="Arial" w:cs="Arial"/>
          <w:b/>
          <w:sz w:val="24"/>
          <w:szCs w:val="24"/>
        </w:rPr>
        <w:t>:</w:t>
      </w:r>
    </w:p>
    <w:p w:rsidR="00164DE6" w:rsidRPr="00164DE6" w:rsidRDefault="00164DE6" w:rsidP="00456F0E">
      <w:pPr>
        <w:rPr>
          <w:rFonts w:ascii="Arial" w:hAnsi="Arial" w:cs="Arial"/>
        </w:rPr>
      </w:pPr>
      <w:r>
        <w:rPr>
          <w:rFonts w:ascii="Arial" w:hAnsi="Arial" w:cs="Arial"/>
        </w:rPr>
        <w:tab/>
        <w:t>Toda forma de contratação será realizada através de Pessoa Jurídica, exceto o estagiário</w:t>
      </w:r>
      <w:r w:rsidR="008D295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for o caso.</w:t>
      </w:r>
    </w:p>
    <w:p w:rsidR="00456F0E" w:rsidRDefault="00456F0E" w:rsidP="00456F0E">
      <w:pPr>
        <w:rPr>
          <w:rFonts w:ascii="Arial" w:hAnsi="Arial" w:cs="Arial"/>
          <w:i/>
        </w:rPr>
      </w:pPr>
      <w:r w:rsidRPr="00456F0E">
        <w:rPr>
          <w:rFonts w:ascii="Arial" w:hAnsi="Arial" w:cs="Arial"/>
          <w:i/>
        </w:rPr>
        <w:t>Para desenvolvimento do site: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3669"/>
        <w:gridCol w:w="2882"/>
      </w:tblGrid>
      <w:tr w:rsidR="00164DE6" w:rsidTr="00164DE6">
        <w:tc>
          <w:tcPr>
            <w:tcW w:w="2093" w:type="dxa"/>
          </w:tcPr>
          <w:p w:rsidR="00164DE6" w:rsidRPr="00164DE6" w:rsidRDefault="00164DE6" w:rsidP="00164DE6">
            <w:pPr>
              <w:jc w:val="center"/>
              <w:rPr>
                <w:rFonts w:ascii="Arial" w:hAnsi="Arial" w:cs="Arial"/>
                <w:b/>
              </w:rPr>
            </w:pPr>
            <w:r w:rsidRPr="00164DE6">
              <w:rPr>
                <w:rFonts w:ascii="Arial" w:hAnsi="Arial" w:cs="Arial"/>
                <w:b/>
              </w:rPr>
              <w:t>Quantidade:</w:t>
            </w:r>
          </w:p>
        </w:tc>
        <w:tc>
          <w:tcPr>
            <w:tcW w:w="3669" w:type="dxa"/>
          </w:tcPr>
          <w:p w:rsidR="00164DE6" w:rsidRDefault="00A02982" w:rsidP="00A02982">
            <w:pPr>
              <w:jc w:val="center"/>
              <w:rPr>
                <w:rFonts w:ascii="Arial" w:hAnsi="Arial" w:cs="Arial"/>
                <w:i/>
              </w:rPr>
            </w:pPr>
            <w:r w:rsidRPr="00456F0E">
              <w:rPr>
                <w:rFonts w:ascii="Arial" w:hAnsi="Arial" w:cs="Arial"/>
                <w:b/>
              </w:rPr>
              <w:t>Profissional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882" w:type="dxa"/>
          </w:tcPr>
          <w:p w:rsidR="00164DE6" w:rsidRDefault="00A02982" w:rsidP="00A02982">
            <w:pPr>
              <w:jc w:val="center"/>
              <w:rPr>
                <w:rFonts w:ascii="Arial" w:hAnsi="Arial" w:cs="Arial"/>
                <w:i/>
              </w:rPr>
            </w:pPr>
            <w:r w:rsidRPr="00456F0E">
              <w:rPr>
                <w:rFonts w:ascii="Arial" w:hAnsi="Arial" w:cs="Arial"/>
                <w:b/>
              </w:rPr>
              <w:t>Custo (R$):</w:t>
            </w:r>
          </w:p>
        </w:tc>
      </w:tr>
      <w:tr w:rsidR="00A02982" w:rsidTr="00164DE6">
        <w:tc>
          <w:tcPr>
            <w:tcW w:w="2093" w:type="dxa"/>
          </w:tcPr>
          <w:p w:rsidR="00A02982" w:rsidRPr="00A02982" w:rsidRDefault="00A02982" w:rsidP="00A0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69" w:type="dxa"/>
          </w:tcPr>
          <w:p w:rsidR="00A02982" w:rsidRDefault="00A02982" w:rsidP="00A0298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2882" w:type="dxa"/>
          </w:tcPr>
          <w:p w:rsidR="00A02982" w:rsidRPr="00456F0E" w:rsidRDefault="00A02982" w:rsidP="00316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3.000</w:t>
            </w:r>
          </w:p>
        </w:tc>
      </w:tr>
      <w:tr w:rsidR="00A02982" w:rsidTr="00164DE6">
        <w:tc>
          <w:tcPr>
            <w:tcW w:w="2093" w:type="dxa"/>
          </w:tcPr>
          <w:p w:rsidR="00A02982" w:rsidRPr="00A02982" w:rsidRDefault="00A02982" w:rsidP="00A02982">
            <w:pPr>
              <w:jc w:val="center"/>
              <w:rPr>
                <w:rFonts w:ascii="Arial" w:hAnsi="Arial" w:cs="Arial"/>
              </w:rPr>
            </w:pPr>
            <w:r w:rsidRPr="00A02982">
              <w:rPr>
                <w:rFonts w:ascii="Arial" w:hAnsi="Arial" w:cs="Arial"/>
              </w:rPr>
              <w:t>2</w:t>
            </w:r>
          </w:p>
        </w:tc>
        <w:tc>
          <w:tcPr>
            <w:tcW w:w="3669" w:type="dxa"/>
          </w:tcPr>
          <w:p w:rsidR="00A02982" w:rsidRDefault="00A02982" w:rsidP="00A0298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Desenvolvedor</w:t>
            </w:r>
            <w:r w:rsidR="008D295E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ull-stack</w:t>
            </w:r>
            <w:r w:rsidR="008D295E">
              <w:rPr>
                <w:rFonts w:ascii="Arial" w:hAnsi="Arial" w:cs="Arial"/>
              </w:rPr>
              <w:t xml:space="preserve"> Pleno</w:t>
            </w:r>
          </w:p>
        </w:tc>
        <w:tc>
          <w:tcPr>
            <w:tcW w:w="2882" w:type="dxa"/>
          </w:tcPr>
          <w:p w:rsidR="00A02982" w:rsidRPr="00456F0E" w:rsidRDefault="00A02982" w:rsidP="00316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4.000</w:t>
            </w:r>
          </w:p>
        </w:tc>
      </w:tr>
      <w:tr w:rsidR="00A02982" w:rsidTr="00164DE6">
        <w:tc>
          <w:tcPr>
            <w:tcW w:w="2093" w:type="dxa"/>
          </w:tcPr>
          <w:p w:rsidR="00A02982" w:rsidRPr="00A02982" w:rsidRDefault="00A02982" w:rsidP="00A0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69" w:type="dxa"/>
          </w:tcPr>
          <w:p w:rsidR="00A02982" w:rsidRPr="00A02982" w:rsidRDefault="00A02982" w:rsidP="00A0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Estagiário</w:t>
            </w:r>
          </w:p>
        </w:tc>
        <w:tc>
          <w:tcPr>
            <w:tcW w:w="2882" w:type="dxa"/>
          </w:tcPr>
          <w:p w:rsidR="00A02982" w:rsidRPr="00456F0E" w:rsidRDefault="00A02982" w:rsidP="00316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1.500</w:t>
            </w:r>
          </w:p>
        </w:tc>
      </w:tr>
      <w:tr w:rsidR="00A02982" w:rsidTr="006D4874">
        <w:tc>
          <w:tcPr>
            <w:tcW w:w="5762" w:type="dxa"/>
            <w:gridSpan w:val="2"/>
          </w:tcPr>
          <w:p w:rsidR="00A02982" w:rsidRDefault="00A02982" w:rsidP="00A0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Benefícios oferecidos a todos:</w:t>
            </w:r>
          </w:p>
        </w:tc>
        <w:tc>
          <w:tcPr>
            <w:tcW w:w="2882" w:type="dxa"/>
          </w:tcPr>
          <w:p w:rsidR="00A02982" w:rsidRDefault="00A02982" w:rsidP="00316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</w:t>
            </w:r>
          </w:p>
        </w:tc>
      </w:tr>
      <w:tr w:rsidR="00A02982" w:rsidTr="00E91776">
        <w:tc>
          <w:tcPr>
            <w:tcW w:w="5762" w:type="dxa"/>
            <w:gridSpan w:val="2"/>
          </w:tcPr>
          <w:p w:rsidR="00A02982" w:rsidRPr="00A02982" w:rsidRDefault="00A02982" w:rsidP="00A0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Total:</w:t>
            </w:r>
          </w:p>
        </w:tc>
        <w:tc>
          <w:tcPr>
            <w:tcW w:w="2882" w:type="dxa"/>
          </w:tcPr>
          <w:p w:rsidR="00A02982" w:rsidRPr="00A02982" w:rsidRDefault="00A02982" w:rsidP="00A0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16.500</w:t>
            </w:r>
          </w:p>
        </w:tc>
      </w:tr>
    </w:tbl>
    <w:p w:rsidR="008D295E" w:rsidRDefault="008D295E" w:rsidP="008D295E">
      <w:pPr>
        <w:rPr>
          <w:rFonts w:ascii="Arial" w:hAnsi="Arial" w:cs="Arial"/>
          <w:i/>
        </w:rPr>
      </w:pPr>
    </w:p>
    <w:p w:rsidR="008D295E" w:rsidRDefault="008D295E" w:rsidP="008D295E">
      <w:pPr>
        <w:rPr>
          <w:rFonts w:ascii="Arial" w:hAnsi="Arial" w:cs="Arial"/>
          <w:i/>
        </w:rPr>
      </w:pPr>
    </w:p>
    <w:p w:rsidR="008D295E" w:rsidRPr="00EB5CB5" w:rsidRDefault="00EB5CB5" w:rsidP="008D29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Escritório:</w:t>
      </w:r>
    </w:p>
    <w:p w:rsidR="008D295E" w:rsidRDefault="008D295E" w:rsidP="008D295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Nosso escritório funcionará virtualmente. No desenvolvimento do site tudo será feito home-office.</w:t>
      </w:r>
    </w:p>
    <w:p w:rsidR="008D295E" w:rsidRDefault="008D295E" w:rsidP="008D295E">
      <w:pPr>
        <w:rPr>
          <w:rFonts w:ascii="Arial" w:hAnsi="Arial" w:cs="Arial"/>
        </w:rPr>
      </w:pPr>
    </w:p>
    <w:p w:rsidR="008D295E" w:rsidRPr="00EB5CB5" w:rsidRDefault="008D295E" w:rsidP="008D29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Divulgação</w:t>
      </w:r>
      <w:r w:rsidR="00EB5CB5">
        <w:rPr>
          <w:rFonts w:ascii="Arial" w:hAnsi="Arial" w:cs="Arial"/>
          <w:b/>
          <w:sz w:val="24"/>
          <w:szCs w:val="24"/>
        </w:rPr>
        <w:t>:</w:t>
      </w:r>
    </w:p>
    <w:p w:rsidR="008D295E" w:rsidRDefault="008D295E" w:rsidP="008D295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meios de divulgação serão o Facebook, Instagram e Twitter. </w:t>
      </w:r>
    </w:p>
    <w:p w:rsidR="00EB5CB5" w:rsidRDefault="00EB5CB5" w:rsidP="008D295E">
      <w:pPr>
        <w:rPr>
          <w:rFonts w:ascii="Arial" w:hAnsi="Arial" w:cs="Arial"/>
          <w:b/>
          <w:sz w:val="24"/>
          <w:szCs w:val="24"/>
        </w:rPr>
      </w:pPr>
    </w:p>
    <w:p w:rsidR="008D295E" w:rsidRDefault="00EB5CB5" w:rsidP="008D29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Eventos</w:t>
      </w:r>
      <w:r w:rsidR="008D295E">
        <w:rPr>
          <w:rFonts w:ascii="Arial" w:hAnsi="Arial" w:cs="Arial"/>
          <w:b/>
          <w:sz w:val="24"/>
          <w:szCs w:val="24"/>
        </w:rPr>
        <w:t>:</w:t>
      </w:r>
    </w:p>
    <w:p w:rsidR="00EB5CB5" w:rsidRDefault="008D295E" w:rsidP="008D29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B5CB5">
        <w:rPr>
          <w:rFonts w:ascii="Arial" w:hAnsi="Arial" w:cs="Arial"/>
        </w:rPr>
        <w:t>Nossa programação se firmará a depender do evento. Teremos ocasiões em que será necessária a formação de grupos de acordo com quantidades abaixo:</w:t>
      </w:r>
    </w:p>
    <w:p w:rsidR="00EB5CB5" w:rsidRDefault="00EB5CB5" w:rsidP="00EB5CB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mínimo 50 pessoas;</w:t>
      </w:r>
    </w:p>
    <w:p w:rsidR="00EB5CB5" w:rsidRDefault="00EB5CB5" w:rsidP="00EB5CB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 50 a 250 pessoas;</w:t>
      </w:r>
    </w:p>
    <w:p w:rsidR="008D295E" w:rsidRDefault="00EB5CB5" w:rsidP="00EB5CB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 250 a 500 pessoas.</w:t>
      </w:r>
    </w:p>
    <w:p w:rsidR="00EB5CB5" w:rsidRDefault="00EB5CB5" w:rsidP="00EB5CB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Conforme já mencionado, as despesas poderão variar de acordo o evento e suas particularidades. As cotações serão realizadas com nossos parceiros.</w:t>
      </w:r>
    </w:p>
    <w:p w:rsidR="00EB5CB5" w:rsidRDefault="00EB5CB5" w:rsidP="00EB5CB5">
      <w:pPr>
        <w:ind w:firstLine="360"/>
        <w:rPr>
          <w:rFonts w:ascii="Arial" w:hAnsi="Arial" w:cs="Arial"/>
        </w:rPr>
      </w:pPr>
    </w:p>
    <w:p w:rsidR="00EB5CB5" w:rsidRPr="00EB5CB5" w:rsidRDefault="00EB5CB5" w:rsidP="00EB5CB5">
      <w:pPr>
        <w:ind w:firstLine="360"/>
        <w:rPr>
          <w:rFonts w:ascii="Arial" w:hAnsi="Arial" w:cs="Arial"/>
        </w:rPr>
      </w:pPr>
    </w:p>
    <w:p w:rsidR="00CE0528" w:rsidRDefault="00CE0528" w:rsidP="00CE0528">
      <w:pPr>
        <w:rPr>
          <w:rFonts w:ascii="Arial" w:hAnsi="Arial" w:cs="Arial"/>
        </w:rPr>
      </w:pPr>
    </w:p>
    <w:p w:rsidR="00EB5CB5" w:rsidRDefault="00EB5CB5" w:rsidP="00EB5C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Parceiros</w:t>
      </w:r>
      <w:r w:rsidR="00B14CD4">
        <w:rPr>
          <w:rFonts w:ascii="Arial" w:hAnsi="Arial" w:cs="Arial"/>
          <w:b/>
          <w:sz w:val="24"/>
          <w:szCs w:val="24"/>
        </w:rPr>
        <w:t xml:space="preserve"> (Fornecedores)</w:t>
      </w:r>
      <w:r>
        <w:rPr>
          <w:rFonts w:ascii="Arial" w:hAnsi="Arial" w:cs="Arial"/>
          <w:b/>
          <w:sz w:val="24"/>
          <w:szCs w:val="24"/>
        </w:rPr>
        <w:t>:</w:t>
      </w:r>
    </w:p>
    <w:p w:rsidR="00EB5CB5" w:rsidRPr="00EB5CB5" w:rsidRDefault="00EB5CB5" w:rsidP="00EB5CB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Rio CVB;</w:t>
      </w:r>
    </w:p>
    <w:p w:rsidR="00EB5CB5" w:rsidRPr="00EB5CB5" w:rsidRDefault="00EB5CB5" w:rsidP="00EB5CB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M2 Eventos;</w:t>
      </w:r>
    </w:p>
    <w:p w:rsidR="00EB5CB5" w:rsidRPr="00EB5CB5" w:rsidRDefault="00EB5CB5" w:rsidP="00EB5CB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Libra Eventos;</w:t>
      </w:r>
    </w:p>
    <w:p w:rsidR="00EB5CB5" w:rsidRPr="00EB5CB5" w:rsidRDefault="00EB5CB5" w:rsidP="00EB5CB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RJ Eventos.</w:t>
      </w:r>
    </w:p>
    <w:p w:rsidR="004B303E" w:rsidRPr="00EB5CB5" w:rsidRDefault="004B303E" w:rsidP="000D435B">
      <w:pPr>
        <w:ind w:firstLine="708"/>
        <w:rPr>
          <w:rFonts w:ascii="Arial" w:hAnsi="Arial" w:cs="Arial"/>
          <w:u w:val="single"/>
        </w:rPr>
      </w:pPr>
    </w:p>
    <w:p w:rsidR="002B52D0" w:rsidRPr="00B14CD4" w:rsidRDefault="002B52D0" w:rsidP="000D435B">
      <w:pPr>
        <w:ind w:firstLine="708"/>
        <w:rPr>
          <w:rFonts w:ascii="Arial" w:hAnsi="Arial" w:cs="Arial"/>
          <w:u w:val="single"/>
        </w:rPr>
      </w:pPr>
    </w:p>
    <w:p w:rsidR="00366980" w:rsidRPr="00366980" w:rsidRDefault="0073640A" w:rsidP="000D435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366980" w:rsidRPr="00366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50F44"/>
    <w:multiLevelType w:val="hybridMultilevel"/>
    <w:tmpl w:val="93FEE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808BA"/>
    <w:multiLevelType w:val="hybridMultilevel"/>
    <w:tmpl w:val="F7F2A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80"/>
    <w:rsid w:val="000D435B"/>
    <w:rsid w:val="00164DE6"/>
    <w:rsid w:val="001E606B"/>
    <w:rsid w:val="002B52D0"/>
    <w:rsid w:val="002C451C"/>
    <w:rsid w:val="00306457"/>
    <w:rsid w:val="00366980"/>
    <w:rsid w:val="003B1A1E"/>
    <w:rsid w:val="004477C3"/>
    <w:rsid w:val="00456F0E"/>
    <w:rsid w:val="004B303E"/>
    <w:rsid w:val="0056262A"/>
    <w:rsid w:val="005B2383"/>
    <w:rsid w:val="00684FDE"/>
    <w:rsid w:val="0073640A"/>
    <w:rsid w:val="007E6E73"/>
    <w:rsid w:val="008D295E"/>
    <w:rsid w:val="008F3CCB"/>
    <w:rsid w:val="00A02982"/>
    <w:rsid w:val="00A3119B"/>
    <w:rsid w:val="00A9460C"/>
    <w:rsid w:val="00AC2736"/>
    <w:rsid w:val="00B14CD4"/>
    <w:rsid w:val="00B70CA3"/>
    <w:rsid w:val="00CE0528"/>
    <w:rsid w:val="00E45B20"/>
    <w:rsid w:val="00EB5CB5"/>
    <w:rsid w:val="00EC3265"/>
    <w:rsid w:val="00F1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E7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45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5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E7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45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e.abril.com.br/negocios/dino/mercado-de-eventos-tem-expectativa-de-crescimento-em-2018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beoc.org.br/qualidade/estudo-de-merca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a.ancine.gov.br/mercado-audiovisual-brasilei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7</cp:revision>
  <cp:lastPrinted>2019-02-23T23:32:00Z</cp:lastPrinted>
  <dcterms:created xsi:type="dcterms:W3CDTF">2019-02-22T17:37:00Z</dcterms:created>
  <dcterms:modified xsi:type="dcterms:W3CDTF">2019-02-23T23:49:00Z</dcterms:modified>
</cp:coreProperties>
</file>